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A6C" w:rsidRDefault="00420A6C">
      <w:pPr>
        <w:rPr>
          <w:rFonts w:ascii="宋体" w:hAnsi="宋体"/>
          <w:sz w:val="24"/>
        </w:rPr>
      </w:pPr>
    </w:p>
    <w:p w:rsidR="00420A6C" w:rsidRDefault="009E4BD0">
      <w:pPr>
        <w:ind w:rightChars="-8" w:right="-17"/>
        <w:rPr>
          <w:rFonts w:eastAsia="黑体"/>
          <w:sz w:val="32"/>
          <w:szCs w:val="32"/>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wps:spPr>
                      <wps:txbx>
                        <w:txbxContent>
                          <w:p w:rsidR="00420A6C" w:rsidRDefault="00420A6C">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11.95pt;margin-top:15.6pt;width:98.95pt;height:3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eMAAIAAMcDAAAOAAAAZHJzL2Uyb0RvYy54bWysU81uEzEQviPxDpbvZJMoCXSVTVVaFSGV&#10;H6nwABOvN2ux6zFjJ7vlAeANeuLCnefKczD2pmmAG+JijWfG33zzzXh53reN2GnyBm0hJ6OxFNoq&#10;LI3dFPLjh+tnL6TwAWwJDVpdyDvt5fnq6ZNl53I9xRqbUpNgEOvzzhWyDsHlWeZVrVvwI3TacrBC&#10;aiHwlTZZSdAxettk0/F4kXVIpSNU2nv2Xg1BuUr4VaVVeFdVXgfRFJK5hXRSOtfxzFZLyDcErjbq&#10;QAP+gUULxnLRI9QVBBBbMn9BtUYReqzCSGGbYVUZpVMP3M1k/Ec3tzU4nXphcbw7yuT/H6x6u3tP&#10;wpSFnEthoeUR7e+/7b//3P/4KuZRns75nLNuHeeF/iX2PObUqnc3qD55YfGyBrvRF0TY1RpKpjeJ&#10;L7OTpwOOjyDr7g2WXAe2ARNQX1EbtWM1BKPzmO6Oo9F9ECqWnM4XiwVzVBybnc2iHUtA/vDakQ+v&#10;NLYiGoUkHn1Ch92ND0PqQ0osZvHaNA37IW/sbw7GjJ7EPhIeqId+3XN2bGmN5R33QThsE28/GzXS&#10;Fyk63qRC+s9bIC1F89qyFmeT2SyuXrrM5s+nfKHTyPo0AlYxVCGDFIN5GYZ13Toym5orDepbvGD9&#10;KpNae2R14M3bksQ5bHZcx9N7ynr8f6tfAAAA//8DAFBLAwQUAAYACAAAACEANJ/ynd4AAAAKAQAA&#10;DwAAAGRycy9kb3ducmV2LnhtbEyPwU7DMBBE70j8g7WVuFE7aamaEKdCIK4gSluJmxtvk6jxOord&#10;Jvw9ywmOq32aeVNsJteJKw6h9aQhmSsQSJW3LdUadp+v92sQIRqypvOEGr4xwKa8vSlMbv1IH3jd&#10;xlpwCIXcaGhi7HMpQ9WgM2HueyT+nfzgTORzqKUdzMjhrpOpUivpTEvc0JgenxusztuL07B/O30d&#10;luq9fnEP/egnJcllUuu72fT0CCLiFP9g+NVndSjZ6egvZIPoNCzTRcaohkWSgmBglSa85cikyhKQ&#10;ZSH/Tyh/AAAA//8DAFBLAQItABQABgAIAAAAIQC2gziS/gAAAOEBAAATAAAAAAAAAAAAAAAAAAAA&#10;AABbQ29udGVudF9UeXBlc10ueG1sUEsBAi0AFAAGAAgAAAAhADj9If/WAAAAlAEAAAsAAAAAAAAA&#10;AAAAAAAALwEAAF9yZWxzLy5yZWxzUEsBAi0AFAAGAAgAAAAhAHaJ54wAAgAAxwMAAA4AAAAAAAAA&#10;AAAAAAAALgIAAGRycy9lMm9Eb2MueG1sUEsBAi0AFAAGAAgAAAAhADSf8p3eAAAACgEAAA8AAAAA&#10;AAAAAAAAAAAAWgQAAGRycy9kb3ducmV2LnhtbFBLBQYAAAAABAAEAPMAAABlBQAAAAA=&#10;" filled="f" stroked="f">
                <v:textbox>
                  <w:txbxContent>
                    <w:p w:rsidR="00420A6C" w:rsidRDefault="00420A6C">
                      <w:pPr>
                        <w:rPr>
                          <w:b/>
                          <w:sz w:val="28"/>
                          <w:szCs w:val="28"/>
                        </w:rPr>
                      </w:pPr>
                      <w:r>
                        <w:rPr>
                          <w:rFonts w:hint="eastAsia"/>
                          <w:b/>
                          <w:sz w:val="28"/>
                          <w:szCs w:val="28"/>
                        </w:rPr>
                        <w:t>编号：</w:t>
                      </w:r>
                    </w:p>
                  </w:txbxContent>
                </v:textbox>
              </v:shape>
            </w:pict>
          </mc:Fallback>
        </mc:AlternateContent>
      </w:r>
    </w:p>
    <w:p w:rsidR="00420A6C" w:rsidRDefault="00420A6C">
      <w:pPr>
        <w:rPr>
          <w:rFonts w:eastAsia="黑体"/>
          <w:sz w:val="52"/>
          <w:szCs w:val="52"/>
        </w:rPr>
      </w:pPr>
    </w:p>
    <w:p w:rsidR="00420A6C" w:rsidRDefault="00420A6C">
      <w:pPr>
        <w:tabs>
          <w:tab w:val="center" w:pos="4164"/>
          <w:tab w:val="left" w:pos="5455"/>
        </w:tabs>
        <w:ind w:rightChars="-8" w:right="-17"/>
        <w:rPr>
          <w:rFonts w:eastAsia="黑体"/>
          <w:sz w:val="52"/>
          <w:szCs w:val="52"/>
        </w:rPr>
      </w:pPr>
    </w:p>
    <w:p w:rsidR="00420A6C" w:rsidRDefault="009E4BD0">
      <w:pPr>
        <w:jc w:val="center"/>
        <w:rPr>
          <w:rFonts w:ascii="宋体" w:hAnsi="宋体"/>
          <w:sz w:val="24"/>
        </w:rPr>
      </w:pPr>
      <w:r>
        <w:rPr>
          <w:rFonts w:eastAsia="黑体"/>
          <w:noProof/>
          <w:sz w:val="32"/>
          <w:szCs w:val="32"/>
        </w:rPr>
        <w:drawing>
          <wp:inline distT="0" distB="0" distL="0" distR="0">
            <wp:extent cx="2914650" cy="971550"/>
            <wp:effectExtent l="0" t="0" r="0" b="0"/>
            <wp:docPr id="1" name="图片 1" descr="浦发银行标识标准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浦发银行标识标准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971550"/>
                    </a:xfrm>
                    <a:prstGeom prst="rect">
                      <a:avLst/>
                    </a:prstGeom>
                    <a:noFill/>
                    <a:ln>
                      <a:noFill/>
                    </a:ln>
                  </pic:spPr>
                </pic:pic>
              </a:graphicData>
            </a:graphic>
          </wp:inline>
        </w:drawing>
      </w:r>
    </w:p>
    <w:p w:rsidR="00420A6C" w:rsidRDefault="00420A6C">
      <w:pPr>
        <w:jc w:val="center"/>
        <w:rPr>
          <w:b/>
          <w:sz w:val="52"/>
          <w:szCs w:val="52"/>
        </w:rPr>
      </w:pPr>
    </w:p>
    <w:p w:rsidR="00420A6C" w:rsidRDefault="00420A6C">
      <w:pPr>
        <w:jc w:val="center"/>
        <w:rPr>
          <w:rFonts w:ascii="仿宋_GB2312" w:eastAsia="仿宋_GB2312"/>
          <w:b/>
          <w:sz w:val="32"/>
          <w:szCs w:val="32"/>
        </w:rPr>
      </w:pPr>
    </w:p>
    <w:p w:rsidR="00420A6C" w:rsidRDefault="00420A6C">
      <w:pPr>
        <w:jc w:val="center"/>
        <w:rPr>
          <w:rFonts w:ascii="黑体" w:eastAsia="黑体" w:hAnsi="黑体"/>
          <w:b/>
          <w:sz w:val="44"/>
          <w:szCs w:val="44"/>
        </w:rPr>
      </w:pPr>
      <w:r>
        <w:rPr>
          <w:rFonts w:ascii="黑体" w:eastAsia="黑体" w:hAnsi="黑体" w:hint="eastAsia"/>
          <w:b/>
          <w:sz w:val="44"/>
          <w:szCs w:val="44"/>
        </w:rPr>
        <w:t>银华尊尚稳健养老目标一年持有期混合型发起</w:t>
      </w:r>
      <w:proofErr w:type="gramStart"/>
      <w:r>
        <w:rPr>
          <w:rFonts w:ascii="黑体" w:eastAsia="黑体" w:hAnsi="黑体" w:hint="eastAsia"/>
          <w:b/>
          <w:sz w:val="44"/>
          <w:szCs w:val="44"/>
        </w:rPr>
        <w:t>式基金</w:t>
      </w:r>
      <w:proofErr w:type="gramEnd"/>
      <w:r>
        <w:rPr>
          <w:rFonts w:ascii="黑体" w:eastAsia="黑体" w:hAnsi="黑体" w:hint="eastAsia"/>
          <w:b/>
          <w:sz w:val="44"/>
          <w:szCs w:val="44"/>
        </w:rPr>
        <w:t>中基金（FOF）托管协议</w:t>
      </w:r>
    </w:p>
    <w:p w:rsidR="00420A6C" w:rsidRDefault="00420A6C">
      <w:pPr>
        <w:jc w:val="center"/>
        <w:rPr>
          <w:rFonts w:ascii="宋体" w:hAnsi="宋体"/>
          <w:sz w:val="44"/>
          <w:szCs w:val="44"/>
        </w:rPr>
      </w:pPr>
    </w:p>
    <w:tbl>
      <w:tblPr>
        <w:tblW w:w="9555" w:type="dxa"/>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ayout w:type="fixed"/>
        <w:tblLook w:val="0000" w:firstRow="0" w:lastRow="0" w:firstColumn="0" w:lastColumn="0" w:noHBand="0" w:noVBand="0"/>
      </w:tblPr>
      <w:tblGrid>
        <w:gridCol w:w="3707"/>
        <w:gridCol w:w="5848"/>
      </w:tblGrid>
      <w:tr w:rsidR="00420A6C">
        <w:trPr>
          <w:jc w:val="center"/>
        </w:trPr>
        <w:tc>
          <w:tcPr>
            <w:tcW w:w="9555" w:type="dxa"/>
            <w:gridSpan w:val="2"/>
            <w:tcBorders>
              <w:top w:val="double" w:sz="6" w:space="0" w:color="000000"/>
              <w:left w:val="double" w:sz="6" w:space="0" w:color="000000"/>
              <w:bottom w:val="single" w:sz="4" w:space="0" w:color="auto"/>
              <w:right w:val="double" w:sz="6" w:space="0" w:color="000000"/>
            </w:tcBorders>
          </w:tcPr>
          <w:p w:rsidR="00420A6C" w:rsidRDefault="00420A6C">
            <w:pPr>
              <w:jc w:val="center"/>
              <w:rPr>
                <w:rFonts w:ascii="宋体" w:hAnsi="Calibri"/>
                <w:b/>
                <w:bCs/>
                <w:sz w:val="30"/>
                <w:szCs w:val="22"/>
              </w:rPr>
            </w:pPr>
            <w:r>
              <w:rPr>
                <w:rFonts w:ascii="宋体" w:hAnsi="宋体" w:hint="eastAsia"/>
                <w:b/>
                <w:bCs/>
                <w:sz w:val="30"/>
              </w:rPr>
              <w:t>修订记录</w:t>
            </w:r>
          </w:p>
        </w:tc>
      </w:tr>
      <w:tr w:rsidR="00420A6C">
        <w:trPr>
          <w:jc w:val="center"/>
        </w:trPr>
        <w:tc>
          <w:tcPr>
            <w:tcW w:w="3707" w:type="dxa"/>
            <w:tcBorders>
              <w:top w:val="single" w:sz="4" w:space="0" w:color="auto"/>
              <w:left w:val="double" w:sz="6" w:space="0" w:color="000000"/>
              <w:bottom w:val="single" w:sz="4" w:space="0" w:color="auto"/>
              <w:right w:val="single" w:sz="4" w:space="0" w:color="auto"/>
            </w:tcBorders>
          </w:tcPr>
          <w:p w:rsidR="00420A6C" w:rsidRDefault="00420A6C">
            <w:pPr>
              <w:jc w:val="center"/>
              <w:rPr>
                <w:rFonts w:ascii="宋体" w:hAnsi="Calibri"/>
                <w:b/>
                <w:sz w:val="24"/>
                <w:szCs w:val="22"/>
              </w:rPr>
            </w:pPr>
            <w:r>
              <w:rPr>
                <w:rFonts w:ascii="宋体" w:hAnsi="宋体" w:hint="eastAsia"/>
                <w:b/>
                <w:sz w:val="24"/>
              </w:rPr>
              <w:t>日  期</w:t>
            </w:r>
          </w:p>
        </w:tc>
        <w:tc>
          <w:tcPr>
            <w:tcW w:w="5848" w:type="dxa"/>
            <w:tcBorders>
              <w:top w:val="single" w:sz="4" w:space="0" w:color="auto"/>
              <w:left w:val="single" w:sz="4" w:space="0" w:color="auto"/>
              <w:bottom w:val="single" w:sz="4" w:space="0" w:color="auto"/>
              <w:right w:val="double" w:sz="6" w:space="0" w:color="000000"/>
            </w:tcBorders>
          </w:tcPr>
          <w:p w:rsidR="00420A6C" w:rsidRDefault="00420A6C">
            <w:pPr>
              <w:jc w:val="center"/>
              <w:rPr>
                <w:rFonts w:ascii="宋体" w:hAnsi="Calibri"/>
                <w:b/>
                <w:sz w:val="24"/>
                <w:szCs w:val="22"/>
              </w:rPr>
            </w:pPr>
            <w:r>
              <w:rPr>
                <w:rFonts w:ascii="宋体" w:hAnsi="宋体" w:hint="eastAsia"/>
                <w:b/>
                <w:sz w:val="24"/>
              </w:rPr>
              <w:t>修改内容</w:t>
            </w:r>
          </w:p>
        </w:tc>
      </w:tr>
      <w:tr w:rsidR="00420A6C" w:rsidTr="00D30E63">
        <w:trPr>
          <w:trHeight w:val="315"/>
          <w:jc w:val="center"/>
        </w:trPr>
        <w:tc>
          <w:tcPr>
            <w:tcW w:w="3707" w:type="dxa"/>
            <w:tcBorders>
              <w:top w:val="single" w:sz="4" w:space="0" w:color="auto"/>
              <w:left w:val="double" w:sz="6" w:space="0" w:color="000000"/>
              <w:bottom w:val="single" w:sz="4" w:space="0" w:color="auto"/>
              <w:right w:val="single" w:sz="4" w:space="0" w:color="auto"/>
            </w:tcBorders>
            <w:vAlign w:val="center"/>
          </w:tcPr>
          <w:p w:rsidR="00420A6C" w:rsidRDefault="00420A6C">
            <w:pPr>
              <w:rPr>
                <w:rFonts w:ascii="宋体" w:hAnsi="Calibri"/>
                <w:szCs w:val="21"/>
              </w:rPr>
            </w:pPr>
            <w:r>
              <w:rPr>
                <w:rFonts w:ascii="宋体" w:hAnsi="宋体" w:hint="eastAsia"/>
                <w:szCs w:val="21"/>
              </w:rPr>
              <w:t>2020年3月</w:t>
            </w:r>
            <w:r>
              <w:rPr>
                <w:rFonts w:ascii="宋体" w:hAnsi="宋体"/>
                <w:szCs w:val="21"/>
              </w:rPr>
              <w:t>20</w:t>
            </w:r>
            <w:r>
              <w:rPr>
                <w:rFonts w:ascii="宋体" w:hAnsi="宋体" w:hint="eastAsia"/>
                <w:szCs w:val="21"/>
              </w:rPr>
              <w:t>日</w:t>
            </w:r>
          </w:p>
        </w:tc>
        <w:tc>
          <w:tcPr>
            <w:tcW w:w="5848" w:type="dxa"/>
            <w:tcBorders>
              <w:top w:val="single" w:sz="4" w:space="0" w:color="auto"/>
              <w:left w:val="single" w:sz="4" w:space="0" w:color="auto"/>
              <w:bottom w:val="single" w:sz="4" w:space="0" w:color="auto"/>
              <w:right w:val="double" w:sz="6" w:space="0" w:color="000000"/>
            </w:tcBorders>
          </w:tcPr>
          <w:p w:rsidR="00420A6C" w:rsidRDefault="00420A6C">
            <w:pPr>
              <w:rPr>
                <w:rFonts w:ascii="宋体" w:hAnsi="Calibri"/>
                <w:szCs w:val="21"/>
              </w:rPr>
            </w:pPr>
            <w:r>
              <w:rPr>
                <w:rFonts w:ascii="宋体" w:hAnsi="宋体" w:cs="宋体" w:hint="eastAsia"/>
                <w:sz w:val="24"/>
              </w:rPr>
              <w:t>根据《公开募集证券投资基金信息披露管理办法》修改部分内容</w:t>
            </w:r>
          </w:p>
        </w:tc>
      </w:tr>
      <w:tr w:rsidR="00420A6C">
        <w:trPr>
          <w:trHeight w:val="315"/>
          <w:jc w:val="center"/>
        </w:trPr>
        <w:tc>
          <w:tcPr>
            <w:tcW w:w="3707" w:type="dxa"/>
            <w:tcBorders>
              <w:top w:val="single" w:sz="4" w:space="0" w:color="auto"/>
              <w:left w:val="double" w:sz="6" w:space="0" w:color="000000"/>
              <w:bottom w:val="double" w:sz="6" w:space="0" w:color="000000"/>
              <w:right w:val="single" w:sz="4" w:space="0" w:color="auto"/>
            </w:tcBorders>
            <w:vAlign w:val="center"/>
          </w:tcPr>
          <w:p w:rsidR="00420A6C" w:rsidRDefault="00420A6C" w:rsidP="00D30E63">
            <w:pPr>
              <w:rPr>
                <w:rFonts w:ascii="宋体" w:hAnsi="宋体"/>
                <w:szCs w:val="21"/>
              </w:rPr>
            </w:pPr>
            <w:r>
              <w:rPr>
                <w:rFonts w:ascii="宋体" w:hAnsi="宋体" w:hint="eastAsia"/>
                <w:szCs w:val="21"/>
              </w:rPr>
              <w:t>20</w:t>
            </w:r>
            <w:r>
              <w:rPr>
                <w:rFonts w:ascii="宋体" w:hAnsi="宋体"/>
                <w:szCs w:val="21"/>
              </w:rPr>
              <w:t>2</w:t>
            </w:r>
            <w:r w:rsidR="00D30E63">
              <w:rPr>
                <w:rFonts w:ascii="宋体" w:hAnsi="宋体"/>
                <w:szCs w:val="21"/>
              </w:rPr>
              <w:t>1</w:t>
            </w:r>
            <w:r>
              <w:rPr>
                <w:rFonts w:ascii="宋体" w:hAnsi="宋体" w:hint="eastAsia"/>
                <w:szCs w:val="21"/>
              </w:rPr>
              <w:t>年</w:t>
            </w:r>
            <w:r w:rsidR="00D30E63">
              <w:rPr>
                <w:rFonts w:ascii="宋体" w:hAnsi="宋体"/>
                <w:szCs w:val="21"/>
              </w:rPr>
              <w:t>2</w:t>
            </w:r>
            <w:r>
              <w:rPr>
                <w:rFonts w:ascii="宋体" w:hAnsi="宋体" w:hint="eastAsia"/>
                <w:szCs w:val="21"/>
              </w:rPr>
              <w:t>月</w:t>
            </w:r>
            <w:r w:rsidR="00D30E63">
              <w:rPr>
                <w:rFonts w:ascii="宋体" w:hAnsi="宋体"/>
                <w:szCs w:val="21"/>
              </w:rPr>
              <w:t>5</w:t>
            </w:r>
            <w:r>
              <w:rPr>
                <w:rFonts w:ascii="宋体" w:hAnsi="宋体" w:hint="eastAsia"/>
                <w:szCs w:val="21"/>
              </w:rPr>
              <w:t>日</w:t>
            </w:r>
          </w:p>
        </w:tc>
        <w:tc>
          <w:tcPr>
            <w:tcW w:w="5848" w:type="dxa"/>
            <w:tcBorders>
              <w:top w:val="single" w:sz="4" w:space="0" w:color="auto"/>
              <w:left w:val="single" w:sz="4" w:space="0" w:color="auto"/>
              <w:bottom w:val="double" w:sz="6" w:space="0" w:color="000000"/>
              <w:right w:val="double" w:sz="6" w:space="0" w:color="000000"/>
            </w:tcBorders>
          </w:tcPr>
          <w:p w:rsidR="00420A6C" w:rsidRDefault="00420A6C">
            <w:pPr>
              <w:rPr>
                <w:rFonts w:ascii="宋体" w:hAnsi="宋体" w:cs="宋体"/>
                <w:sz w:val="24"/>
              </w:rPr>
            </w:pPr>
            <w:r>
              <w:rPr>
                <w:rFonts w:ascii="宋体" w:hAnsi="宋体" w:hint="eastAsia"/>
                <w:szCs w:val="21"/>
              </w:rPr>
              <w:t>根据《公开募集证券投资基金侧袋机制</w:t>
            </w:r>
            <w:r>
              <w:rPr>
                <w:rFonts w:ascii="宋体" w:hAnsi="宋体"/>
                <w:szCs w:val="21"/>
              </w:rPr>
              <w:t>指引（</w:t>
            </w:r>
            <w:r>
              <w:rPr>
                <w:rFonts w:ascii="宋体" w:hAnsi="宋体" w:hint="eastAsia"/>
                <w:szCs w:val="21"/>
              </w:rPr>
              <w:t>试行</w:t>
            </w:r>
            <w:r>
              <w:rPr>
                <w:rFonts w:ascii="宋体" w:hAnsi="宋体"/>
                <w:szCs w:val="21"/>
              </w:rPr>
              <w:t>）</w:t>
            </w:r>
            <w:r>
              <w:rPr>
                <w:rFonts w:ascii="宋体" w:hAnsi="宋体" w:hint="eastAsia"/>
                <w:szCs w:val="21"/>
              </w:rPr>
              <w:t>》和《存托凭证发行与交易管理办法（试行）》修改部分内容</w:t>
            </w:r>
          </w:p>
        </w:tc>
      </w:tr>
      <w:tr w:rsidR="00D33F74" w:rsidTr="00D33F74">
        <w:trPr>
          <w:trHeight w:val="315"/>
          <w:jc w:val="center"/>
        </w:trPr>
        <w:tc>
          <w:tcPr>
            <w:tcW w:w="3707" w:type="dxa"/>
            <w:tcBorders>
              <w:top w:val="single" w:sz="4" w:space="0" w:color="auto"/>
              <w:left w:val="double" w:sz="6" w:space="0" w:color="000000"/>
              <w:bottom w:val="double" w:sz="6" w:space="0" w:color="000000"/>
              <w:right w:val="single" w:sz="4" w:space="0" w:color="auto"/>
            </w:tcBorders>
            <w:vAlign w:val="center"/>
          </w:tcPr>
          <w:p w:rsidR="00D33F74" w:rsidRDefault="00D33F74" w:rsidP="00C3484E">
            <w:pPr>
              <w:rPr>
                <w:rFonts w:ascii="宋体" w:hAnsi="宋体"/>
                <w:szCs w:val="21"/>
              </w:rPr>
            </w:pPr>
            <w:r>
              <w:rPr>
                <w:rFonts w:ascii="宋体" w:hAnsi="宋体" w:hint="eastAsia"/>
                <w:szCs w:val="21"/>
              </w:rPr>
              <w:t>2</w:t>
            </w:r>
            <w:r>
              <w:rPr>
                <w:rFonts w:ascii="宋体" w:hAnsi="宋体"/>
                <w:szCs w:val="21"/>
              </w:rPr>
              <w:t>022年</w:t>
            </w:r>
            <w:r w:rsidR="00C3484E">
              <w:rPr>
                <w:rFonts w:ascii="宋体" w:hAnsi="宋体"/>
                <w:szCs w:val="21"/>
              </w:rPr>
              <w:t>11</w:t>
            </w:r>
            <w:r>
              <w:rPr>
                <w:rFonts w:ascii="宋体" w:hAnsi="宋体"/>
                <w:szCs w:val="21"/>
              </w:rPr>
              <w:t>月</w:t>
            </w:r>
            <w:r w:rsidR="00C3484E">
              <w:rPr>
                <w:rFonts w:ascii="宋体" w:hAnsi="宋体"/>
                <w:szCs w:val="21"/>
              </w:rPr>
              <w:t>11</w:t>
            </w:r>
            <w:r>
              <w:rPr>
                <w:rFonts w:ascii="宋体" w:hAnsi="宋体"/>
                <w:szCs w:val="21"/>
              </w:rPr>
              <w:t>日</w:t>
            </w:r>
          </w:p>
        </w:tc>
        <w:tc>
          <w:tcPr>
            <w:tcW w:w="5848" w:type="dxa"/>
            <w:tcBorders>
              <w:top w:val="single" w:sz="4" w:space="0" w:color="auto"/>
              <w:left w:val="single" w:sz="4" w:space="0" w:color="auto"/>
              <w:bottom w:val="double" w:sz="6" w:space="0" w:color="000000"/>
              <w:right w:val="double" w:sz="6" w:space="0" w:color="000000"/>
            </w:tcBorders>
          </w:tcPr>
          <w:p w:rsidR="00D33F74" w:rsidRDefault="00D33F74" w:rsidP="0055177B">
            <w:pPr>
              <w:rPr>
                <w:rFonts w:ascii="宋体" w:hAnsi="宋体"/>
                <w:szCs w:val="21"/>
              </w:rPr>
            </w:pPr>
            <w:r w:rsidRPr="00AC0439">
              <w:rPr>
                <w:rFonts w:ascii="宋体" w:hAnsi="宋体" w:hint="eastAsia"/>
                <w:szCs w:val="21"/>
              </w:rPr>
              <w:t>根据《个人养老金投资公开募集证券投资基金业务管理暂行规定》增设基金份额</w:t>
            </w:r>
          </w:p>
        </w:tc>
      </w:tr>
    </w:tbl>
    <w:p w:rsidR="00420A6C" w:rsidRDefault="00420A6C">
      <w:pPr>
        <w:rPr>
          <w:rFonts w:ascii="宋体"/>
          <w:sz w:val="30"/>
        </w:rPr>
      </w:pPr>
    </w:p>
    <w:p w:rsidR="00420A6C" w:rsidRDefault="00420A6C">
      <w:pPr>
        <w:spacing w:line="360" w:lineRule="auto"/>
        <w:ind w:right="26" w:firstLineChars="400" w:firstLine="1280"/>
        <w:outlineLvl w:val="0"/>
        <w:rPr>
          <w:rFonts w:ascii="宋体" w:hAnsi="宋体"/>
          <w:sz w:val="32"/>
          <w:szCs w:val="32"/>
        </w:rPr>
      </w:pPr>
      <w:bookmarkStart w:id="0" w:name="_Toc382818591"/>
      <w:bookmarkStart w:id="1" w:name="_Toc382819065"/>
      <w:r>
        <w:rPr>
          <w:rFonts w:ascii="宋体" w:hAnsi="宋体" w:hint="eastAsia"/>
          <w:sz w:val="32"/>
          <w:szCs w:val="32"/>
        </w:rPr>
        <w:t>基金管理人：</w:t>
      </w:r>
      <w:bookmarkEnd w:id="0"/>
      <w:bookmarkEnd w:id="1"/>
      <w:r>
        <w:rPr>
          <w:rFonts w:ascii="宋体" w:hAnsi="宋体" w:hint="eastAsia"/>
          <w:sz w:val="32"/>
          <w:szCs w:val="32"/>
        </w:rPr>
        <w:t>银华基金管理股份有限公司</w:t>
      </w:r>
    </w:p>
    <w:p w:rsidR="00420A6C" w:rsidRDefault="00420A6C">
      <w:pPr>
        <w:spacing w:line="360" w:lineRule="auto"/>
        <w:ind w:right="26" w:firstLineChars="400" w:firstLine="1280"/>
        <w:outlineLvl w:val="0"/>
        <w:rPr>
          <w:rFonts w:ascii="宋体" w:hAnsi="宋体"/>
          <w:sz w:val="32"/>
          <w:szCs w:val="32"/>
        </w:rPr>
      </w:pPr>
      <w:bookmarkStart w:id="2" w:name="_Toc382819066"/>
      <w:bookmarkStart w:id="3" w:name="_Toc382818592"/>
      <w:r>
        <w:rPr>
          <w:rFonts w:ascii="宋体" w:hAnsi="宋体" w:hint="eastAsia"/>
          <w:sz w:val="32"/>
          <w:szCs w:val="32"/>
        </w:rPr>
        <w:t>基金托管人：上海浦东发展银行股份有限公司</w:t>
      </w:r>
      <w:bookmarkEnd w:id="2"/>
      <w:bookmarkEnd w:id="3"/>
    </w:p>
    <w:p w:rsidR="00420A6C" w:rsidRDefault="00420A6C">
      <w:pPr>
        <w:spacing w:line="360" w:lineRule="auto"/>
        <w:ind w:right="26" w:firstLineChars="400" w:firstLine="1280"/>
        <w:outlineLvl w:val="0"/>
        <w:rPr>
          <w:rFonts w:ascii="宋体" w:hAnsi="宋体"/>
          <w:sz w:val="32"/>
          <w:szCs w:val="32"/>
        </w:rPr>
      </w:pPr>
    </w:p>
    <w:p w:rsidR="00420A6C" w:rsidRPr="00D30E63" w:rsidRDefault="00420A6C" w:rsidP="00D30E63">
      <w:pPr>
        <w:spacing w:line="360" w:lineRule="auto"/>
        <w:ind w:right="26" w:firstLineChars="400" w:firstLine="1205"/>
        <w:jc w:val="center"/>
        <w:outlineLvl w:val="0"/>
        <w:rPr>
          <w:rFonts w:ascii="宋体" w:hAnsi="宋体"/>
          <w:b/>
          <w:bCs/>
          <w:sz w:val="30"/>
        </w:rPr>
      </w:pPr>
      <w:r w:rsidRPr="00D30E63">
        <w:rPr>
          <w:rFonts w:ascii="宋体" w:hAnsi="宋体" w:hint="eastAsia"/>
          <w:b/>
          <w:bCs/>
          <w:sz w:val="30"/>
        </w:rPr>
        <w:t>二</w:t>
      </w:r>
      <w:r>
        <w:rPr>
          <w:rFonts w:ascii="宋体" w:hAnsi="宋体" w:hint="eastAsia"/>
          <w:b/>
          <w:bCs/>
          <w:sz w:val="30"/>
        </w:rPr>
        <w:t>〇二</w:t>
      </w:r>
      <w:r w:rsidR="00D33F74">
        <w:rPr>
          <w:rFonts w:ascii="宋体" w:hAnsi="宋体" w:hint="eastAsia"/>
          <w:b/>
          <w:bCs/>
          <w:sz w:val="30"/>
        </w:rPr>
        <w:t>二</w:t>
      </w:r>
      <w:r>
        <w:rPr>
          <w:rFonts w:ascii="宋体" w:hAnsi="宋体" w:hint="eastAsia"/>
          <w:b/>
          <w:bCs/>
          <w:sz w:val="30"/>
        </w:rPr>
        <w:t>年</w:t>
      </w:r>
      <w:r w:rsidR="00C3484E">
        <w:rPr>
          <w:rFonts w:ascii="宋体" w:hAnsi="宋体" w:hint="eastAsia"/>
          <w:b/>
          <w:bCs/>
          <w:sz w:val="30"/>
        </w:rPr>
        <w:t>十一</w:t>
      </w:r>
      <w:r w:rsidR="00D33F74">
        <w:rPr>
          <w:rFonts w:ascii="宋体" w:hAnsi="宋体" w:hint="eastAsia"/>
          <w:b/>
          <w:bCs/>
          <w:sz w:val="30"/>
        </w:rPr>
        <w:t>月</w:t>
      </w:r>
    </w:p>
    <w:p w:rsidR="003D1D95" w:rsidRDefault="003D1D95" w:rsidP="003D1D95">
      <w:pPr>
        <w:tabs>
          <w:tab w:val="left" w:pos="4845"/>
        </w:tabs>
        <w:spacing w:line="500" w:lineRule="atLeast"/>
        <w:ind w:left="2698" w:hangingChars="896" w:hanging="2698"/>
        <w:jc w:val="left"/>
        <w:outlineLvl w:val="0"/>
        <w:rPr>
          <w:rFonts w:ascii="宋体" w:hAnsi="宋体"/>
          <w:b/>
          <w:sz w:val="30"/>
          <w:szCs w:val="30"/>
        </w:rPr>
        <w:sectPr w:rsidR="003D1D95">
          <w:headerReference w:type="default" r:id="rId8"/>
          <w:footerReference w:type="default" r:id="rId9"/>
          <w:pgSz w:w="11906" w:h="16838"/>
          <w:pgMar w:top="1440" w:right="1800" w:bottom="1440" w:left="1800" w:header="851" w:footer="992" w:gutter="0"/>
          <w:pgNumType w:start="1"/>
          <w:cols w:space="720"/>
          <w:docGrid w:type="lines" w:linePitch="312"/>
        </w:sectPr>
      </w:pPr>
      <w:r>
        <w:rPr>
          <w:rFonts w:ascii="宋体" w:hAnsi="宋体"/>
          <w:b/>
          <w:sz w:val="30"/>
          <w:szCs w:val="30"/>
        </w:rPr>
        <w:tab/>
      </w:r>
      <w:r>
        <w:rPr>
          <w:rFonts w:ascii="宋体" w:hAnsi="宋体"/>
          <w:b/>
          <w:sz w:val="30"/>
          <w:szCs w:val="30"/>
        </w:rPr>
        <w:tab/>
      </w:r>
      <w:r>
        <w:rPr>
          <w:rFonts w:ascii="宋体" w:hAnsi="宋体"/>
          <w:b/>
          <w:sz w:val="30"/>
          <w:szCs w:val="30"/>
        </w:rPr>
        <w:br w:type="page"/>
      </w:r>
    </w:p>
    <w:p w:rsidR="003D1D95" w:rsidRDefault="003D1D95" w:rsidP="003D1D95">
      <w:pPr>
        <w:tabs>
          <w:tab w:val="left" w:pos="4845"/>
        </w:tabs>
        <w:spacing w:line="500" w:lineRule="atLeast"/>
        <w:ind w:left="2698" w:hangingChars="896" w:hanging="2698"/>
        <w:jc w:val="left"/>
        <w:outlineLvl w:val="0"/>
        <w:rPr>
          <w:rFonts w:ascii="宋体" w:hAnsi="宋体"/>
          <w:b/>
          <w:sz w:val="30"/>
          <w:szCs w:val="30"/>
        </w:rPr>
      </w:pPr>
    </w:p>
    <w:p w:rsidR="00420A6C" w:rsidRDefault="00420A6C">
      <w:pPr>
        <w:spacing w:line="500" w:lineRule="atLeast"/>
        <w:jc w:val="center"/>
        <w:outlineLvl w:val="0"/>
        <w:rPr>
          <w:rFonts w:ascii="黑体" w:eastAsia="黑体" w:hAnsi="宋体"/>
          <w:b/>
          <w:sz w:val="28"/>
          <w:szCs w:val="28"/>
        </w:rPr>
      </w:pPr>
      <w:bookmarkStart w:id="4" w:name="_Toc382818593"/>
      <w:bookmarkStart w:id="5" w:name="_Toc382819067"/>
    </w:p>
    <w:p w:rsidR="00420A6C" w:rsidRDefault="00420A6C">
      <w:pPr>
        <w:spacing w:line="500" w:lineRule="atLeast"/>
        <w:jc w:val="center"/>
        <w:outlineLvl w:val="0"/>
        <w:rPr>
          <w:rFonts w:ascii="宋体" w:hAnsi="宋体"/>
          <w:b/>
          <w:sz w:val="36"/>
          <w:szCs w:val="28"/>
        </w:rPr>
      </w:pPr>
      <w:r>
        <w:rPr>
          <w:rFonts w:ascii="宋体" w:hAnsi="宋体" w:hint="eastAsia"/>
          <w:b/>
          <w:sz w:val="32"/>
          <w:szCs w:val="28"/>
        </w:rPr>
        <w:t>目 录</w:t>
      </w:r>
      <w:bookmarkEnd w:id="4"/>
      <w:bookmarkEnd w:id="5"/>
    </w:p>
    <w:p w:rsidR="00420A6C" w:rsidRDefault="00420A6C">
      <w:pPr>
        <w:pStyle w:val="10"/>
        <w:tabs>
          <w:tab w:val="left" w:pos="440"/>
          <w:tab w:val="right" w:leader="dot" w:pos="8296"/>
        </w:tabs>
        <w:spacing w:line="360" w:lineRule="auto"/>
        <w:rPr>
          <w:rFonts w:ascii="Calibri" w:hAnsi="Calibri"/>
          <w:noProof/>
          <w:sz w:val="20"/>
          <w:szCs w:val="22"/>
        </w:rPr>
      </w:pPr>
      <w:r>
        <w:rPr>
          <w:rFonts w:ascii="宋体" w:hAnsi="宋体"/>
          <w:sz w:val="20"/>
          <w:szCs w:val="21"/>
        </w:rPr>
        <w:fldChar w:fldCharType="begin"/>
      </w:r>
      <w:r>
        <w:rPr>
          <w:rFonts w:ascii="宋体" w:hAnsi="宋体"/>
          <w:sz w:val="20"/>
          <w:szCs w:val="21"/>
        </w:rPr>
        <w:instrText xml:space="preserve"> </w:instrText>
      </w:r>
      <w:r>
        <w:rPr>
          <w:rFonts w:ascii="宋体" w:hAnsi="宋体" w:hint="eastAsia"/>
          <w:sz w:val="20"/>
          <w:szCs w:val="21"/>
        </w:rPr>
        <w:instrText>TOC \o "1-3" \h \z \u</w:instrText>
      </w:r>
      <w:r>
        <w:rPr>
          <w:rFonts w:ascii="宋体" w:hAnsi="宋体"/>
          <w:sz w:val="20"/>
          <w:szCs w:val="21"/>
        </w:rPr>
        <w:instrText xml:space="preserve"> </w:instrText>
      </w:r>
      <w:r>
        <w:rPr>
          <w:rFonts w:ascii="宋体" w:hAnsi="宋体"/>
          <w:sz w:val="20"/>
          <w:szCs w:val="21"/>
        </w:rPr>
        <w:fldChar w:fldCharType="separate"/>
      </w:r>
    </w:p>
    <w:p w:rsidR="00420A6C" w:rsidRDefault="0038512D">
      <w:pPr>
        <w:pStyle w:val="10"/>
        <w:tabs>
          <w:tab w:val="right" w:leader="dot" w:pos="8296"/>
        </w:tabs>
        <w:spacing w:line="360" w:lineRule="auto"/>
        <w:rPr>
          <w:rFonts w:ascii="Calibri" w:hAnsi="Calibri"/>
          <w:noProof/>
          <w:sz w:val="24"/>
          <w:szCs w:val="22"/>
        </w:rPr>
      </w:pPr>
      <w:hyperlink w:anchor="_Toc382819071" w:history="1">
        <w:r w:rsidR="00420A6C">
          <w:rPr>
            <w:rStyle w:val="aa"/>
            <w:rFonts w:ascii="宋体" w:hAnsi="宋体" w:cs="Arial" w:hint="eastAsia"/>
            <w:noProof/>
            <w:sz w:val="24"/>
          </w:rPr>
          <w:t>一、基金托管协议的依据、目的、原则和解释</w:t>
        </w:r>
        <w:r w:rsidR="00420A6C">
          <w:rPr>
            <w:noProof/>
            <w:sz w:val="24"/>
          </w:rPr>
          <w:tab/>
        </w:r>
        <w:r w:rsidR="00420A6C">
          <w:rPr>
            <w:noProof/>
            <w:sz w:val="24"/>
          </w:rPr>
          <w:fldChar w:fldCharType="begin"/>
        </w:r>
        <w:r w:rsidR="00420A6C">
          <w:rPr>
            <w:noProof/>
            <w:sz w:val="24"/>
          </w:rPr>
          <w:instrText xml:space="preserve"> PAGEREF _Toc382819071 \h </w:instrText>
        </w:r>
        <w:r w:rsidR="00420A6C">
          <w:rPr>
            <w:noProof/>
            <w:sz w:val="24"/>
          </w:rPr>
        </w:r>
        <w:r w:rsidR="00420A6C">
          <w:rPr>
            <w:noProof/>
            <w:sz w:val="24"/>
          </w:rPr>
          <w:fldChar w:fldCharType="separate"/>
        </w:r>
        <w:r w:rsidR="00374BD2">
          <w:rPr>
            <w:noProof/>
            <w:sz w:val="24"/>
          </w:rPr>
          <w:t>3</w:t>
        </w:r>
        <w:r w:rsidR="00420A6C">
          <w:rPr>
            <w:noProof/>
            <w:sz w:val="24"/>
          </w:rPr>
          <w:fldChar w:fldCharType="end"/>
        </w:r>
      </w:hyperlink>
    </w:p>
    <w:p w:rsidR="00420A6C" w:rsidRDefault="0038512D">
      <w:pPr>
        <w:pStyle w:val="10"/>
        <w:tabs>
          <w:tab w:val="right" w:leader="dot" w:pos="8296"/>
        </w:tabs>
        <w:spacing w:line="360" w:lineRule="auto"/>
        <w:rPr>
          <w:rFonts w:ascii="Calibri" w:hAnsi="Calibri"/>
          <w:noProof/>
          <w:sz w:val="24"/>
          <w:szCs w:val="22"/>
        </w:rPr>
      </w:pPr>
      <w:hyperlink w:anchor="_Toc382819072" w:history="1">
        <w:r w:rsidR="00420A6C">
          <w:rPr>
            <w:rStyle w:val="aa"/>
            <w:rFonts w:ascii="宋体" w:hAnsi="宋体" w:cs="Arial" w:hint="eastAsia"/>
            <w:noProof/>
            <w:sz w:val="24"/>
          </w:rPr>
          <w:t>二、基金托管人对基金管理人的业务监督和核查</w:t>
        </w:r>
        <w:r w:rsidR="00420A6C">
          <w:rPr>
            <w:noProof/>
            <w:sz w:val="24"/>
          </w:rPr>
          <w:tab/>
        </w:r>
        <w:r w:rsidR="00420A6C">
          <w:rPr>
            <w:noProof/>
            <w:sz w:val="24"/>
          </w:rPr>
          <w:fldChar w:fldCharType="begin"/>
        </w:r>
        <w:r w:rsidR="00420A6C">
          <w:rPr>
            <w:noProof/>
            <w:sz w:val="24"/>
          </w:rPr>
          <w:instrText xml:space="preserve"> PAGEREF _Toc382819072 \h </w:instrText>
        </w:r>
        <w:r w:rsidR="00420A6C">
          <w:rPr>
            <w:noProof/>
            <w:sz w:val="24"/>
          </w:rPr>
        </w:r>
        <w:r w:rsidR="00420A6C">
          <w:rPr>
            <w:noProof/>
            <w:sz w:val="24"/>
          </w:rPr>
          <w:fldChar w:fldCharType="separate"/>
        </w:r>
        <w:r w:rsidR="00374BD2">
          <w:rPr>
            <w:noProof/>
            <w:sz w:val="24"/>
          </w:rPr>
          <w:t>4</w:t>
        </w:r>
        <w:r w:rsidR="00420A6C">
          <w:rPr>
            <w:noProof/>
            <w:sz w:val="24"/>
          </w:rPr>
          <w:fldChar w:fldCharType="end"/>
        </w:r>
      </w:hyperlink>
    </w:p>
    <w:p w:rsidR="00420A6C" w:rsidRDefault="0038512D">
      <w:pPr>
        <w:pStyle w:val="10"/>
        <w:tabs>
          <w:tab w:val="right" w:leader="dot" w:pos="8296"/>
        </w:tabs>
        <w:spacing w:line="360" w:lineRule="auto"/>
        <w:rPr>
          <w:rFonts w:ascii="Calibri" w:hAnsi="Calibri"/>
          <w:noProof/>
          <w:sz w:val="24"/>
          <w:szCs w:val="22"/>
        </w:rPr>
      </w:pPr>
      <w:hyperlink w:anchor="_Toc382819076" w:history="1">
        <w:r w:rsidR="00420A6C">
          <w:rPr>
            <w:rStyle w:val="aa"/>
            <w:rFonts w:ascii="宋体" w:hAnsi="宋体" w:cs="Arial" w:hint="eastAsia"/>
            <w:noProof/>
            <w:sz w:val="24"/>
          </w:rPr>
          <w:t>三、基金管理人对基金托管人的业务核查</w:t>
        </w:r>
        <w:r w:rsidR="00420A6C">
          <w:rPr>
            <w:noProof/>
            <w:sz w:val="24"/>
          </w:rPr>
          <w:tab/>
        </w:r>
        <w:r w:rsidR="00420A6C">
          <w:rPr>
            <w:noProof/>
            <w:sz w:val="24"/>
          </w:rPr>
          <w:fldChar w:fldCharType="begin"/>
        </w:r>
        <w:r w:rsidR="00420A6C">
          <w:rPr>
            <w:noProof/>
            <w:sz w:val="24"/>
          </w:rPr>
          <w:instrText xml:space="preserve"> PAGEREF _Toc382819076 \h </w:instrText>
        </w:r>
        <w:r w:rsidR="00420A6C">
          <w:rPr>
            <w:noProof/>
            <w:sz w:val="24"/>
          </w:rPr>
        </w:r>
        <w:r w:rsidR="00420A6C">
          <w:rPr>
            <w:noProof/>
            <w:sz w:val="24"/>
          </w:rPr>
          <w:fldChar w:fldCharType="separate"/>
        </w:r>
        <w:r w:rsidR="00374BD2">
          <w:rPr>
            <w:noProof/>
            <w:sz w:val="24"/>
          </w:rPr>
          <w:t>11</w:t>
        </w:r>
        <w:r w:rsidR="00420A6C">
          <w:rPr>
            <w:noProof/>
            <w:sz w:val="24"/>
          </w:rPr>
          <w:fldChar w:fldCharType="end"/>
        </w:r>
      </w:hyperlink>
    </w:p>
    <w:p w:rsidR="00420A6C" w:rsidRDefault="0038512D">
      <w:pPr>
        <w:pStyle w:val="10"/>
        <w:tabs>
          <w:tab w:val="right" w:leader="dot" w:pos="8296"/>
        </w:tabs>
        <w:spacing w:line="360" w:lineRule="auto"/>
        <w:rPr>
          <w:rFonts w:ascii="Calibri" w:hAnsi="Calibri"/>
          <w:noProof/>
          <w:sz w:val="24"/>
          <w:szCs w:val="22"/>
        </w:rPr>
      </w:pPr>
      <w:hyperlink w:anchor="_Toc382819078" w:history="1">
        <w:r w:rsidR="00420A6C">
          <w:rPr>
            <w:rStyle w:val="aa"/>
            <w:rFonts w:ascii="宋体" w:hAnsi="宋体" w:cs="Arial" w:hint="eastAsia"/>
            <w:noProof/>
            <w:sz w:val="24"/>
          </w:rPr>
          <w:t>四、基金财产保管</w:t>
        </w:r>
        <w:r w:rsidR="00420A6C">
          <w:rPr>
            <w:noProof/>
            <w:sz w:val="24"/>
          </w:rPr>
          <w:tab/>
        </w:r>
        <w:r w:rsidR="00420A6C">
          <w:rPr>
            <w:noProof/>
            <w:sz w:val="24"/>
          </w:rPr>
          <w:fldChar w:fldCharType="begin"/>
        </w:r>
        <w:r w:rsidR="00420A6C">
          <w:rPr>
            <w:noProof/>
            <w:sz w:val="24"/>
          </w:rPr>
          <w:instrText xml:space="preserve"> PAGEREF _Toc382819078 \h </w:instrText>
        </w:r>
        <w:r w:rsidR="00420A6C">
          <w:rPr>
            <w:noProof/>
            <w:sz w:val="24"/>
          </w:rPr>
        </w:r>
        <w:r w:rsidR="00420A6C">
          <w:rPr>
            <w:noProof/>
            <w:sz w:val="24"/>
          </w:rPr>
          <w:fldChar w:fldCharType="separate"/>
        </w:r>
        <w:r w:rsidR="00374BD2">
          <w:rPr>
            <w:noProof/>
            <w:sz w:val="24"/>
          </w:rPr>
          <w:t>12</w:t>
        </w:r>
        <w:r w:rsidR="00420A6C">
          <w:rPr>
            <w:noProof/>
            <w:sz w:val="24"/>
          </w:rPr>
          <w:fldChar w:fldCharType="end"/>
        </w:r>
      </w:hyperlink>
    </w:p>
    <w:p w:rsidR="00420A6C" w:rsidRDefault="0038512D">
      <w:pPr>
        <w:pStyle w:val="10"/>
        <w:tabs>
          <w:tab w:val="right" w:leader="dot" w:pos="8296"/>
        </w:tabs>
        <w:spacing w:line="360" w:lineRule="auto"/>
        <w:rPr>
          <w:rFonts w:ascii="Calibri" w:hAnsi="Calibri"/>
          <w:noProof/>
          <w:sz w:val="24"/>
          <w:szCs w:val="22"/>
        </w:rPr>
      </w:pPr>
      <w:hyperlink w:anchor="_Toc382819088" w:history="1">
        <w:r w:rsidR="00420A6C">
          <w:rPr>
            <w:rStyle w:val="aa"/>
            <w:rFonts w:ascii="宋体" w:hAnsi="宋体" w:cs="Arial" w:hint="eastAsia"/>
            <w:noProof/>
            <w:sz w:val="24"/>
          </w:rPr>
          <w:t>五、指令的发送、确认和执行</w:t>
        </w:r>
        <w:r w:rsidR="00420A6C">
          <w:rPr>
            <w:noProof/>
            <w:sz w:val="24"/>
          </w:rPr>
          <w:tab/>
        </w:r>
        <w:r w:rsidR="00420A6C">
          <w:rPr>
            <w:noProof/>
            <w:sz w:val="24"/>
          </w:rPr>
          <w:fldChar w:fldCharType="begin"/>
        </w:r>
        <w:r w:rsidR="00420A6C">
          <w:rPr>
            <w:noProof/>
            <w:sz w:val="24"/>
          </w:rPr>
          <w:instrText xml:space="preserve"> PAGEREF _Toc382819088 \h </w:instrText>
        </w:r>
        <w:r w:rsidR="00420A6C">
          <w:rPr>
            <w:noProof/>
            <w:sz w:val="24"/>
          </w:rPr>
        </w:r>
        <w:r w:rsidR="00420A6C">
          <w:rPr>
            <w:noProof/>
            <w:sz w:val="24"/>
          </w:rPr>
          <w:fldChar w:fldCharType="separate"/>
        </w:r>
        <w:r w:rsidR="00374BD2">
          <w:rPr>
            <w:noProof/>
            <w:sz w:val="24"/>
          </w:rPr>
          <w:t>15</w:t>
        </w:r>
        <w:r w:rsidR="00420A6C">
          <w:rPr>
            <w:noProof/>
            <w:sz w:val="24"/>
          </w:rPr>
          <w:fldChar w:fldCharType="end"/>
        </w:r>
      </w:hyperlink>
    </w:p>
    <w:p w:rsidR="00420A6C" w:rsidRDefault="0038512D">
      <w:pPr>
        <w:pStyle w:val="10"/>
        <w:tabs>
          <w:tab w:val="right" w:leader="dot" w:pos="8296"/>
        </w:tabs>
        <w:spacing w:line="360" w:lineRule="auto"/>
        <w:rPr>
          <w:rFonts w:ascii="Calibri" w:hAnsi="Calibri"/>
          <w:noProof/>
          <w:sz w:val="24"/>
          <w:szCs w:val="22"/>
        </w:rPr>
      </w:pPr>
      <w:hyperlink w:anchor="_Toc382819097" w:history="1">
        <w:r w:rsidR="00420A6C">
          <w:rPr>
            <w:rStyle w:val="aa"/>
            <w:rFonts w:ascii="宋体" w:hAnsi="宋体" w:cs="Arial" w:hint="eastAsia"/>
            <w:noProof/>
            <w:sz w:val="24"/>
          </w:rPr>
          <w:t>六、交易及清算交收安排</w:t>
        </w:r>
        <w:r w:rsidR="00420A6C">
          <w:rPr>
            <w:noProof/>
            <w:sz w:val="24"/>
          </w:rPr>
          <w:tab/>
        </w:r>
        <w:r w:rsidR="00420A6C">
          <w:rPr>
            <w:noProof/>
            <w:sz w:val="24"/>
          </w:rPr>
          <w:fldChar w:fldCharType="begin"/>
        </w:r>
        <w:r w:rsidR="00420A6C">
          <w:rPr>
            <w:noProof/>
            <w:sz w:val="24"/>
          </w:rPr>
          <w:instrText xml:space="preserve"> PAGEREF _Toc382819097 \h </w:instrText>
        </w:r>
        <w:r w:rsidR="00420A6C">
          <w:rPr>
            <w:noProof/>
            <w:sz w:val="24"/>
          </w:rPr>
        </w:r>
        <w:r w:rsidR="00420A6C">
          <w:rPr>
            <w:noProof/>
            <w:sz w:val="24"/>
          </w:rPr>
          <w:fldChar w:fldCharType="separate"/>
        </w:r>
        <w:r w:rsidR="00374BD2">
          <w:rPr>
            <w:noProof/>
            <w:sz w:val="24"/>
          </w:rPr>
          <w:t>18</w:t>
        </w:r>
        <w:r w:rsidR="00420A6C">
          <w:rPr>
            <w:noProof/>
            <w:sz w:val="24"/>
          </w:rPr>
          <w:fldChar w:fldCharType="end"/>
        </w:r>
      </w:hyperlink>
    </w:p>
    <w:p w:rsidR="00420A6C" w:rsidRDefault="0038512D">
      <w:pPr>
        <w:pStyle w:val="10"/>
        <w:tabs>
          <w:tab w:val="right" w:leader="dot" w:pos="8296"/>
        </w:tabs>
        <w:spacing w:line="360" w:lineRule="auto"/>
        <w:rPr>
          <w:rFonts w:ascii="Calibri" w:hAnsi="Calibri"/>
          <w:noProof/>
          <w:sz w:val="24"/>
          <w:szCs w:val="22"/>
        </w:rPr>
      </w:pPr>
      <w:hyperlink w:anchor="_Toc382819103" w:history="1">
        <w:r w:rsidR="00420A6C">
          <w:rPr>
            <w:rStyle w:val="aa"/>
            <w:rFonts w:ascii="宋体" w:hAnsi="宋体" w:cs="Arial" w:hint="eastAsia"/>
            <w:noProof/>
            <w:sz w:val="24"/>
          </w:rPr>
          <w:t>七、基金资产净值计算和会计核算</w:t>
        </w:r>
        <w:r w:rsidR="00420A6C">
          <w:rPr>
            <w:noProof/>
            <w:sz w:val="24"/>
          </w:rPr>
          <w:tab/>
        </w:r>
        <w:r w:rsidR="00420A6C">
          <w:rPr>
            <w:noProof/>
            <w:sz w:val="24"/>
          </w:rPr>
          <w:fldChar w:fldCharType="begin"/>
        </w:r>
        <w:r w:rsidR="00420A6C">
          <w:rPr>
            <w:noProof/>
            <w:sz w:val="24"/>
          </w:rPr>
          <w:instrText xml:space="preserve"> PAGEREF _Toc382819103 \h </w:instrText>
        </w:r>
        <w:r w:rsidR="00420A6C">
          <w:rPr>
            <w:noProof/>
            <w:sz w:val="24"/>
          </w:rPr>
        </w:r>
        <w:r w:rsidR="00420A6C">
          <w:rPr>
            <w:noProof/>
            <w:sz w:val="24"/>
          </w:rPr>
          <w:fldChar w:fldCharType="separate"/>
        </w:r>
        <w:r w:rsidR="00374BD2">
          <w:rPr>
            <w:noProof/>
            <w:sz w:val="24"/>
          </w:rPr>
          <w:t>23</w:t>
        </w:r>
        <w:r w:rsidR="00420A6C">
          <w:rPr>
            <w:noProof/>
            <w:sz w:val="24"/>
          </w:rPr>
          <w:fldChar w:fldCharType="end"/>
        </w:r>
      </w:hyperlink>
    </w:p>
    <w:p w:rsidR="00420A6C" w:rsidRDefault="0038512D">
      <w:pPr>
        <w:pStyle w:val="10"/>
        <w:tabs>
          <w:tab w:val="right" w:leader="dot" w:pos="8296"/>
        </w:tabs>
        <w:spacing w:line="360" w:lineRule="auto"/>
        <w:rPr>
          <w:rFonts w:ascii="Calibri" w:hAnsi="Calibri"/>
          <w:noProof/>
          <w:sz w:val="24"/>
          <w:szCs w:val="22"/>
        </w:rPr>
      </w:pPr>
      <w:hyperlink w:anchor="_Toc382819118" w:history="1">
        <w:r w:rsidR="00420A6C">
          <w:rPr>
            <w:rStyle w:val="aa"/>
            <w:rFonts w:ascii="宋体" w:hAnsi="宋体" w:cs="Arial" w:hint="eastAsia"/>
            <w:noProof/>
            <w:sz w:val="24"/>
          </w:rPr>
          <w:t>八、基金收益分配</w:t>
        </w:r>
        <w:r w:rsidR="00420A6C">
          <w:rPr>
            <w:noProof/>
            <w:sz w:val="24"/>
          </w:rPr>
          <w:tab/>
        </w:r>
        <w:r w:rsidR="00420A6C">
          <w:rPr>
            <w:noProof/>
            <w:sz w:val="24"/>
          </w:rPr>
          <w:fldChar w:fldCharType="begin"/>
        </w:r>
        <w:r w:rsidR="00420A6C">
          <w:rPr>
            <w:noProof/>
            <w:sz w:val="24"/>
          </w:rPr>
          <w:instrText xml:space="preserve"> PAGEREF _Toc382819118 \h </w:instrText>
        </w:r>
        <w:r w:rsidR="00420A6C">
          <w:rPr>
            <w:noProof/>
            <w:sz w:val="24"/>
          </w:rPr>
        </w:r>
        <w:r w:rsidR="00420A6C">
          <w:rPr>
            <w:noProof/>
            <w:sz w:val="24"/>
          </w:rPr>
          <w:fldChar w:fldCharType="separate"/>
        </w:r>
        <w:r w:rsidR="00374BD2">
          <w:rPr>
            <w:noProof/>
            <w:sz w:val="24"/>
          </w:rPr>
          <w:t>26</w:t>
        </w:r>
        <w:r w:rsidR="00420A6C">
          <w:rPr>
            <w:noProof/>
            <w:sz w:val="24"/>
          </w:rPr>
          <w:fldChar w:fldCharType="end"/>
        </w:r>
      </w:hyperlink>
    </w:p>
    <w:p w:rsidR="00420A6C" w:rsidRDefault="0038512D">
      <w:pPr>
        <w:pStyle w:val="10"/>
        <w:tabs>
          <w:tab w:val="right" w:leader="dot" w:pos="8296"/>
        </w:tabs>
        <w:spacing w:line="360" w:lineRule="auto"/>
        <w:rPr>
          <w:rFonts w:ascii="Calibri" w:hAnsi="Calibri"/>
          <w:noProof/>
          <w:sz w:val="24"/>
          <w:szCs w:val="22"/>
        </w:rPr>
      </w:pPr>
      <w:hyperlink w:anchor="_Toc382819121" w:history="1">
        <w:r w:rsidR="00420A6C">
          <w:rPr>
            <w:rStyle w:val="aa"/>
            <w:rFonts w:ascii="宋体" w:hAnsi="宋体" w:cs="Arial" w:hint="eastAsia"/>
            <w:noProof/>
            <w:sz w:val="24"/>
          </w:rPr>
          <w:t>九、信息披露</w:t>
        </w:r>
        <w:r w:rsidR="00420A6C">
          <w:rPr>
            <w:noProof/>
            <w:sz w:val="24"/>
          </w:rPr>
          <w:tab/>
        </w:r>
        <w:r w:rsidR="00420A6C">
          <w:rPr>
            <w:noProof/>
            <w:sz w:val="24"/>
          </w:rPr>
          <w:fldChar w:fldCharType="begin"/>
        </w:r>
        <w:r w:rsidR="00420A6C">
          <w:rPr>
            <w:noProof/>
            <w:sz w:val="24"/>
          </w:rPr>
          <w:instrText xml:space="preserve"> PAGEREF _Toc382819121 \h </w:instrText>
        </w:r>
        <w:r w:rsidR="00420A6C">
          <w:rPr>
            <w:noProof/>
            <w:sz w:val="24"/>
          </w:rPr>
        </w:r>
        <w:r w:rsidR="00420A6C">
          <w:rPr>
            <w:noProof/>
            <w:sz w:val="24"/>
          </w:rPr>
          <w:fldChar w:fldCharType="separate"/>
        </w:r>
        <w:r w:rsidR="00374BD2">
          <w:rPr>
            <w:noProof/>
            <w:sz w:val="24"/>
          </w:rPr>
          <w:t>27</w:t>
        </w:r>
        <w:r w:rsidR="00420A6C">
          <w:rPr>
            <w:noProof/>
            <w:sz w:val="24"/>
          </w:rPr>
          <w:fldChar w:fldCharType="end"/>
        </w:r>
      </w:hyperlink>
    </w:p>
    <w:p w:rsidR="00420A6C" w:rsidRDefault="0038512D">
      <w:pPr>
        <w:pStyle w:val="10"/>
        <w:tabs>
          <w:tab w:val="right" w:leader="dot" w:pos="8296"/>
        </w:tabs>
        <w:spacing w:line="360" w:lineRule="auto"/>
        <w:rPr>
          <w:rFonts w:ascii="Calibri" w:hAnsi="Calibri"/>
          <w:noProof/>
          <w:sz w:val="24"/>
          <w:szCs w:val="22"/>
        </w:rPr>
      </w:pPr>
      <w:hyperlink w:anchor="_Toc382819125" w:history="1">
        <w:r w:rsidR="00420A6C">
          <w:rPr>
            <w:rStyle w:val="aa"/>
            <w:rFonts w:ascii="宋体" w:hAnsi="宋体" w:cs="Arial" w:hint="eastAsia"/>
            <w:noProof/>
            <w:sz w:val="24"/>
          </w:rPr>
          <w:t>十、</w:t>
        </w:r>
        <w:r w:rsidR="009C64E1">
          <w:rPr>
            <w:rStyle w:val="aa"/>
            <w:rFonts w:ascii="宋体" w:hAnsi="宋体" w:cs="Arial" w:hint="eastAsia"/>
            <w:noProof/>
            <w:sz w:val="24"/>
          </w:rPr>
          <w:t>基金</w:t>
        </w:r>
        <w:r w:rsidR="00420A6C">
          <w:rPr>
            <w:rStyle w:val="aa"/>
            <w:rFonts w:ascii="宋体" w:hAnsi="宋体" w:cs="Arial" w:hint="eastAsia"/>
            <w:noProof/>
            <w:sz w:val="24"/>
          </w:rPr>
          <w:t>费用</w:t>
        </w:r>
        <w:r w:rsidR="00420A6C">
          <w:rPr>
            <w:noProof/>
            <w:sz w:val="24"/>
          </w:rPr>
          <w:tab/>
        </w:r>
        <w:r w:rsidR="00420A6C">
          <w:rPr>
            <w:noProof/>
            <w:sz w:val="24"/>
          </w:rPr>
          <w:fldChar w:fldCharType="begin"/>
        </w:r>
        <w:r w:rsidR="00420A6C">
          <w:rPr>
            <w:noProof/>
            <w:sz w:val="24"/>
          </w:rPr>
          <w:instrText xml:space="preserve"> PAGEREF _Toc382819125 \h </w:instrText>
        </w:r>
        <w:r w:rsidR="00420A6C">
          <w:rPr>
            <w:noProof/>
            <w:sz w:val="24"/>
          </w:rPr>
        </w:r>
        <w:r w:rsidR="00420A6C">
          <w:rPr>
            <w:noProof/>
            <w:sz w:val="24"/>
          </w:rPr>
          <w:fldChar w:fldCharType="separate"/>
        </w:r>
        <w:r w:rsidR="00374BD2">
          <w:rPr>
            <w:noProof/>
            <w:sz w:val="24"/>
          </w:rPr>
          <w:t>30</w:t>
        </w:r>
        <w:r w:rsidR="00420A6C">
          <w:rPr>
            <w:noProof/>
            <w:sz w:val="24"/>
          </w:rPr>
          <w:fldChar w:fldCharType="end"/>
        </w:r>
      </w:hyperlink>
    </w:p>
    <w:p w:rsidR="00420A6C" w:rsidRDefault="0038512D">
      <w:pPr>
        <w:pStyle w:val="10"/>
        <w:tabs>
          <w:tab w:val="right" w:leader="dot" w:pos="8296"/>
        </w:tabs>
        <w:spacing w:line="360" w:lineRule="auto"/>
        <w:rPr>
          <w:rFonts w:ascii="Calibri" w:hAnsi="Calibri"/>
          <w:noProof/>
          <w:sz w:val="24"/>
          <w:szCs w:val="22"/>
        </w:rPr>
      </w:pPr>
      <w:hyperlink w:anchor="_Toc382819126" w:history="1">
        <w:r w:rsidR="00420A6C">
          <w:rPr>
            <w:rStyle w:val="aa"/>
            <w:rFonts w:ascii="宋体" w:hAnsi="宋体" w:cs="Arial" w:hint="eastAsia"/>
            <w:noProof/>
            <w:sz w:val="24"/>
          </w:rPr>
          <w:t>十一、基金份额持有人名册的保管</w:t>
        </w:r>
        <w:r w:rsidR="00420A6C">
          <w:rPr>
            <w:noProof/>
            <w:sz w:val="24"/>
          </w:rPr>
          <w:tab/>
        </w:r>
        <w:r w:rsidR="00420A6C">
          <w:rPr>
            <w:noProof/>
            <w:sz w:val="24"/>
          </w:rPr>
          <w:fldChar w:fldCharType="begin"/>
        </w:r>
        <w:r w:rsidR="00420A6C">
          <w:rPr>
            <w:noProof/>
            <w:sz w:val="24"/>
          </w:rPr>
          <w:instrText xml:space="preserve"> PAGEREF _Toc382819126 \h </w:instrText>
        </w:r>
        <w:r w:rsidR="00420A6C">
          <w:rPr>
            <w:noProof/>
            <w:sz w:val="24"/>
          </w:rPr>
        </w:r>
        <w:r w:rsidR="00420A6C">
          <w:rPr>
            <w:noProof/>
            <w:sz w:val="24"/>
          </w:rPr>
          <w:fldChar w:fldCharType="separate"/>
        </w:r>
        <w:r w:rsidR="00374BD2">
          <w:rPr>
            <w:noProof/>
            <w:sz w:val="24"/>
          </w:rPr>
          <w:t>30</w:t>
        </w:r>
        <w:r w:rsidR="00420A6C">
          <w:rPr>
            <w:noProof/>
            <w:sz w:val="24"/>
          </w:rPr>
          <w:fldChar w:fldCharType="end"/>
        </w:r>
      </w:hyperlink>
    </w:p>
    <w:p w:rsidR="00420A6C" w:rsidRDefault="0038512D">
      <w:pPr>
        <w:pStyle w:val="10"/>
        <w:tabs>
          <w:tab w:val="right" w:leader="dot" w:pos="8296"/>
        </w:tabs>
        <w:spacing w:line="360" w:lineRule="auto"/>
        <w:rPr>
          <w:rFonts w:ascii="Calibri" w:hAnsi="Calibri"/>
          <w:noProof/>
          <w:sz w:val="24"/>
          <w:szCs w:val="22"/>
        </w:rPr>
      </w:pPr>
      <w:hyperlink w:anchor="_Toc382819127" w:history="1">
        <w:r w:rsidR="00420A6C">
          <w:rPr>
            <w:rStyle w:val="aa"/>
            <w:rFonts w:ascii="宋体" w:hAnsi="宋体" w:cs="Arial" w:hint="eastAsia"/>
            <w:noProof/>
            <w:sz w:val="24"/>
          </w:rPr>
          <w:t>十二、基金有关文件和档案的保存</w:t>
        </w:r>
        <w:r w:rsidR="00420A6C">
          <w:rPr>
            <w:noProof/>
            <w:sz w:val="24"/>
          </w:rPr>
          <w:tab/>
        </w:r>
        <w:r w:rsidR="00420A6C">
          <w:rPr>
            <w:noProof/>
            <w:sz w:val="24"/>
          </w:rPr>
          <w:fldChar w:fldCharType="begin"/>
        </w:r>
        <w:r w:rsidR="00420A6C">
          <w:rPr>
            <w:noProof/>
            <w:sz w:val="24"/>
          </w:rPr>
          <w:instrText xml:space="preserve"> PAGEREF _Toc382819127 \h </w:instrText>
        </w:r>
        <w:r w:rsidR="00420A6C">
          <w:rPr>
            <w:noProof/>
            <w:sz w:val="24"/>
          </w:rPr>
        </w:r>
        <w:r w:rsidR="00420A6C">
          <w:rPr>
            <w:noProof/>
            <w:sz w:val="24"/>
          </w:rPr>
          <w:fldChar w:fldCharType="separate"/>
        </w:r>
        <w:r w:rsidR="00374BD2">
          <w:rPr>
            <w:noProof/>
            <w:sz w:val="24"/>
          </w:rPr>
          <w:t>30</w:t>
        </w:r>
        <w:r w:rsidR="00420A6C">
          <w:rPr>
            <w:noProof/>
            <w:sz w:val="24"/>
          </w:rPr>
          <w:fldChar w:fldCharType="end"/>
        </w:r>
      </w:hyperlink>
    </w:p>
    <w:p w:rsidR="00420A6C" w:rsidRDefault="0038512D">
      <w:pPr>
        <w:pStyle w:val="10"/>
        <w:tabs>
          <w:tab w:val="right" w:leader="dot" w:pos="8296"/>
        </w:tabs>
        <w:spacing w:line="360" w:lineRule="auto"/>
        <w:rPr>
          <w:rFonts w:ascii="Calibri" w:hAnsi="Calibri"/>
          <w:noProof/>
          <w:sz w:val="24"/>
          <w:szCs w:val="22"/>
        </w:rPr>
      </w:pPr>
      <w:hyperlink w:anchor="_Toc382819128" w:history="1">
        <w:r w:rsidR="00420A6C">
          <w:rPr>
            <w:rStyle w:val="aa"/>
            <w:rFonts w:ascii="宋体" w:hAnsi="宋体" w:cs="Arial" w:hint="eastAsia"/>
            <w:noProof/>
            <w:sz w:val="24"/>
          </w:rPr>
          <w:t>十三、基金管理人和基金托管人的更换</w:t>
        </w:r>
        <w:r w:rsidR="00420A6C">
          <w:rPr>
            <w:noProof/>
            <w:sz w:val="24"/>
          </w:rPr>
          <w:tab/>
        </w:r>
        <w:r w:rsidR="00420A6C">
          <w:rPr>
            <w:noProof/>
            <w:sz w:val="24"/>
          </w:rPr>
          <w:fldChar w:fldCharType="begin"/>
        </w:r>
        <w:r w:rsidR="00420A6C">
          <w:rPr>
            <w:noProof/>
            <w:sz w:val="24"/>
          </w:rPr>
          <w:instrText xml:space="preserve"> PAGEREF _Toc382819128 \h </w:instrText>
        </w:r>
        <w:r w:rsidR="00420A6C">
          <w:rPr>
            <w:noProof/>
            <w:sz w:val="24"/>
          </w:rPr>
        </w:r>
        <w:r w:rsidR="00420A6C">
          <w:rPr>
            <w:noProof/>
            <w:sz w:val="24"/>
          </w:rPr>
          <w:fldChar w:fldCharType="separate"/>
        </w:r>
        <w:r w:rsidR="00374BD2">
          <w:rPr>
            <w:noProof/>
            <w:sz w:val="24"/>
          </w:rPr>
          <w:t>31</w:t>
        </w:r>
        <w:r w:rsidR="00420A6C">
          <w:rPr>
            <w:noProof/>
            <w:sz w:val="24"/>
          </w:rPr>
          <w:fldChar w:fldCharType="end"/>
        </w:r>
      </w:hyperlink>
    </w:p>
    <w:p w:rsidR="00420A6C" w:rsidRDefault="0038512D">
      <w:pPr>
        <w:pStyle w:val="10"/>
        <w:tabs>
          <w:tab w:val="right" w:leader="dot" w:pos="8296"/>
        </w:tabs>
        <w:spacing w:line="360" w:lineRule="auto"/>
        <w:rPr>
          <w:rFonts w:ascii="Calibri" w:hAnsi="Calibri"/>
          <w:noProof/>
          <w:sz w:val="24"/>
          <w:szCs w:val="22"/>
        </w:rPr>
      </w:pPr>
      <w:hyperlink w:anchor="_Toc382819131" w:history="1">
        <w:r w:rsidR="00420A6C">
          <w:rPr>
            <w:rStyle w:val="aa"/>
            <w:rFonts w:ascii="宋体" w:hAnsi="宋体" w:cs="Arial" w:hint="eastAsia"/>
            <w:noProof/>
            <w:sz w:val="24"/>
          </w:rPr>
          <w:t>十四、禁止行为</w:t>
        </w:r>
        <w:r w:rsidR="00420A6C">
          <w:rPr>
            <w:noProof/>
            <w:sz w:val="24"/>
          </w:rPr>
          <w:tab/>
        </w:r>
        <w:r w:rsidR="00420A6C">
          <w:rPr>
            <w:noProof/>
            <w:sz w:val="24"/>
          </w:rPr>
          <w:fldChar w:fldCharType="begin"/>
        </w:r>
        <w:r w:rsidR="00420A6C">
          <w:rPr>
            <w:noProof/>
            <w:sz w:val="24"/>
          </w:rPr>
          <w:instrText xml:space="preserve"> PAGEREF _Toc382819131 \h </w:instrText>
        </w:r>
        <w:r w:rsidR="00420A6C">
          <w:rPr>
            <w:noProof/>
            <w:sz w:val="24"/>
          </w:rPr>
        </w:r>
        <w:r w:rsidR="00420A6C">
          <w:rPr>
            <w:noProof/>
            <w:sz w:val="24"/>
          </w:rPr>
          <w:fldChar w:fldCharType="separate"/>
        </w:r>
        <w:r w:rsidR="00374BD2">
          <w:rPr>
            <w:noProof/>
            <w:sz w:val="24"/>
          </w:rPr>
          <w:t>33</w:t>
        </w:r>
        <w:r w:rsidR="00420A6C">
          <w:rPr>
            <w:noProof/>
            <w:sz w:val="24"/>
          </w:rPr>
          <w:fldChar w:fldCharType="end"/>
        </w:r>
      </w:hyperlink>
    </w:p>
    <w:p w:rsidR="00420A6C" w:rsidRDefault="0038512D">
      <w:pPr>
        <w:pStyle w:val="10"/>
        <w:tabs>
          <w:tab w:val="right" w:leader="dot" w:pos="8296"/>
        </w:tabs>
        <w:spacing w:line="360" w:lineRule="auto"/>
        <w:rPr>
          <w:rFonts w:ascii="Calibri" w:hAnsi="Calibri"/>
          <w:noProof/>
          <w:sz w:val="24"/>
          <w:szCs w:val="22"/>
        </w:rPr>
      </w:pPr>
      <w:hyperlink w:anchor="_Toc382819132" w:history="1">
        <w:r w:rsidR="00420A6C">
          <w:rPr>
            <w:rStyle w:val="aa"/>
            <w:rFonts w:ascii="宋体" w:hAnsi="宋体" w:cs="Arial" w:hint="eastAsia"/>
            <w:noProof/>
            <w:sz w:val="24"/>
          </w:rPr>
          <w:t>十五、基金托管协议的变更、终止与基金财产的清算</w:t>
        </w:r>
        <w:r w:rsidR="00420A6C">
          <w:rPr>
            <w:noProof/>
            <w:sz w:val="24"/>
          </w:rPr>
          <w:tab/>
        </w:r>
        <w:r w:rsidR="00420A6C">
          <w:rPr>
            <w:noProof/>
            <w:sz w:val="24"/>
          </w:rPr>
          <w:fldChar w:fldCharType="begin"/>
        </w:r>
        <w:r w:rsidR="00420A6C">
          <w:rPr>
            <w:noProof/>
            <w:sz w:val="24"/>
          </w:rPr>
          <w:instrText xml:space="preserve"> PAGEREF _Toc382819132 \h </w:instrText>
        </w:r>
        <w:r w:rsidR="00420A6C">
          <w:rPr>
            <w:noProof/>
            <w:sz w:val="24"/>
          </w:rPr>
        </w:r>
        <w:r w:rsidR="00420A6C">
          <w:rPr>
            <w:noProof/>
            <w:sz w:val="24"/>
          </w:rPr>
          <w:fldChar w:fldCharType="separate"/>
        </w:r>
        <w:r w:rsidR="00374BD2">
          <w:rPr>
            <w:noProof/>
            <w:sz w:val="24"/>
          </w:rPr>
          <w:t>34</w:t>
        </w:r>
        <w:r w:rsidR="00420A6C">
          <w:rPr>
            <w:noProof/>
            <w:sz w:val="24"/>
          </w:rPr>
          <w:fldChar w:fldCharType="end"/>
        </w:r>
      </w:hyperlink>
    </w:p>
    <w:p w:rsidR="00420A6C" w:rsidRDefault="0038512D">
      <w:pPr>
        <w:pStyle w:val="10"/>
        <w:tabs>
          <w:tab w:val="right" w:leader="dot" w:pos="8296"/>
        </w:tabs>
        <w:spacing w:line="360" w:lineRule="auto"/>
        <w:rPr>
          <w:rFonts w:ascii="Calibri" w:hAnsi="Calibri"/>
          <w:noProof/>
          <w:sz w:val="24"/>
          <w:szCs w:val="22"/>
        </w:rPr>
      </w:pPr>
      <w:hyperlink w:anchor="_Toc382819133" w:history="1">
        <w:r w:rsidR="00420A6C">
          <w:rPr>
            <w:rStyle w:val="aa"/>
            <w:rFonts w:ascii="宋体" w:hAnsi="宋体" w:cs="Arial" w:hint="eastAsia"/>
            <w:noProof/>
            <w:sz w:val="24"/>
          </w:rPr>
          <w:t>十六、违约责任</w:t>
        </w:r>
        <w:r w:rsidR="00420A6C">
          <w:rPr>
            <w:noProof/>
            <w:sz w:val="24"/>
          </w:rPr>
          <w:tab/>
        </w:r>
        <w:r w:rsidR="00420A6C">
          <w:rPr>
            <w:noProof/>
            <w:sz w:val="24"/>
          </w:rPr>
          <w:fldChar w:fldCharType="begin"/>
        </w:r>
        <w:r w:rsidR="00420A6C">
          <w:rPr>
            <w:noProof/>
            <w:sz w:val="24"/>
          </w:rPr>
          <w:instrText xml:space="preserve"> PAGEREF _Toc382819133 \h </w:instrText>
        </w:r>
        <w:r w:rsidR="00420A6C">
          <w:rPr>
            <w:noProof/>
            <w:sz w:val="24"/>
          </w:rPr>
        </w:r>
        <w:r w:rsidR="00420A6C">
          <w:rPr>
            <w:noProof/>
            <w:sz w:val="24"/>
          </w:rPr>
          <w:fldChar w:fldCharType="separate"/>
        </w:r>
        <w:r w:rsidR="00374BD2">
          <w:rPr>
            <w:noProof/>
            <w:sz w:val="24"/>
          </w:rPr>
          <w:t>36</w:t>
        </w:r>
        <w:r w:rsidR="00420A6C">
          <w:rPr>
            <w:noProof/>
            <w:sz w:val="24"/>
          </w:rPr>
          <w:fldChar w:fldCharType="end"/>
        </w:r>
      </w:hyperlink>
    </w:p>
    <w:p w:rsidR="00420A6C" w:rsidRDefault="0038512D">
      <w:pPr>
        <w:pStyle w:val="10"/>
        <w:tabs>
          <w:tab w:val="right" w:leader="dot" w:pos="8296"/>
        </w:tabs>
        <w:spacing w:line="360" w:lineRule="auto"/>
        <w:rPr>
          <w:rFonts w:ascii="Calibri" w:hAnsi="Calibri"/>
          <w:noProof/>
          <w:sz w:val="24"/>
          <w:szCs w:val="22"/>
        </w:rPr>
      </w:pPr>
      <w:hyperlink w:anchor="_Toc382819134" w:history="1">
        <w:r w:rsidR="00420A6C">
          <w:rPr>
            <w:rStyle w:val="aa"/>
            <w:rFonts w:ascii="宋体" w:hAnsi="宋体" w:cs="Arial" w:hint="eastAsia"/>
            <w:noProof/>
            <w:sz w:val="24"/>
          </w:rPr>
          <w:t>十七、适用法律及争议解决方式</w:t>
        </w:r>
        <w:r w:rsidR="00420A6C">
          <w:rPr>
            <w:noProof/>
            <w:sz w:val="24"/>
          </w:rPr>
          <w:tab/>
        </w:r>
        <w:r w:rsidR="00420A6C">
          <w:rPr>
            <w:noProof/>
            <w:sz w:val="24"/>
          </w:rPr>
          <w:fldChar w:fldCharType="begin"/>
        </w:r>
        <w:r w:rsidR="00420A6C">
          <w:rPr>
            <w:noProof/>
            <w:sz w:val="24"/>
          </w:rPr>
          <w:instrText xml:space="preserve"> PAGEREF _Toc382819134 \h </w:instrText>
        </w:r>
        <w:r w:rsidR="00420A6C">
          <w:rPr>
            <w:noProof/>
            <w:sz w:val="24"/>
          </w:rPr>
        </w:r>
        <w:r w:rsidR="00420A6C">
          <w:rPr>
            <w:noProof/>
            <w:sz w:val="24"/>
          </w:rPr>
          <w:fldChar w:fldCharType="separate"/>
        </w:r>
        <w:r w:rsidR="00374BD2">
          <w:rPr>
            <w:noProof/>
            <w:sz w:val="24"/>
          </w:rPr>
          <w:t>36</w:t>
        </w:r>
        <w:r w:rsidR="00420A6C">
          <w:rPr>
            <w:noProof/>
            <w:sz w:val="24"/>
          </w:rPr>
          <w:fldChar w:fldCharType="end"/>
        </w:r>
      </w:hyperlink>
    </w:p>
    <w:p w:rsidR="00420A6C" w:rsidRDefault="0038512D">
      <w:pPr>
        <w:pStyle w:val="10"/>
        <w:tabs>
          <w:tab w:val="right" w:leader="dot" w:pos="8296"/>
        </w:tabs>
        <w:spacing w:line="360" w:lineRule="auto"/>
        <w:rPr>
          <w:rFonts w:ascii="Calibri" w:hAnsi="Calibri"/>
          <w:noProof/>
          <w:sz w:val="24"/>
          <w:szCs w:val="22"/>
        </w:rPr>
      </w:pPr>
      <w:hyperlink w:anchor="_Toc382819135" w:history="1">
        <w:r w:rsidR="00420A6C">
          <w:rPr>
            <w:rStyle w:val="aa"/>
            <w:rFonts w:ascii="宋体" w:hAnsi="宋体" w:cs="Arial" w:hint="eastAsia"/>
            <w:noProof/>
            <w:sz w:val="24"/>
          </w:rPr>
          <w:t>十八、基金托管协议的效力和文本</w:t>
        </w:r>
        <w:r w:rsidR="00420A6C">
          <w:rPr>
            <w:noProof/>
            <w:sz w:val="24"/>
          </w:rPr>
          <w:tab/>
        </w:r>
        <w:r w:rsidR="00420A6C">
          <w:rPr>
            <w:noProof/>
            <w:sz w:val="24"/>
          </w:rPr>
          <w:fldChar w:fldCharType="begin"/>
        </w:r>
        <w:r w:rsidR="00420A6C">
          <w:rPr>
            <w:noProof/>
            <w:sz w:val="24"/>
          </w:rPr>
          <w:instrText xml:space="preserve"> PAGEREF _Toc382819135 \h </w:instrText>
        </w:r>
        <w:r w:rsidR="00420A6C">
          <w:rPr>
            <w:noProof/>
            <w:sz w:val="24"/>
          </w:rPr>
        </w:r>
        <w:r w:rsidR="00420A6C">
          <w:rPr>
            <w:noProof/>
            <w:sz w:val="24"/>
          </w:rPr>
          <w:fldChar w:fldCharType="separate"/>
        </w:r>
        <w:r w:rsidR="00374BD2">
          <w:rPr>
            <w:noProof/>
            <w:sz w:val="24"/>
          </w:rPr>
          <w:t>37</w:t>
        </w:r>
        <w:r w:rsidR="00420A6C">
          <w:rPr>
            <w:noProof/>
            <w:sz w:val="24"/>
          </w:rPr>
          <w:fldChar w:fldCharType="end"/>
        </w:r>
      </w:hyperlink>
    </w:p>
    <w:p w:rsidR="00420A6C" w:rsidRDefault="0038512D">
      <w:pPr>
        <w:pStyle w:val="10"/>
        <w:tabs>
          <w:tab w:val="right" w:leader="dot" w:pos="8296"/>
        </w:tabs>
        <w:spacing w:line="360" w:lineRule="auto"/>
        <w:rPr>
          <w:rFonts w:ascii="Calibri" w:hAnsi="Calibri"/>
          <w:noProof/>
          <w:sz w:val="24"/>
          <w:szCs w:val="22"/>
        </w:rPr>
      </w:pPr>
      <w:hyperlink w:anchor="_Toc382819136" w:history="1">
        <w:r w:rsidR="00420A6C">
          <w:rPr>
            <w:rStyle w:val="aa"/>
            <w:rFonts w:ascii="宋体" w:hAnsi="宋体" w:hint="eastAsia"/>
            <w:noProof/>
            <w:sz w:val="24"/>
          </w:rPr>
          <w:t>十九、</w:t>
        </w:r>
        <w:r w:rsidR="00420A6C">
          <w:rPr>
            <w:rStyle w:val="aa"/>
            <w:rFonts w:ascii="宋体" w:hAnsi="宋体" w:cs="Arial" w:hint="eastAsia"/>
            <w:noProof/>
            <w:sz w:val="24"/>
          </w:rPr>
          <w:t>其他事项</w:t>
        </w:r>
        <w:r w:rsidR="00420A6C">
          <w:rPr>
            <w:noProof/>
            <w:sz w:val="24"/>
          </w:rPr>
          <w:tab/>
        </w:r>
        <w:r w:rsidR="00420A6C">
          <w:rPr>
            <w:noProof/>
            <w:sz w:val="24"/>
          </w:rPr>
          <w:fldChar w:fldCharType="begin"/>
        </w:r>
        <w:r w:rsidR="00420A6C">
          <w:rPr>
            <w:noProof/>
            <w:sz w:val="24"/>
          </w:rPr>
          <w:instrText xml:space="preserve"> PAGEREF _Toc382819136 \h </w:instrText>
        </w:r>
        <w:r w:rsidR="00420A6C">
          <w:rPr>
            <w:noProof/>
            <w:sz w:val="24"/>
          </w:rPr>
        </w:r>
        <w:r w:rsidR="00420A6C">
          <w:rPr>
            <w:noProof/>
            <w:sz w:val="24"/>
          </w:rPr>
          <w:fldChar w:fldCharType="separate"/>
        </w:r>
        <w:r w:rsidR="00374BD2">
          <w:rPr>
            <w:noProof/>
            <w:sz w:val="24"/>
          </w:rPr>
          <w:t>37</w:t>
        </w:r>
        <w:r w:rsidR="00420A6C">
          <w:rPr>
            <w:noProof/>
            <w:sz w:val="24"/>
          </w:rPr>
          <w:fldChar w:fldCharType="end"/>
        </w:r>
      </w:hyperlink>
    </w:p>
    <w:p w:rsidR="00420A6C" w:rsidRDefault="00420A6C">
      <w:pPr>
        <w:spacing w:line="360" w:lineRule="auto"/>
        <w:rPr>
          <w:rFonts w:ascii="仿宋_GB2312" w:eastAsia="仿宋_GB2312"/>
          <w:sz w:val="24"/>
        </w:rPr>
      </w:pPr>
      <w:r>
        <w:rPr>
          <w:rFonts w:ascii="宋体" w:hAnsi="宋体"/>
          <w:sz w:val="20"/>
          <w:szCs w:val="21"/>
        </w:rPr>
        <w:fldChar w:fldCharType="end"/>
      </w:r>
    </w:p>
    <w:p w:rsidR="00420A6C" w:rsidRDefault="00420A6C">
      <w:pPr>
        <w:widowControl/>
        <w:jc w:val="left"/>
        <w:rPr>
          <w:rFonts w:ascii="仿宋_GB2312" w:eastAsia="仿宋_GB2312"/>
          <w:sz w:val="24"/>
        </w:rPr>
        <w:sectPr w:rsidR="00420A6C">
          <w:footerReference w:type="default" r:id="rId10"/>
          <w:pgSz w:w="11906" w:h="16838"/>
          <w:pgMar w:top="1440" w:right="1800" w:bottom="1440" w:left="1800" w:header="851" w:footer="992" w:gutter="0"/>
          <w:pgNumType w:start="1"/>
          <w:cols w:space="720"/>
          <w:docGrid w:type="lines" w:linePitch="312"/>
        </w:sectPr>
      </w:pPr>
      <w:bookmarkStart w:id="6" w:name="_GoBack"/>
      <w:bookmarkEnd w:id="6"/>
    </w:p>
    <w:p w:rsidR="00420A6C" w:rsidRDefault="00420A6C">
      <w:pPr>
        <w:pStyle w:val="1"/>
        <w:keepNext w:val="0"/>
        <w:keepLines w:val="0"/>
        <w:numPr>
          <w:ilvl w:val="0"/>
          <w:numId w:val="0"/>
        </w:numPr>
        <w:tabs>
          <w:tab w:val="left" w:pos="420"/>
          <w:tab w:val="left" w:pos="1922"/>
        </w:tabs>
        <w:autoSpaceDE w:val="0"/>
        <w:autoSpaceDN w:val="0"/>
        <w:adjustRightInd w:val="0"/>
        <w:spacing w:before="360" w:after="360"/>
        <w:textAlignment w:val="baseline"/>
        <w:rPr>
          <w:rFonts w:hAnsi="黑体"/>
          <w:b w:val="0"/>
          <w:szCs w:val="32"/>
        </w:rPr>
      </w:pPr>
      <w:bookmarkStart w:id="7" w:name="_Toc382819068"/>
      <w:bookmarkStart w:id="8" w:name="_Toc382818594"/>
      <w:r>
        <w:rPr>
          <w:rFonts w:hAnsi="黑体" w:hint="eastAsia"/>
          <w:b w:val="0"/>
          <w:bCs/>
          <w:szCs w:val="32"/>
          <w:lang w:val="en-US"/>
        </w:rPr>
        <w:lastRenderedPageBreak/>
        <w:t>银华尊尚稳健养老目标一年持有期混合型发起</w:t>
      </w:r>
      <w:proofErr w:type="gramStart"/>
      <w:r>
        <w:rPr>
          <w:rFonts w:hAnsi="黑体" w:hint="eastAsia"/>
          <w:b w:val="0"/>
          <w:bCs/>
          <w:szCs w:val="32"/>
          <w:lang w:val="en-US"/>
        </w:rPr>
        <w:t>式基金</w:t>
      </w:r>
      <w:proofErr w:type="gramEnd"/>
      <w:r>
        <w:rPr>
          <w:rFonts w:hAnsi="黑体" w:hint="eastAsia"/>
          <w:b w:val="0"/>
          <w:bCs/>
          <w:szCs w:val="32"/>
          <w:lang w:val="en-US"/>
        </w:rPr>
        <w:t>中基金（FOF）</w:t>
      </w:r>
      <w:r>
        <w:rPr>
          <w:rFonts w:hAnsi="黑体" w:hint="eastAsia"/>
          <w:b w:val="0"/>
          <w:szCs w:val="32"/>
        </w:rPr>
        <w:t>托管协议</w:t>
      </w:r>
      <w:bookmarkEnd w:id="7"/>
      <w:bookmarkEnd w:id="8"/>
    </w:p>
    <w:p w:rsidR="00420A6C" w:rsidRDefault="00420A6C">
      <w:pPr>
        <w:rPr>
          <w:lang w:val="zh-CN"/>
        </w:rPr>
      </w:pPr>
    </w:p>
    <w:p w:rsidR="00420A6C" w:rsidRDefault="00420A6C">
      <w:pPr>
        <w:rPr>
          <w:lang w:val="zh-CN"/>
        </w:rPr>
      </w:pPr>
    </w:p>
    <w:p w:rsidR="00420A6C" w:rsidRDefault="00420A6C">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sz w:val="24"/>
        </w:rPr>
      </w:pPr>
      <w:bookmarkStart w:id="9" w:name="_Toc382819069"/>
      <w:r>
        <w:rPr>
          <w:rFonts w:ascii="宋体" w:eastAsia="宋体" w:hAnsi="宋体" w:cs="Arial" w:hint="eastAsia"/>
          <w:kern w:val="0"/>
          <w:sz w:val="24"/>
          <w:szCs w:val="24"/>
        </w:rPr>
        <w:t>基金管理人：</w:t>
      </w:r>
      <w:bookmarkEnd w:id="9"/>
      <w:r>
        <w:rPr>
          <w:rFonts w:ascii="宋体" w:eastAsia="宋体" w:hAnsi="宋体" w:hint="eastAsia"/>
          <w:sz w:val="24"/>
        </w:rPr>
        <w:t>银华基金管理股份有限公司</w:t>
      </w:r>
    </w:p>
    <w:p w:rsidR="00420A6C" w:rsidRDefault="00420A6C">
      <w:pPr>
        <w:spacing w:line="360" w:lineRule="auto"/>
        <w:ind w:firstLineChars="200" w:firstLine="480"/>
        <w:rPr>
          <w:rFonts w:ascii="宋体" w:hAnsi="宋体"/>
          <w:bCs/>
          <w:sz w:val="24"/>
        </w:rPr>
      </w:pPr>
      <w:r>
        <w:rPr>
          <w:rFonts w:ascii="宋体" w:hAnsi="宋体" w:hint="eastAsia"/>
          <w:bCs/>
          <w:sz w:val="24"/>
        </w:rPr>
        <w:t>注册地址</w:t>
      </w:r>
      <w:r>
        <w:rPr>
          <w:rFonts w:ascii="宋体" w:hAnsi="宋体"/>
          <w:bCs/>
          <w:sz w:val="24"/>
        </w:rPr>
        <w:t>：</w:t>
      </w:r>
      <w:r>
        <w:rPr>
          <w:rFonts w:ascii="宋体" w:hAnsi="宋体" w:hint="eastAsia"/>
          <w:bCs/>
          <w:sz w:val="24"/>
        </w:rPr>
        <w:t>广东省深圳市福田区深南大道6008号特区报业大厦19层</w:t>
      </w:r>
    </w:p>
    <w:p w:rsidR="00420A6C" w:rsidRDefault="00420A6C">
      <w:pPr>
        <w:spacing w:line="360" w:lineRule="auto"/>
        <w:ind w:firstLineChars="200" w:firstLine="480"/>
        <w:rPr>
          <w:rFonts w:ascii="宋体" w:hAnsi="宋体"/>
          <w:bCs/>
          <w:sz w:val="24"/>
        </w:rPr>
      </w:pPr>
      <w:r>
        <w:rPr>
          <w:rFonts w:ascii="宋体" w:hAnsi="宋体" w:hint="eastAsia"/>
          <w:bCs/>
          <w:sz w:val="24"/>
        </w:rPr>
        <w:t>办公地址：北京市东城区东长安街1号东方</w:t>
      </w:r>
      <w:proofErr w:type="gramStart"/>
      <w:r>
        <w:rPr>
          <w:rFonts w:ascii="宋体" w:hAnsi="宋体" w:hint="eastAsia"/>
          <w:bCs/>
          <w:sz w:val="24"/>
        </w:rPr>
        <w:t>广场东方</w:t>
      </w:r>
      <w:proofErr w:type="gramEnd"/>
      <w:r>
        <w:rPr>
          <w:rFonts w:ascii="宋体" w:hAnsi="宋体" w:hint="eastAsia"/>
          <w:bCs/>
          <w:sz w:val="24"/>
        </w:rPr>
        <w:t>经贸城C2办公楼15层</w:t>
      </w:r>
    </w:p>
    <w:p w:rsidR="00420A6C" w:rsidRDefault="00420A6C">
      <w:pPr>
        <w:spacing w:line="360" w:lineRule="auto"/>
        <w:ind w:firstLineChars="200" w:firstLine="480"/>
        <w:rPr>
          <w:bCs/>
          <w:sz w:val="24"/>
        </w:rPr>
      </w:pPr>
      <w:r>
        <w:rPr>
          <w:bCs/>
          <w:sz w:val="24"/>
        </w:rPr>
        <w:t>法定代表人：</w:t>
      </w:r>
      <w:r>
        <w:rPr>
          <w:rFonts w:hint="eastAsia"/>
          <w:bCs/>
          <w:sz w:val="24"/>
        </w:rPr>
        <w:t>王珠林</w:t>
      </w:r>
    </w:p>
    <w:p w:rsidR="00420A6C" w:rsidRDefault="00420A6C">
      <w:pPr>
        <w:spacing w:line="360" w:lineRule="auto"/>
        <w:ind w:firstLineChars="200" w:firstLine="480"/>
        <w:rPr>
          <w:bCs/>
          <w:sz w:val="24"/>
        </w:rPr>
      </w:pPr>
      <w:r>
        <w:rPr>
          <w:bCs/>
          <w:sz w:val="24"/>
        </w:rPr>
        <w:t>设立日期：</w:t>
      </w:r>
      <w:r>
        <w:rPr>
          <w:rFonts w:ascii="宋体" w:hAnsi="宋体" w:hint="eastAsia"/>
          <w:bCs/>
          <w:sz w:val="24"/>
        </w:rPr>
        <w:t>2001年5月28日</w:t>
      </w:r>
    </w:p>
    <w:p w:rsidR="00420A6C" w:rsidRDefault="00420A6C">
      <w:pPr>
        <w:spacing w:line="360" w:lineRule="auto"/>
        <w:ind w:firstLineChars="200" w:firstLine="480"/>
        <w:rPr>
          <w:bCs/>
          <w:sz w:val="24"/>
        </w:rPr>
      </w:pPr>
      <w:r>
        <w:rPr>
          <w:bCs/>
          <w:sz w:val="24"/>
        </w:rPr>
        <w:t>批准设立机关及批准设立文号：</w:t>
      </w:r>
      <w:r>
        <w:rPr>
          <w:rFonts w:ascii="宋体" w:hAnsi="宋体" w:hint="eastAsia"/>
          <w:bCs/>
          <w:sz w:val="24"/>
        </w:rPr>
        <w:t>中国证监会证</w:t>
      </w:r>
      <w:proofErr w:type="gramStart"/>
      <w:r>
        <w:rPr>
          <w:rFonts w:ascii="宋体" w:hAnsi="宋体" w:hint="eastAsia"/>
          <w:bCs/>
          <w:sz w:val="24"/>
        </w:rPr>
        <w:t>监基金字</w:t>
      </w:r>
      <w:proofErr w:type="gramEnd"/>
      <w:r>
        <w:rPr>
          <w:rFonts w:ascii="宋体" w:hAnsi="宋体" w:hint="eastAsia"/>
          <w:bCs/>
          <w:sz w:val="24"/>
        </w:rPr>
        <w:t>［2001］7号</w:t>
      </w:r>
    </w:p>
    <w:p w:rsidR="00420A6C" w:rsidRDefault="00420A6C">
      <w:pPr>
        <w:spacing w:line="360" w:lineRule="auto"/>
        <w:ind w:firstLineChars="200" w:firstLine="480"/>
        <w:rPr>
          <w:bCs/>
          <w:sz w:val="24"/>
        </w:rPr>
      </w:pPr>
      <w:r>
        <w:rPr>
          <w:bCs/>
          <w:sz w:val="24"/>
        </w:rPr>
        <w:t>组织形式：</w:t>
      </w:r>
      <w:r>
        <w:rPr>
          <w:rFonts w:ascii="宋体" w:hAnsi="宋体" w:hint="eastAsia"/>
          <w:bCs/>
          <w:sz w:val="24"/>
        </w:rPr>
        <w:t>股份有限公司</w:t>
      </w:r>
    </w:p>
    <w:p w:rsidR="00420A6C" w:rsidRDefault="00420A6C">
      <w:pPr>
        <w:spacing w:line="360" w:lineRule="auto"/>
        <w:ind w:firstLineChars="200" w:firstLine="480"/>
        <w:rPr>
          <w:bCs/>
          <w:sz w:val="24"/>
        </w:rPr>
      </w:pPr>
      <w:r>
        <w:rPr>
          <w:bCs/>
          <w:sz w:val="24"/>
        </w:rPr>
        <w:t>注册资本：</w:t>
      </w:r>
      <w:r>
        <w:rPr>
          <w:rFonts w:ascii="宋体" w:hAnsi="宋体" w:hint="eastAsia"/>
          <w:bCs/>
          <w:sz w:val="24"/>
        </w:rPr>
        <w:t>贰亿贰仟贰佰</w:t>
      </w:r>
      <w:r>
        <w:rPr>
          <w:rFonts w:ascii="宋体" w:hAnsi="宋体"/>
          <w:bCs/>
          <w:sz w:val="24"/>
        </w:rPr>
        <w:t>贰拾万</w:t>
      </w:r>
      <w:r>
        <w:rPr>
          <w:rFonts w:ascii="宋体" w:hAnsi="宋体" w:hint="eastAsia"/>
          <w:bCs/>
          <w:sz w:val="24"/>
        </w:rPr>
        <w:t>元人民币</w:t>
      </w:r>
    </w:p>
    <w:p w:rsidR="00420A6C" w:rsidRDefault="00420A6C">
      <w:pPr>
        <w:spacing w:line="360" w:lineRule="auto"/>
        <w:ind w:firstLineChars="200" w:firstLine="480"/>
        <w:rPr>
          <w:bCs/>
          <w:sz w:val="24"/>
        </w:rPr>
      </w:pPr>
      <w:r>
        <w:rPr>
          <w:bCs/>
          <w:sz w:val="24"/>
        </w:rPr>
        <w:t>存续期限：</w:t>
      </w:r>
      <w:r>
        <w:rPr>
          <w:rFonts w:ascii="宋体" w:hAnsi="宋体" w:hint="eastAsia"/>
          <w:bCs/>
          <w:sz w:val="24"/>
        </w:rPr>
        <w:t>持续经营</w:t>
      </w:r>
    </w:p>
    <w:p w:rsidR="00420A6C" w:rsidRDefault="00420A6C">
      <w:pPr>
        <w:spacing w:line="360" w:lineRule="auto"/>
        <w:ind w:firstLineChars="200" w:firstLine="480"/>
        <w:rPr>
          <w:rFonts w:ascii="宋体" w:hAnsi="宋体"/>
          <w:bCs/>
          <w:sz w:val="24"/>
        </w:rPr>
      </w:pPr>
      <w:r>
        <w:rPr>
          <w:bCs/>
          <w:sz w:val="24"/>
        </w:rPr>
        <w:t>联系电话：</w:t>
      </w:r>
      <w:r>
        <w:rPr>
          <w:rFonts w:ascii="宋体" w:hAnsi="宋体" w:hint="eastAsia"/>
          <w:bCs/>
          <w:sz w:val="24"/>
        </w:rPr>
        <w:t>010-58163000</w:t>
      </w:r>
    </w:p>
    <w:p w:rsidR="00420A6C" w:rsidRDefault="00420A6C">
      <w:pPr>
        <w:spacing w:line="360" w:lineRule="auto"/>
        <w:ind w:firstLineChars="200" w:firstLine="480"/>
        <w:rPr>
          <w:bCs/>
          <w:sz w:val="24"/>
        </w:rPr>
      </w:pPr>
    </w:p>
    <w:p w:rsidR="00420A6C" w:rsidRDefault="00420A6C">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bCs w:val="0"/>
          <w:sz w:val="24"/>
          <w:szCs w:val="24"/>
        </w:rPr>
      </w:pPr>
      <w:bookmarkStart w:id="10" w:name="_Toc382819070"/>
      <w:r>
        <w:rPr>
          <w:rFonts w:ascii="宋体" w:eastAsia="宋体" w:hAnsi="宋体" w:cs="Arial" w:hint="eastAsia"/>
          <w:kern w:val="0"/>
          <w:sz w:val="24"/>
          <w:szCs w:val="24"/>
        </w:rPr>
        <w:t>基金托管人：</w:t>
      </w:r>
      <w:r>
        <w:rPr>
          <w:rFonts w:ascii="宋体" w:eastAsia="宋体" w:hAnsi="宋体" w:hint="eastAsia"/>
          <w:bCs w:val="0"/>
          <w:sz w:val="24"/>
          <w:szCs w:val="24"/>
        </w:rPr>
        <w:t>上海浦东发展银行股份有限公司</w:t>
      </w:r>
      <w:bookmarkEnd w:id="10"/>
    </w:p>
    <w:p w:rsidR="00420A6C" w:rsidRDefault="00420A6C">
      <w:pPr>
        <w:spacing w:line="360" w:lineRule="auto"/>
        <w:ind w:firstLineChars="200" w:firstLine="480"/>
        <w:rPr>
          <w:rFonts w:ascii="宋体" w:hAnsi="宋体"/>
          <w:sz w:val="24"/>
        </w:rPr>
      </w:pPr>
      <w:r>
        <w:rPr>
          <w:rFonts w:ascii="宋体" w:hAnsi="宋体" w:hint="eastAsia"/>
          <w:sz w:val="24"/>
        </w:rPr>
        <w:t>办公地址：上海市中山东一路12号</w:t>
      </w:r>
    </w:p>
    <w:p w:rsidR="00420A6C" w:rsidRDefault="00420A6C">
      <w:pPr>
        <w:spacing w:line="360" w:lineRule="auto"/>
        <w:ind w:firstLineChars="200" w:firstLine="480"/>
        <w:rPr>
          <w:rFonts w:ascii="宋体" w:hAnsi="宋体"/>
          <w:sz w:val="24"/>
        </w:rPr>
      </w:pPr>
      <w:r>
        <w:rPr>
          <w:rFonts w:ascii="宋体" w:hAnsi="宋体" w:hint="eastAsia"/>
          <w:sz w:val="24"/>
        </w:rPr>
        <w:t>法定代表人：高国富</w:t>
      </w:r>
    </w:p>
    <w:p w:rsidR="00420A6C" w:rsidRDefault="00420A6C">
      <w:pPr>
        <w:spacing w:line="360" w:lineRule="auto"/>
        <w:ind w:firstLineChars="200" w:firstLine="480"/>
        <w:rPr>
          <w:rFonts w:ascii="宋体" w:hAnsi="宋体"/>
          <w:sz w:val="24"/>
        </w:rPr>
      </w:pPr>
      <w:r>
        <w:rPr>
          <w:rFonts w:ascii="宋体" w:hAnsi="宋体" w:hint="eastAsia"/>
          <w:sz w:val="24"/>
        </w:rPr>
        <w:t>成立日期：1992年10月19日</w:t>
      </w:r>
    </w:p>
    <w:p w:rsidR="00420A6C" w:rsidRDefault="00420A6C">
      <w:pPr>
        <w:spacing w:line="360" w:lineRule="auto"/>
        <w:ind w:firstLineChars="200" w:firstLine="480"/>
        <w:rPr>
          <w:rFonts w:ascii="宋体" w:hAnsi="宋体"/>
          <w:sz w:val="24"/>
        </w:rPr>
      </w:pPr>
      <w:r>
        <w:rPr>
          <w:rFonts w:ascii="宋体" w:hAnsi="宋体" w:hint="eastAsia"/>
          <w:sz w:val="24"/>
        </w:rPr>
        <w:t>基金托管业务资格批准机关：中国证监会</w:t>
      </w:r>
    </w:p>
    <w:p w:rsidR="00420A6C" w:rsidRDefault="00420A6C">
      <w:pPr>
        <w:spacing w:line="360" w:lineRule="auto"/>
        <w:ind w:firstLineChars="200" w:firstLine="480"/>
        <w:rPr>
          <w:rFonts w:ascii="宋体" w:hAnsi="宋体"/>
          <w:sz w:val="24"/>
        </w:rPr>
      </w:pPr>
      <w:r>
        <w:rPr>
          <w:rFonts w:ascii="宋体" w:hAnsi="宋体" w:hint="eastAsia"/>
          <w:sz w:val="24"/>
        </w:rPr>
        <w:t>基金托管业务资格文号：证</w:t>
      </w:r>
      <w:proofErr w:type="gramStart"/>
      <w:r>
        <w:rPr>
          <w:rFonts w:ascii="宋体" w:hAnsi="宋体" w:hint="eastAsia"/>
          <w:sz w:val="24"/>
        </w:rPr>
        <w:t>监基金字</w:t>
      </w:r>
      <w:proofErr w:type="gramEnd"/>
      <w:r>
        <w:rPr>
          <w:rFonts w:ascii="宋体" w:hAnsi="宋体" w:hint="eastAsia"/>
          <w:sz w:val="24"/>
        </w:rPr>
        <w:t>[2003]105号</w:t>
      </w:r>
    </w:p>
    <w:p w:rsidR="00420A6C" w:rsidRDefault="00420A6C">
      <w:pPr>
        <w:spacing w:line="360" w:lineRule="auto"/>
        <w:ind w:firstLineChars="200" w:firstLine="480"/>
        <w:rPr>
          <w:rFonts w:ascii="宋体" w:hAnsi="宋体"/>
          <w:sz w:val="24"/>
        </w:rPr>
      </w:pPr>
    </w:p>
    <w:p w:rsidR="00420A6C" w:rsidRDefault="00420A6C">
      <w:pPr>
        <w:spacing w:line="360" w:lineRule="auto"/>
        <w:ind w:firstLineChars="200" w:firstLine="480"/>
        <w:rPr>
          <w:rFonts w:ascii="宋体" w:hAnsi="宋体"/>
          <w:sz w:val="24"/>
        </w:rPr>
      </w:pPr>
    </w:p>
    <w:p w:rsidR="00420A6C" w:rsidRDefault="00420A6C">
      <w:pPr>
        <w:widowControl/>
        <w:jc w:val="left"/>
        <w:rPr>
          <w:rFonts w:ascii="宋体" w:hAnsi="宋体"/>
          <w:sz w:val="24"/>
        </w:rPr>
      </w:pPr>
      <w:r>
        <w:rPr>
          <w:rFonts w:ascii="宋体" w:hAnsi="宋体"/>
          <w:sz w:val="24"/>
        </w:rPr>
        <w:br w:type="page"/>
      </w:r>
    </w:p>
    <w:p w:rsidR="00420A6C" w:rsidRDefault="00420A6C">
      <w:pPr>
        <w:spacing w:line="360" w:lineRule="auto"/>
        <w:ind w:firstLineChars="200" w:firstLine="480"/>
        <w:rPr>
          <w:rFonts w:ascii="宋体" w:hAnsi="宋体"/>
          <w:sz w:val="24"/>
        </w:rPr>
      </w:pPr>
    </w:p>
    <w:p w:rsidR="00420A6C" w:rsidRDefault="00420A6C">
      <w:pPr>
        <w:pStyle w:val="1"/>
        <w:keepNext w:val="0"/>
        <w:keepLines w:val="0"/>
        <w:numPr>
          <w:ilvl w:val="0"/>
          <w:numId w:val="2"/>
        </w:numPr>
        <w:tabs>
          <w:tab w:val="left" w:pos="420"/>
          <w:tab w:val="left" w:pos="1922"/>
        </w:tabs>
        <w:autoSpaceDE w:val="0"/>
        <w:autoSpaceDN w:val="0"/>
        <w:adjustRightInd w:val="0"/>
        <w:spacing w:before="360" w:after="360"/>
        <w:textAlignment w:val="baseline"/>
        <w:rPr>
          <w:rFonts w:ascii="宋体" w:eastAsia="宋体" w:hAnsi="宋体" w:cs="Arial"/>
          <w:sz w:val="30"/>
          <w:szCs w:val="30"/>
        </w:rPr>
      </w:pPr>
      <w:bookmarkStart w:id="11" w:name="_Toc382819071"/>
      <w:r>
        <w:rPr>
          <w:rFonts w:ascii="宋体" w:eastAsia="宋体" w:hAnsi="宋体" w:cs="Arial" w:hint="eastAsia"/>
          <w:sz w:val="30"/>
          <w:szCs w:val="30"/>
        </w:rPr>
        <w:t>基金托管协议的依据、目的、原则和解释</w:t>
      </w:r>
      <w:bookmarkEnd w:id="11"/>
    </w:p>
    <w:p w:rsidR="00420A6C" w:rsidRDefault="00420A6C">
      <w:pPr>
        <w:spacing w:line="360" w:lineRule="auto"/>
        <w:ind w:firstLineChars="200" w:firstLine="420"/>
        <w:rPr>
          <w:rFonts w:ascii="宋体" w:hAnsi="宋体"/>
          <w:szCs w:val="21"/>
        </w:rPr>
      </w:pPr>
      <w:r>
        <w:rPr>
          <w:rFonts w:ascii="宋体" w:hAnsi="宋体" w:hint="eastAsia"/>
          <w:szCs w:val="21"/>
        </w:rPr>
        <w:t>（一）依据</w:t>
      </w:r>
    </w:p>
    <w:p w:rsidR="00420A6C" w:rsidRDefault="00420A6C">
      <w:pPr>
        <w:spacing w:line="360" w:lineRule="auto"/>
        <w:ind w:firstLineChars="200" w:firstLine="420"/>
        <w:rPr>
          <w:rFonts w:ascii="宋体" w:hAnsi="宋体"/>
          <w:szCs w:val="21"/>
        </w:rPr>
      </w:pPr>
      <w:r>
        <w:rPr>
          <w:rFonts w:ascii="宋体" w:hAnsi="宋体" w:hint="eastAsia"/>
          <w:szCs w:val="21"/>
        </w:rPr>
        <w:t>本托管协议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证券投资基金托管业务管理办法》、《证券投资基金信息披露内容与格式准则第7号〈托管协议的内容与格式〉》、《证券投资基金销售管理办法》（以下简称“《销售办法》”）、《公开募集证券投资基金运作指引第2号——基金中基金指引》（以下简称“《指引》”）、《基金中基金（FOF）审核指引》、《公开募集开放式证券投资基金流动性风险管理规定》（以下简称“《流动性风险管理规定》”）、《养老目标证券投资基金指引（试行）》、《基金中基金估值业务指引（试行）》</w:t>
      </w:r>
      <w:r w:rsidR="00D33F74" w:rsidRPr="00D33F74">
        <w:rPr>
          <w:rFonts w:ascii="宋体" w:hAnsi="宋体" w:hint="eastAsia"/>
          <w:szCs w:val="21"/>
        </w:rPr>
        <w:t>、《个人养老金投资公开募集证券投资基金业务管理暂行规定》</w:t>
      </w:r>
      <w:r w:rsidR="00D33F74">
        <w:rPr>
          <w:rFonts w:ascii="宋体" w:hAnsi="宋体" w:hint="eastAsia"/>
          <w:szCs w:val="21"/>
        </w:rPr>
        <w:t>、</w:t>
      </w:r>
      <w:r>
        <w:rPr>
          <w:rFonts w:ascii="宋体" w:hAnsi="宋体" w:hint="eastAsia"/>
          <w:szCs w:val="21"/>
        </w:rPr>
        <w:t>《银华尊尚稳健养老目标一年持有期混合型发起式基金中基金（FOF）基金合同》（以下简称“《基金合同》”）及其他有关法律、法规制定。</w:t>
      </w:r>
    </w:p>
    <w:p w:rsidR="00420A6C" w:rsidRDefault="00420A6C">
      <w:pPr>
        <w:spacing w:line="360" w:lineRule="auto"/>
        <w:ind w:firstLineChars="200" w:firstLine="420"/>
        <w:rPr>
          <w:rFonts w:ascii="宋体" w:hAnsi="宋体"/>
          <w:szCs w:val="21"/>
        </w:rPr>
      </w:pPr>
      <w:r>
        <w:rPr>
          <w:rFonts w:ascii="宋体" w:hAnsi="宋体" w:hint="eastAsia"/>
          <w:szCs w:val="21"/>
        </w:rPr>
        <w:t>（二）目的</w:t>
      </w:r>
    </w:p>
    <w:p w:rsidR="00420A6C" w:rsidRDefault="00420A6C">
      <w:pPr>
        <w:spacing w:line="360" w:lineRule="auto"/>
        <w:ind w:firstLineChars="200" w:firstLine="420"/>
        <w:rPr>
          <w:rFonts w:ascii="宋体" w:hAnsi="宋体"/>
          <w:szCs w:val="21"/>
        </w:rPr>
      </w:pPr>
      <w:r>
        <w:rPr>
          <w:rFonts w:ascii="宋体" w:hAnsi="宋体" w:hint="eastAsia"/>
          <w:szCs w:val="21"/>
        </w:rPr>
        <w:t>本托管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420A6C" w:rsidRDefault="00420A6C">
      <w:pPr>
        <w:spacing w:line="360" w:lineRule="auto"/>
        <w:ind w:firstLineChars="200" w:firstLine="420"/>
        <w:rPr>
          <w:rFonts w:ascii="宋体" w:hAnsi="宋体"/>
          <w:szCs w:val="21"/>
        </w:rPr>
      </w:pPr>
      <w:r>
        <w:rPr>
          <w:rFonts w:ascii="宋体" w:hAnsi="宋体" w:hint="eastAsia"/>
          <w:szCs w:val="21"/>
        </w:rPr>
        <w:t>（三）原则</w:t>
      </w:r>
    </w:p>
    <w:p w:rsidR="00420A6C" w:rsidRDefault="00420A6C">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基金管理人和基金托管人本着平等自愿、诚实信用、充分保护基金份额持有人合法权益的原则，经协商一致，签订本托管协议。</w:t>
      </w:r>
    </w:p>
    <w:p w:rsidR="00420A6C" w:rsidRDefault="00420A6C">
      <w:pPr>
        <w:spacing w:after="120" w:line="360" w:lineRule="auto"/>
        <w:ind w:firstLineChars="200" w:firstLine="420"/>
        <w:rPr>
          <w:rFonts w:ascii="宋体" w:hAnsi="宋体"/>
          <w:szCs w:val="21"/>
        </w:rPr>
      </w:pPr>
      <w:r>
        <w:rPr>
          <w:rFonts w:ascii="宋体" w:hAnsi="宋体" w:hint="eastAsia"/>
          <w:szCs w:val="21"/>
        </w:rPr>
        <w:t>（四）解释</w:t>
      </w:r>
    </w:p>
    <w:p w:rsidR="00420A6C" w:rsidRDefault="00420A6C">
      <w:pPr>
        <w:spacing w:after="120" w:line="360" w:lineRule="auto"/>
        <w:ind w:firstLineChars="200" w:firstLine="420"/>
        <w:rPr>
          <w:rFonts w:ascii="宋体" w:hAnsi="宋体"/>
          <w:szCs w:val="21"/>
        </w:rPr>
      </w:pPr>
      <w:r>
        <w:rPr>
          <w:rFonts w:ascii="宋体" w:hAnsi="宋体" w:hint="eastAsia"/>
          <w:szCs w:val="21"/>
        </w:rPr>
        <w:t>除非本托管协议另有约定，本托管协议所有术语与《基金合同》的相应术语具有相同含义。</w:t>
      </w:r>
    </w:p>
    <w:p w:rsidR="00420A6C" w:rsidRDefault="00420A6C">
      <w:pPr>
        <w:spacing w:after="120" w:line="360" w:lineRule="auto"/>
        <w:ind w:firstLineChars="200" w:firstLine="420"/>
        <w:rPr>
          <w:rFonts w:ascii="宋体" w:hAnsi="宋体"/>
          <w:szCs w:val="21"/>
        </w:rPr>
      </w:pPr>
      <w:r>
        <w:rPr>
          <w:rFonts w:ascii="宋体" w:hAnsi="宋体" w:hint="eastAsia"/>
          <w:szCs w:val="21"/>
        </w:rPr>
        <w:t>本基金信息披露事项以法律法规规定及基金合同“第十八部分  基金的信息披露”约定的内容为准。</w:t>
      </w:r>
    </w:p>
    <w:p w:rsidR="00420A6C" w:rsidRDefault="00420A6C" w:rsidP="00D30E63">
      <w:pPr>
        <w:spacing w:after="120" w:line="360" w:lineRule="auto"/>
        <w:ind w:firstLineChars="200" w:firstLine="420"/>
        <w:rPr>
          <w:rFonts w:ascii="宋体" w:hAnsi="宋体"/>
          <w:szCs w:val="21"/>
        </w:rPr>
      </w:pPr>
      <w:r w:rsidRPr="00D30E63">
        <w:rPr>
          <w:rFonts w:ascii="宋体" w:hAnsi="宋体" w:hint="eastAsia"/>
          <w:szCs w:val="21"/>
        </w:rPr>
        <w:t>若本基金实施</w:t>
      </w:r>
      <w:proofErr w:type="gramStart"/>
      <w:r w:rsidRPr="00D30E63">
        <w:rPr>
          <w:rFonts w:ascii="宋体" w:hAnsi="宋体" w:hint="eastAsia"/>
          <w:szCs w:val="21"/>
        </w:rPr>
        <w:t>侧袋机制</w:t>
      </w:r>
      <w:proofErr w:type="gramEnd"/>
      <w:r w:rsidRPr="00D30E63">
        <w:rPr>
          <w:rFonts w:ascii="宋体" w:hAnsi="宋体" w:hint="eastAsia"/>
          <w:szCs w:val="21"/>
        </w:rPr>
        <w:t>的，</w:t>
      </w:r>
      <w:proofErr w:type="gramStart"/>
      <w:r w:rsidRPr="00D30E63">
        <w:rPr>
          <w:rFonts w:ascii="宋体" w:hAnsi="宋体" w:hint="eastAsia"/>
          <w:szCs w:val="21"/>
        </w:rPr>
        <w:t>侧袋机制</w:t>
      </w:r>
      <w:proofErr w:type="gramEnd"/>
      <w:r w:rsidRPr="00D30E63">
        <w:rPr>
          <w:rFonts w:ascii="宋体" w:hAnsi="宋体" w:hint="eastAsia"/>
          <w:szCs w:val="21"/>
        </w:rPr>
        <w:t>实施期间的相关安排</w:t>
      </w:r>
      <w:proofErr w:type="gramStart"/>
      <w:r w:rsidRPr="00D30E63">
        <w:rPr>
          <w:rFonts w:ascii="宋体" w:hAnsi="宋体" w:hint="eastAsia"/>
          <w:szCs w:val="21"/>
        </w:rPr>
        <w:t>见基金</w:t>
      </w:r>
      <w:proofErr w:type="gramEnd"/>
      <w:r w:rsidRPr="00D30E63">
        <w:rPr>
          <w:rFonts w:ascii="宋体" w:hAnsi="宋体" w:hint="eastAsia"/>
          <w:szCs w:val="21"/>
        </w:rPr>
        <w:t>合同和招募说明书的规</w:t>
      </w:r>
      <w:r w:rsidRPr="00D30E63">
        <w:rPr>
          <w:rFonts w:ascii="宋体" w:hAnsi="宋体" w:hint="eastAsia"/>
          <w:szCs w:val="21"/>
        </w:rPr>
        <w:lastRenderedPageBreak/>
        <w:t>定。</w:t>
      </w:r>
    </w:p>
    <w:p w:rsidR="00420A6C" w:rsidRDefault="00420A6C">
      <w:pPr>
        <w:pStyle w:val="1"/>
        <w:keepNext w:val="0"/>
        <w:keepLines w:val="0"/>
        <w:numPr>
          <w:ilvl w:val="0"/>
          <w:numId w:val="2"/>
        </w:numPr>
        <w:tabs>
          <w:tab w:val="left" w:pos="420"/>
          <w:tab w:val="left" w:pos="1922"/>
        </w:tabs>
        <w:autoSpaceDE w:val="0"/>
        <w:autoSpaceDN w:val="0"/>
        <w:adjustRightInd w:val="0"/>
        <w:spacing w:before="360" w:after="360"/>
        <w:textAlignment w:val="baseline"/>
        <w:rPr>
          <w:rFonts w:ascii="宋体" w:eastAsia="宋体" w:hAnsi="宋体" w:cs="Arial"/>
          <w:sz w:val="30"/>
          <w:szCs w:val="30"/>
        </w:rPr>
      </w:pPr>
      <w:bookmarkStart w:id="12" w:name="_Toc382819072"/>
      <w:r>
        <w:rPr>
          <w:rFonts w:ascii="宋体" w:eastAsia="宋体" w:hAnsi="宋体" w:cs="Arial" w:hint="eastAsia"/>
          <w:sz w:val="30"/>
          <w:szCs w:val="30"/>
        </w:rPr>
        <w:t>基金托管人对基金管理人的业务监督和核查</w:t>
      </w:r>
      <w:bookmarkEnd w:id="12"/>
    </w:p>
    <w:p w:rsidR="00420A6C" w:rsidRDefault="00420A6C">
      <w:pPr>
        <w:pStyle w:val="2"/>
        <w:keepNext w:val="0"/>
        <w:keepLines w:val="0"/>
        <w:autoSpaceDE w:val="0"/>
        <w:autoSpaceDN w:val="0"/>
        <w:adjustRightInd w:val="0"/>
        <w:spacing w:beforeLines="50" w:before="156" w:afterLines="50" w:after="156"/>
        <w:ind w:firstLineChars="150" w:firstLine="315"/>
        <w:textAlignment w:val="baseline"/>
        <w:rPr>
          <w:rFonts w:ascii="宋体" w:eastAsia="宋体" w:hAnsi="宋体"/>
          <w:b w:val="0"/>
          <w:sz w:val="21"/>
          <w:szCs w:val="21"/>
        </w:rPr>
      </w:pPr>
      <w:bookmarkStart w:id="13" w:name="_Toc382819073"/>
      <w:r>
        <w:rPr>
          <w:rFonts w:ascii="宋体" w:eastAsia="宋体" w:hAnsi="宋体" w:hint="eastAsia"/>
          <w:b w:val="0"/>
          <w:sz w:val="21"/>
          <w:szCs w:val="21"/>
        </w:rPr>
        <w:t>（一）基金托管人对基金管理人的投资行为行使监督权</w:t>
      </w:r>
      <w:bookmarkEnd w:id="13"/>
    </w:p>
    <w:p w:rsidR="00420A6C" w:rsidRDefault="00420A6C">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rsidR="00420A6C" w:rsidRDefault="00420A6C">
      <w:pPr>
        <w:widowControl/>
        <w:spacing w:line="324" w:lineRule="auto"/>
        <w:ind w:firstLineChars="200" w:firstLine="420"/>
        <w:jc w:val="left"/>
        <w:rPr>
          <w:rFonts w:ascii="宋体" w:hAnsi="宋体" w:cs="宋体"/>
          <w:kern w:val="0"/>
          <w:szCs w:val="21"/>
        </w:rPr>
      </w:pPr>
      <w:r>
        <w:rPr>
          <w:rFonts w:ascii="宋体" w:hAnsi="宋体" w:hint="eastAsia"/>
          <w:szCs w:val="21"/>
        </w:rPr>
        <w:t>本</w:t>
      </w:r>
      <w:r>
        <w:rPr>
          <w:rFonts w:ascii="宋体" w:hAnsi="宋体" w:cs="宋体" w:hint="eastAsia"/>
          <w:kern w:val="0"/>
          <w:szCs w:val="21"/>
        </w:rPr>
        <w:t>基金将投资于以下金融工具：</w:t>
      </w:r>
    </w:p>
    <w:p w:rsidR="00420A6C" w:rsidRDefault="00420A6C">
      <w:pPr>
        <w:widowControl/>
        <w:spacing w:line="324" w:lineRule="auto"/>
        <w:ind w:firstLineChars="200" w:firstLine="420"/>
        <w:jc w:val="left"/>
        <w:rPr>
          <w:rFonts w:ascii="宋体" w:hAnsi="宋体"/>
          <w:szCs w:val="21"/>
        </w:rPr>
      </w:pPr>
      <w:r>
        <w:rPr>
          <w:rFonts w:ascii="宋体" w:hAnsi="宋体" w:hint="eastAsia"/>
          <w:szCs w:val="21"/>
        </w:rPr>
        <w:t>本基金主要投资于依法核准或注册的公开募集的证券投资基金、股票、债券等金融工具及法律法规或中国证监会允许基金投资的其他金融工具。具体包括：经中国证监会依法核准或注册的公开募集的证券投资基金（含</w:t>
      </w:r>
      <w:r>
        <w:rPr>
          <w:rFonts w:ascii="宋体" w:hAnsi="宋体"/>
          <w:szCs w:val="21"/>
        </w:rPr>
        <w:t>QDII基金、香港互认基金）、股票（包括中小板股票、创业板股票</w:t>
      </w:r>
      <w:r w:rsidRPr="00D30E63">
        <w:rPr>
          <w:rFonts w:ascii="宋体" w:hAnsi="宋体" w:hint="eastAsia"/>
          <w:szCs w:val="21"/>
        </w:rPr>
        <w:t>、存托凭证</w:t>
      </w:r>
      <w:r>
        <w:rPr>
          <w:rFonts w:ascii="宋体" w:hAnsi="宋体"/>
          <w:szCs w:val="21"/>
        </w:rPr>
        <w:t>及其他经中国证监会核准上市的股票）、债券（包括国债、金融债券、企业债券、公司债券、央行票据、中期票据、短期融资</w:t>
      </w:r>
      <w:proofErr w:type="gramStart"/>
      <w:r>
        <w:rPr>
          <w:rFonts w:ascii="宋体" w:hAnsi="宋体"/>
          <w:szCs w:val="21"/>
        </w:rPr>
        <w:t>券</w:t>
      </w:r>
      <w:proofErr w:type="gramEnd"/>
      <w:r>
        <w:rPr>
          <w:rFonts w:ascii="宋体" w:hAnsi="宋体"/>
          <w:szCs w:val="21"/>
        </w:rPr>
        <w:t>、超短期融资</w:t>
      </w:r>
      <w:proofErr w:type="gramStart"/>
      <w:r>
        <w:rPr>
          <w:rFonts w:ascii="宋体" w:hAnsi="宋体"/>
          <w:szCs w:val="21"/>
        </w:rPr>
        <w:t>券</w:t>
      </w:r>
      <w:proofErr w:type="gramEnd"/>
      <w:r>
        <w:rPr>
          <w:rFonts w:ascii="宋体" w:hAnsi="宋体"/>
          <w:szCs w:val="21"/>
        </w:rPr>
        <w:t>、次级债券、地方政府债券、可转换公司债</w:t>
      </w:r>
      <w:proofErr w:type="gramStart"/>
      <w:r>
        <w:rPr>
          <w:rFonts w:ascii="宋体" w:hAnsi="宋体"/>
          <w:szCs w:val="21"/>
        </w:rPr>
        <w:t>券</w:t>
      </w:r>
      <w:proofErr w:type="gramEnd"/>
      <w:r>
        <w:rPr>
          <w:rFonts w:ascii="宋体" w:hAnsi="宋体"/>
          <w:szCs w:val="21"/>
        </w:rPr>
        <w:t>及分离交易可转债、可交换债券及其他经中国证监会允许投资的债券）、资产支持证券、债券回购、银行存款（包括协议存款、定期存款以及其他银行存款）、同业存单等、现金以及法律法规或中国证监会允许基金投资的其他金融工具（但须符合中国证监会的相关规定）。</w:t>
      </w:r>
    </w:p>
    <w:p w:rsidR="00420A6C" w:rsidRDefault="00420A6C">
      <w:pPr>
        <w:widowControl/>
        <w:spacing w:line="324" w:lineRule="auto"/>
        <w:ind w:firstLineChars="200" w:firstLine="420"/>
        <w:jc w:val="left"/>
        <w:rPr>
          <w:rFonts w:ascii="宋体" w:hAnsi="宋体"/>
          <w:bCs/>
          <w:szCs w:val="21"/>
        </w:rPr>
      </w:pPr>
      <w:r>
        <w:rPr>
          <w:rFonts w:ascii="宋体" w:hAnsi="宋体" w:hint="eastAsia"/>
          <w:bCs/>
          <w:szCs w:val="21"/>
        </w:rPr>
        <w:t>如法律法规或监管机构以后允许基金投资其他品种，基金管理人在履行适当程序后，可以将其纳入投资范围。</w:t>
      </w:r>
    </w:p>
    <w:p w:rsidR="00420A6C" w:rsidRDefault="00420A6C">
      <w:pPr>
        <w:widowControl/>
        <w:spacing w:line="324" w:lineRule="auto"/>
        <w:ind w:firstLineChars="200" w:firstLine="420"/>
        <w:jc w:val="left"/>
        <w:rPr>
          <w:rFonts w:ascii="宋体" w:hAnsi="宋体"/>
          <w:kern w:val="0"/>
          <w:szCs w:val="21"/>
        </w:rPr>
      </w:pPr>
      <w:r>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rsidR="00420A6C" w:rsidRDefault="00420A6C">
      <w:pPr>
        <w:widowControl/>
        <w:spacing w:line="324" w:lineRule="auto"/>
        <w:ind w:firstLineChars="200" w:firstLine="420"/>
        <w:jc w:val="left"/>
        <w:rPr>
          <w:rFonts w:ascii="宋体" w:hAnsi="宋体"/>
          <w:kern w:val="0"/>
          <w:szCs w:val="21"/>
        </w:rPr>
      </w:pPr>
      <w:r>
        <w:rPr>
          <w:rFonts w:ascii="宋体" w:hAnsi="宋体" w:hint="eastAsia"/>
          <w:kern w:val="0"/>
          <w:szCs w:val="21"/>
        </w:rPr>
        <w:t>本基金不得投资于相关法律、法规、部门规章及《基金合同》禁止投资的投资工具。</w:t>
      </w:r>
    </w:p>
    <w:p w:rsidR="00420A6C" w:rsidRDefault="00420A6C">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rsidR="00420A6C" w:rsidRDefault="00420A6C">
      <w:pPr>
        <w:spacing w:line="324" w:lineRule="auto"/>
        <w:ind w:firstLine="480"/>
        <w:rPr>
          <w:rFonts w:ascii="宋体" w:hAnsi="宋体"/>
          <w:szCs w:val="21"/>
        </w:rPr>
      </w:pPr>
      <w:r>
        <w:rPr>
          <w:rFonts w:ascii="宋体" w:hAnsi="宋体" w:hint="eastAsia"/>
          <w:szCs w:val="21"/>
        </w:rPr>
        <w:t>（1）按法律法规的规定及《基金合同》的约定，本基金的投资资产配置比例为：</w:t>
      </w:r>
    </w:p>
    <w:p w:rsidR="00420A6C" w:rsidRDefault="00420A6C">
      <w:pPr>
        <w:adjustRightInd w:val="0"/>
        <w:snapToGrid w:val="0"/>
        <w:spacing w:line="360" w:lineRule="auto"/>
        <w:ind w:firstLineChars="200" w:firstLine="420"/>
        <w:rPr>
          <w:rFonts w:ascii="宋体" w:hAnsi="宋体" w:cs="Calibri"/>
          <w:bCs/>
          <w:szCs w:val="21"/>
        </w:rPr>
      </w:pPr>
      <w:r>
        <w:rPr>
          <w:rFonts w:ascii="宋体" w:hAnsi="宋体" w:cs="Calibri" w:hint="eastAsia"/>
          <w:bCs/>
          <w:szCs w:val="21"/>
        </w:rPr>
        <w:t>本基金投资组合比例为：80%以上的基金资产投资于经中国证监会依法核准或注册的公开募集的基金份额（含QDII基金、香港互认基金），其中，基金投资于股票、股票型基金和混合型基金及商品基金（</w:t>
      </w:r>
      <w:proofErr w:type="gramStart"/>
      <w:r>
        <w:rPr>
          <w:rFonts w:ascii="宋体" w:hAnsi="宋体" w:cs="Calibri" w:hint="eastAsia"/>
          <w:bCs/>
          <w:szCs w:val="21"/>
        </w:rPr>
        <w:t>含商品</w:t>
      </w:r>
      <w:proofErr w:type="gramEnd"/>
      <w:r>
        <w:rPr>
          <w:rFonts w:ascii="宋体" w:hAnsi="宋体" w:cs="Calibri" w:hint="eastAsia"/>
          <w:bCs/>
          <w:szCs w:val="21"/>
        </w:rPr>
        <w:t>期货基金和黄金ETF）等品种的比例合计原则上不超过基金资产的30%。基金经理可以在符合本基金投资目标和投资策略的前提下，结合自身</w:t>
      </w:r>
      <w:proofErr w:type="gramStart"/>
      <w:r>
        <w:rPr>
          <w:rFonts w:ascii="宋体" w:hAnsi="宋体" w:cs="Calibri" w:hint="eastAsia"/>
          <w:bCs/>
          <w:szCs w:val="21"/>
        </w:rPr>
        <w:t>研</w:t>
      </w:r>
      <w:proofErr w:type="gramEnd"/>
      <w:r>
        <w:rPr>
          <w:rFonts w:ascii="宋体" w:hAnsi="宋体" w:cs="Calibri" w:hint="eastAsia"/>
          <w:bCs/>
          <w:szCs w:val="21"/>
        </w:rPr>
        <w:t>判、投资经验等，对风险资产进行战术调整，本基金所指的风险资产包括股票、股票型基金和混合型基金（此处混合型基金仅包括在基金合同中列明股票投资比例不低于基金资产的50%或近</w:t>
      </w:r>
      <w:r>
        <w:rPr>
          <w:rFonts w:ascii="宋体" w:hAnsi="宋体" w:cs="Calibri" w:hint="eastAsia"/>
          <w:bCs/>
          <w:szCs w:val="21"/>
        </w:rPr>
        <w:lastRenderedPageBreak/>
        <w:t>4个季度披露的定期报告中股票</w:t>
      </w:r>
      <w:proofErr w:type="gramStart"/>
      <w:r>
        <w:rPr>
          <w:rFonts w:ascii="宋体" w:hAnsi="宋体" w:cs="Calibri" w:hint="eastAsia"/>
          <w:bCs/>
          <w:szCs w:val="21"/>
        </w:rPr>
        <w:t>仓位</w:t>
      </w:r>
      <w:proofErr w:type="gramEnd"/>
      <w:r>
        <w:rPr>
          <w:rFonts w:ascii="宋体" w:hAnsi="宋体" w:cs="Calibri" w:hint="eastAsia"/>
          <w:bCs/>
          <w:szCs w:val="21"/>
        </w:rPr>
        <w:t>均不低于基金资产的50%的混合型基金）及商品基金（</w:t>
      </w:r>
      <w:proofErr w:type="gramStart"/>
      <w:r>
        <w:rPr>
          <w:rFonts w:ascii="宋体" w:hAnsi="宋体" w:cs="Calibri" w:hint="eastAsia"/>
          <w:bCs/>
          <w:szCs w:val="21"/>
        </w:rPr>
        <w:t>含商品</w:t>
      </w:r>
      <w:proofErr w:type="gramEnd"/>
      <w:r>
        <w:rPr>
          <w:rFonts w:ascii="宋体" w:hAnsi="宋体" w:cs="Calibri" w:hint="eastAsia"/>
          <w:bCs/>
          <w:szCs w:val="21"/>
        </w:rPr>
        <w:t>期货基金和黄金ETF）等品种，风险资产的配置比例基准为25%，向上、向下的战术调整幅度分别不得超过5%、10%，即风险资产占基金资产的比例在15%-30%之间。现金或者到期日在一年以内的政府债券不低于基金资产净值的5%；其中，现金不包括结算备付金、存出保证金、应收申购款等。</w:t>
      </w:r>
    </w:p>
    <w:p w:rsidR="00420A6C" w:rsidRDefault="00420A6C">
      <w:pPr>
        <w:spacing w:line="360" w:lineRule="auto"/>
        <w:ind w:firstLine="420"/>
        <w:rPr>
          <w:rFonts w:ascii="宋体" w:hAnsi="宋体" w:cs="Calibri"/>
          <w:bCs/>
          <w:szCs w:val="21"/>
        </w:rPr>
      </w:pPr>
      <w:r>
        <w:rPr>
          <w:rFonts w:ascii="宋体" w:hAnsi="宋体" w:cs="Calibri" w:hint="eastAsia"/>
          <w:bCs/>
          <w:szCs w:val="21"/>
        </w:rPr>
        <w:t>如果法律法规或中国证监会变更投资品种的投资比例限制，基金管理人在履行适当程序后，可以调整上述投资品种的投资比例。</w:t>
      </w:r>
    </w:p>
    <w:p w:rsidR="00420A6C" w:rsidRDefault="00420A6C">
      <w:pPr>
        <w:spacing w:line="360" w:lineRule="auto"/>
        <w:ind w:firstLine="420"/>
        <w:rPr>
          <w:rFonts w:ascii="宋体" w:hAnsi="宋体"/>
          <w:szCs w:val="21"/>
        </w:rPr>
      </w:pPr>
      <w:r>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rsidR="00420A6C" w:rsidRDefault="00420A6C">
      <w:pPr>
        <w:spacing w:line="324" w:lineRule="auto"/>
        <w:ind w:firstLine="480"/>
        <w:rPr>
          <w:rFonts w:ascii="宋体" w:hAnsi="宋体"/>
          <w:szCs w:val="21"/>
        </w:rPr>
      </w:pPr>
      <w:r>
        <w:rPr>
          <w:rFonts w:ascii="宋体" w:hAnsi="宋体" w:hint="eastAsia"/>
          <w:szCs w:val="21"/>
        </w:rPr>
        <w:t>（2）根据法律法规的规定及《基金合同》的约定，本基金投资组合遵循以下投资限制：</w:t>
      </w:r>
    </w:p>
    <w:p w:rsidR="00420A6C" w:rsidRDefault="00420A6C">
      <w:pPr>
        <w:spacing w:line="324" w:lineRule="auto"/>
        <w:ind w:firstLine="480"/>
        <w:rPr>
          <w:rFonts w:ascii="宋体" w:hAnsi="宋体"/>
          <w:bCs/>
          <w:szCs w:val="21"/>
        </w:rPr>
      </w:pPr>
      <w:r>
        <w:rPr>
          <w:rFonts w:ascii="宋体" w:hAnsi="宋体"/>
          <w:bCs/>
          <w:szCs w:val="21"/>
        </w:rPr>
        <w:t>1）</w:t>
      </w:r>
      <w:r>
        <w:rPr>
          <w:rFonts w:ascii="宋体" w:hAnsi="宋体" w:hint="eastAsia"/>
          <w:bCs/>
          <w:szCs w:val="21"/>
        </w:rPr>
        <w:t>本基金</w:t>
      </w:r>
      <w:r>
        <w:rPr>
          <w:rFonts w:ascii="宋体" w:hAnsi="宋体" w:hint="eastAsia"/>
          <w:szCs w:val="21"/>
        </w:rPr>
        <w:t>80%以上的基金资产投资于经中国证监会依法核准或注册的公开募集的基金份额（含QDII基金、香港互认基金），其中，基金投资于股票、股票型基金和混合型基金及商品基金（</w:t>
      </w:r>
      <w:proofErr w:type="gramStart"/>
      <w:r>
        <w:rPr>
          <w:rFonts w:ascii="宋体" w:hAnsi="宋体" w:hint="eastAsia"/>
          <w:szCs w:val="21"/>
        </w:rPr>
        <w:t>含商品</w:t>
      </w:r>
      <w:proofErr w:type="gramEnd"/>
      <w:r>
        <w:rPr>
          <w:rFonts w:ascii="宋体" w:hAnsi="宋体" w:hint="eastAsia"/>
          <w:szCs w:val="21"/>
        </w:rPr>
        <w:t>期货基金和黄金ETF）等品种的比例合计原则上不超过基金资产的30%。基金经理可以在符合本基金投资目标和投资策略的前提下，结合自身</w:t>
      </w:r>
      <w:proofErr w:type="gramStart"/>
      <w:r>
        <w:rPr>
          <w:rFonts w:ascii="宋体" w:hAnsi="宋体" w:hint="eastAsia"/>
          <w:szCs w:val="21"/>
        </w:rPr>
        <w:t>研</w:t>
      </w:r>
      <w:proofErr w:type="gramEnd"/>
      <w:r>
        <w:rPr>
          <w:rFonts w:ascii="宋体" w:hAnsi="宋体" w:hint="eastAsia"/>
          <w:szCs w:val="21"/>
        </w:rPr>
        <w:t>判、投资经验等，对风险资产进行战术调整，本基金所指的风险资产包括股票、股票型基金和混合型基金（此处混合型基金仅包括在基金合同中列明股票投资比例不低于基金资产的50%或近4个季度披露的定期报告中股票</w:t>
      </w:r>
      <w:proofErr w:type="gramStart"/>
      <w:r>
        <w:rPr>
          <w:rFonts w:ascii="宋体" w:hAnsi="宋体" w:hint="eastAsia"/>
          <w:szCs w:val="21"/>
        </w:rPr>
        <w:t>仓位</w:t>
      </w:r>
      <w:proofErr w:type="gramEnd"/>
      <w:r>
        <w:rPr>
          <w:rFonts w:ascii="宋体" w:hAnsi="宋体" w:hint="eastAsia"/>
          <w:szCs w:val="21"/>
        </w:rPr>
        <w:t>均不低于基金资产的50%的混合型基金）及商品基金（</w:t>
      </w:r>
      <w:proofErr w:type="gramStart"/>
      <w:r>
        <w:rPr>
          <w:rFonts w:ascii="宋体" w:hAnsi="宋体" w:hint="eastAsia"/>
          <w:szCs w:val="21"/>
        </w:rPr>
        <w:t>含商品</w:t>
      </w:r>
      <w:proofErr w:type="gramEnd"/>
      <w:r>
        <w:rPr>
          <w:rFonts w:ascii="宋体" w:hAnsi="宋体" w:hint="eastAsia"/>
          <w:szCs w:val="21"/>
        </w:rPr>
        <w:t>期货基金和黄金ETF）等品种，风险资产的配置比例基准为25%，向上、向下的战术调整幅度分别不得超过5%、10%，即风险资产占基金资产的比例在15%-30%之间</w:t>
      </w:r>
      <w:r>
        <w:rPr>
          <w:rFonts w:ascii="宋体" w:hAnsi="宋体" w:hint="eastAsia"/>
          <w:bCs/>
          <w:szCs w:val="21"/>
        </w:rPr>
        <w:t>；</w:t>
      </w:r>
    </w:p>
    <w:p w:rsidR="00420A6C" w:rsidRDefault="00420A6C">
      <w:pPr>
        <w:spacing w:line="324" w:lineRule="auto"/>
        <w:ind w:firstLine="480"/>
        <w:rPr>
          <w:rFonts w:ascii="宋体" w:hAnsi="宋体"/>
          <w:bCs/>
          <w:szCs w:val="21"/>
        </w:rPr>
      </w:pPr>
      <w:r>
        <w:rPr>
          <w:rFonts w:ascii="宋体" w:hAnsi="宋体"/>
          <w:bCs/>
          <w:szCs w:val="21"/>
        </w:rPr>
        <w:t>2）本基金持有单只基金的市值，不得高于本基金资产净值的20%，且不得持有其他基</w:t>
      </w:r>
      <w:r>
        <w:rPr>
          <w:rFonts w:ascii="宋体" w:hAnsi="宋体" w:hint="eastAsia"/>
          <w:bCs/>
          <w:szCs w:val="21"/>
        </w:rPr>
        <w:t>金中基金；</w:t>
      </w:r>
    </w:p>
    <w:p w:rsidR="00420A6C" w:rsidRDefault="00420A6C">
      <w:pPr>
        <w:spacing w:line="324" w:lineRule="auto"/>
        <w:ind w:firstLine="480"/>
        <w:rPr>
          <w:rFonts w:ascii="宋体" w:hAnsi="宋体"/>
          <w:bCs/>
          <w:szCs w:val="21"/>
        </w:rPr>
      </w:pPr>
      <w:r>
        <w:rPr>
          <w:rFonts w:ascii="宋体" w:hAnsi="宋体"/>
          <w:bCs/>
          <w:szCs w:val="21"/>
        </w:rPr>
        <w:t>3）本基金投资其他基金时，</w:t>
      </w:r>
      <w:proofErr w:type="gramStart"/>
      <w:r>
        <w:rPr>
          <w:rFonts w:ascii="宋体" w:hAnsi="宋体"/>
          <w:bCs/>
          <w:szCs w:val="21"/>
        </w:rPr>
        <w:t>子基金</w:t>
      </w:r>
      <w:proofErr w:type="gramEnd"/>
      <w:r>
        <w:rPr>
          <w:rFonts w:ascii="宋体" w:hAnsi="宋体"/>
          <w:bCs/>
          <w:szCs w:val="21"/>
        </w:rPr>
        <w:t>运作期限应当不少于2年，最近2年平均季末基金净资产应当不低于2亿元；但若</w:t>
      </w:r>
      <w:proofErr w:type="gramStart"/>
      <w:r>
        <w:rPr>
          <w:rFonts w:ascii="宋体" w:hAnsi="宋体"/>
          <w:bCs/>
          <w:szCs w:val="21"/>
        </w:rPr>
        <w:t>子基金</w:t>
      </w:r>
      <w:proofErr w:type="gramEnd"/>
      <w:r>
        <w:rPr>
          <w:rFonts w:ascii="宋体" w:hAnsi="宋体"/>
          <w:bCs/>
          <w:szCs w:val="21"/>
        </w:rPr>
        <w:t>为指数基金、ETF和商品基金等品种的，运作期限应当不少于1年，最近定期报告披露的季末基金净资产应当不低于1亿元；</w:t>
      </w:r>
    </w:p>
    <w:p w:rsidR="00420A6C" w:rsidRDefault="00420A6C">
      <w:pPr>
        <w:spacing w:line="324" w:lineRule="auto"/>
        <w:ind w:firstLine="480"/>
        <w:rPr>
          <w:rFonts w:ascii="宋体" w:hAnsi="宋体"/>
          <w:bCs/>
          <w:szCs w:val="21"/>
        </w:rPr>
      </w:pPr>
      <w:r>
        <w:rPr>
          <w:rFonts w:ascii="宋体" w:hAnsi="宋体"/>
          <w:bCs/>
          <w:szCs w:val="21"/>
        </w:rPr>
        <w:t>4）同一管理人管理的全部基金中基金（ETF联接基金除外）持有单只基金不得超过被投资基金净资产的20</w:t>
      </w:r>
      <w:r>
        <w:rPr>
          <w:rFonts w:ascii="宋体" w:hAnsi="宋体" w:hint="eastAsia"/>
          <w:bCs/>
          <w:szCs w:val="21"/>
        </w:rPr>
        <w:t>%</w:t>
      </w:r>
      <w:r>
        <w:rPr>
          <w:rFonts w:ascii="宋体" w:hAnsi="宋体"/>
          <w:bCs/>
          <w:szCs w:val="21"/>
        </w:rPr>
        <w:t>，被投资基金净资产规模以最近定期报告披露的规模为准；</w:t>
      </w:r>
    </w:p>
    <w:p w:rsidR="00420A6C" w:rsidRDefault="00420A6C">
      <w:pPr>
        <w:spacing w:line="324" w:lineRule="auto"/>
        <w:ind w:firstLine="480"/>
        <w:rPr>
          <w:rFonts w:ascii="宋体" w:hAnsi="宋体"/>
          <w:bCs/>
          <w:szCs w:val="21"/>
        </w:rPr>
      </w:pPr>
      <w:r>
        <w:rPr>
          <w:rFonts w:ascii="宋体" w:hAnsi="宋体"/>
          <w:bCs/>
          <w:szCs w:val="21"/>
        </w:rPr>
        <w:t>5）不得持有具有复杂、衍生品性质的基金份额，包括分级基金和中国证监会认定的其他基金份额；</w:t>
      </w:r>
    </w:p>
    <w:p w:rsidR="00420A6C" w:rsidRDefault="00420A6C">
      <w:pPr>
        <w:spacing w:line="324" w:lineRule="auto"/>
        <w:ind w:firstLine="480"/>
        <w:rPr>
          <w:rFonts w:ascii="宋体" w:hAnsi="宋体"/>
          <w:bCs/>
          <w:szCs w:val="21"/>
        </w:rPr>
      </w:pPr>
      <w:r>
        <w:rPr>
          <w:rFonts w:ascii="宋体" w:hAnsi="宋体"/>
          <w:bCs/>
          <w:szCs w:val="21"/>
        </w:rPr>
        <w:t>6）现金或者到期日在一年以内的政府债券不低于基金资产净值的5%；其中，现金不包括结算备付金、存出保证金、应收申购款等；</w:t>
      </w:r>
    </w:p>
    <w:p w:rsidR="00420A6C" w:rsidRDefault="00420A6C">
      <w:pPr>
        <w:spacing w:line="324" w:lineRule="auto"/>
        <w:ind w:firstLine="480"/>
        <w:rPr>
          <w:rFonts w:ascii="宋体" w:hAnsi="宋体"/>
          <w:bCs/>
          <w:szCs w:val="21"/>
        </w:rPr>
      </w:pPr>
      <w:r>
        <w:rPr>
          <w:rFonts w:ascii="宋体" w:hAnsi="宋体"/>
          <w:bCs/>
          <w:szCs w:val="21"/>
        </w:rPr>
        <w:t>7）本基金投资于流通受限基金不高于本基金资产净值的10%；流通受限基金是指封闭运作基金、定期开放基金等由基金合同规定明确在一定期限锁定期内不可赎回的基金，但不包括ETF、LOF等可上市交易的基金；</w:t>
      </w:r>
    </w:p>
    <w:p w:rsidR="00420A6C" w:rsidRDefault="00420A6C">
      <w:pPr>
        <w:spacing w:line="324" w:lineRule="auto"/>
        <w:ind w:firstLine="480"/>
        <w:rPr>
          <w:rFonts w:ascii="宋体" w:hAnsi="宋体"/>
          <w:bCs/>
          <w:szCs w:val="21"/>
        </w:rPr>
      </w:pPr>
      <w:r>
        <w:rPr>
          <w:rFonts w:ascii="宋体" w:hAnsi="宋体"/>
          <w:bCs/>
          <w:szCs w:val="21"/>
        </w:rPr>
        <w:lastRenderedPageBreak/>
        <w:t>8）本基金持有一家公司发行的证券（不含本基金所投资的基金份额），其市值不超过基金资产净值的10</w:t>
      </w:r>
      <w:r>
        <w:rPr>
          <w:rFonts w:ascii="宋体" w:hAnsi="宋体" w:hint="eastAsia"/>
          <w:bCs/>
          <w:szCs w:val="21"/>
        </w:rPr>
        <w:t>%</w:t>
      </w:r>
      <w:r>
        <w:rPr>
          <w:rFonts w:ascii="宋体" w:hAnsi="宋体"/>
          <w:bCs/>
          <w:szCs w:val="21"/>
        </w:rPr>
        <w:t>；</w:t>
      </w:r>
    </w:p>
    <w:p w:rsidR="00420A6C" w:rsidRDefault="00420A6C">
      <w:pPr>
        <w:spacing w:line="324" w:lineRule="auto"/>
        <w:ind w:firstLine="480"/>
        <w:rPr>
          <w:rFonts w:ascii="宋体" w:hAnsi="宋体"/>
          <w:bCs/>
          <w:szCs w:val="21"/>
        </w:rPr>
      </w:pPr>
      <w:r>
        <w:rPr>
          <w:rFonts w:ascii="宋体" w:hAnsi="宋体"/>
          <w:bCs/>
          <w:szCs w:val="21"/>
        </w:rPr>
        <w:t>9）本基金管理人管理的全部基金持有一家公司发行的证券（不含本基金所投资的基金份额），不超过该证券的10</w:t>
      </w:r>
      <w:r>
        <w:rPr>
          <w:rFonts w:ascii="宋体" w:hAnsi="宋体" w:hint="eastAsia"/>
          <w:bCs/>
          <w:szCs w:val="21"/>
        </w:rPr>
        <w:t>%</w:t>
      </w:r>
      <w:r>
        <w:rPr>
          <w:rFonts w:ascii="宋体" w:hAnsi="宋体"/>
          <w:bCs/>
          <w:szCs w:val="21"/>
        </w:rPr>
        <w:t>；</w:t>
      </w:r>
    </w:p>
    <w:p w:rsidR="00420A6C" w:rsidRDefault="00420A6C">
      <w:pPr>
        <w:spacing w:line="324" w:lineRule="auto"/>
        <w:ind w:firstLine="480"/>
        <w:rPr>
          <w:rFonts w:ascii="宋体" w:hAnsi="宋体"/>
          <w:bCs/>
          <w:szCs w:val="21"/>
        </w:rPr>
      </w:pPr>
      <w:r>
        <w:rPr>
          <w:rFonts w:ascii="宋体" w:hAnsi="宋体"/>
          <w:bCs/>
          <w:szCs w:val="21"/>
        </w:rPr>
        <w:t>10）同一基金管理人管理的全部开放式基金持有一家上市公司发行的可流通股票，不得超过该上市公司可流通股票的15%；同一基金管理人管理的全部投资组合持有一家上市公司发行的可流通股票，不得超过该上市公司可流通股票的30%；</w:t>
      </w:r>
    </w:p>
    <w:p w:rsidR="00420A6C" w:rsidRDefault="00420A6C">
      <w:pPr>
        <w:spacing w:line="324" w:lineRule="auto"/>
        <w:ind w:firstLine="480"/>
        <w:rPr>
          <w:rFonts w:ascii="宋体" w:hAnsi="宋体"/>
          <w:bCs/>
          <w:szCs w:val="21"/>
        </w:rPr>
      </w:pPr>
      <w:r>
        <w:rPr>
          <w:rFonts w:ascii="宋体" w:hAnsi="宋体"/>
          <w:bCs/>
          <w:szCs w:val="21"/>
        </w:rPr>
        <w:t>11）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p>
    <w:p w:rsidR="00420A6C" w:rsidRDefault="00420A6C">
      <w:pPr>
        <w:spacing w:line="324" w:lineRule="auto"/>
        <w:ind w:firstLine="480"/>
        <w:rPr>
          <w:rFonts w:ascii="宋体" w:hAnsi="宋体"/>
          <w:bCs/>
          <w:szCs w:val="21"/>
        </w:rPr>
      </w:pPr>
      <w:r>
        <w:rPr>
          <w:rFonts w:ascii="宋体" w:hAnsi="宋体"/>
          <w:bCs/>
          <w:szCs w:val="21"/>
        </w:rPr>
        <w:t>12）本基金与私募类</w:t>
      </w:r>
      <w:proofErr w:type="gramStart"/>
      <w:r>
        <w:rPr>
          <w:rFonts w:ascii="宋体" w:hAnsi="宋体"/>
          <w:bCs/>
          <w:szCs w:val="21"/>
        </w:rPr>
        <w:t>证券资管产品</w:t>
      </w:r>
      <w:proofErr w:type="gramEnd"/>
      <w:r>
        <w:rPr>
          <w:rFonts w:ascii="宋体" w:hAnsi="宋体"/>
          <w:bCs/>
          <w:szCs w:val="21"/>
        </w:rPr>
        <w:t>及中国证监会认定的其他主体为交易对手开展逆回购交易的，可接受质押品的资质要求应当与基金合同约定的投资范围保持一致；</w:t>
      </w:r>
    </w:p>
    <w:p w:rsidR="00420A6C" w:rsidRDefault="00420A6C">
      <w:pPr>
        <w:spacing w:line="324" w:lineRule="auto"/>
        <w:ind w:firstLine="480"/>
        <w:rPr>
          <w:rFonts w:ascii="宋体" w:hAnsi="宋体"/>
          <w:bCs/>
          <w:szCs w:val="21"/>
        </w:rPr>
      </w:pPr>
      <w:r>
        <w:rPr>
          <w:rFonts w:ascii="宋体" w:hAnsi="宋体"/>
          <w:bCs/>
          <w:szCs w:val="21"/>
        </w:rPr>
        <w:t>13）本基金投资于同一原始权益人的各类资产支持证券的比例，不得超过基金资产净值的10</w:t>
      </w:r>
      <w:r>
        <w:rPr>
          <w:rFonts w:ascii="宋体" w:hAnsi="宋体" w:hint="eastAsia"/>
          <w:bCs/>
          <w:szCs w:val="21"/>
        </w:rPr>
        <w:t>%</w:t>
      </w:r>
      <w:r>
        <w:rPr>
          <w:rFonts w:ascii="宋体" w:hAnsi="宋体"/>
          <w:bCs/>
          <w:szCs w:val="21"/>
        </w:rPr>
        <w:t>；</w:t>
      </w:r>
    </w:p>
    <w:p w:rsidR="00420A6C" w:rsidRDefault="00420A6C">
      <w:pPr>
        <w:spacing w:line="324" w:lineRule="auto"/>
        <w:ind w:firstLine="480"/>
        <w:rPr>
          <w:rFonts w:ascii="宋体" w:hAnsi="宋体"/>
          <w:bCs/>
          <w:szCs w:val="21"/>
        </w:rPr>
      </w:pPr>
      <w:r>
        <w:rPr>
          <w:rFonts w:ascii="宋体" w:hAnsi="宋体"/>
          <w:bCs/>
          <w:szCs w:val="21"/>
        </w:rPr>
        <w:t>14）本基金持有的全部资产支持证券，其市值不得超过基金资产净值的20</w:t>
      </w:r>
      <w:r>
        <w:rPr>
          <w:rFonts w:ascii="宋体" w:hAnsi="宋体" w:hint="eastAsia"/>
          <w:bCs/>
          <w:szCs w:val="21"/>
        </w:rPr>
        <w:t>%</w:t>
      </w:r>
      <w:r>
        <w:rPr>
          <w:rFonts w:ascii="宋体" w:hAnsi="宋体"/>
          <w:bCs/>
          <w:szCs w:val="21"/>
        </w:rPr>
        <w:t>；</w:t>
      </w:r>
    </w:p>
    <w:p w:rsidR="00420A6C" w:rsidRDefault="00420A6C">
      <w:pPr>
        <w:spacing w:line="324" w:lineRule="auto"/>
        <w:ind w:firstLine="480"/>
        <w:rPr>
          <w:rFonts w:ascii="宋体" w:hAnsi="宋体"/>
          <w:bCs/>
          <w:szCs w:val="21"/>
        </w:rPr>
      </w:pPr>
      <w:r>
        <w:rPr>
          <w:rFonts w:ascii="宋体" w:hAnsi="宋体"/>
          <w:bCs/>
          <w:szCs w:val="21"/>
        </w:rPr>
        <w:t>15）本基金持有的同一</w:t>
      </w:r>
      <w:r>
        <w:rPr>
          <w:rFonts w:ascii="宋体" w:hAnsi="宋体" w:hint="eastAsia"/>
          <w:bCs/>
          <w:szCs w:val="21"/>
        </w:rPr>
        <w:t>（</w:t>
      </w:r>
      <w:r>
        <w:rPr>
          <w:rFonts w:ascii="宋体" w:hAnsi="宋体"/>
          <w:bCs/>
          <w:szCs w:val="21"/>
        </w:rPr>
        <w:t>指同一信用级别</w:t>
      </w:r>
      <w:r>
        <w:rPr>
          <w:rFonts w:ascii="宋体" w:hAnsi="宋体" w:hint="eastAsia"/>
          <w:bCs/>
          <w:szCs w:val="21"/>
        </w:rPr>
        <w:t>）</w:t>
      </w:r>
      <w:r>
        <w:rPr>
          <w:rFonts w:ascii="宋体" w:hAnsi="宋体"/>
          <w:bCs/>
          <w:szCs w:val="21"/>
        </w:rPr>
        <w:t>资产支持证券的比例，不得超过该资产支持证券规模的10</w:t>
      </w:r>
      <w:r>
        <w:rPr>
          <w:rFonts w:ascii="宋体" w:hAnsi="宋体" w:hint="eastAsia"/>
          <w:bCs/>
          <w:szCs w:val="21"/>
        </w:rPr>
        <w:t>%</w:t>
      </w:r>
      <w:r>
        <w:rPr>
          <w:rFonts w:ascii="宋体" w:hAnsi="宋体"/>
          <w:bCs/>
          <w:szCs w:val="21"/>
        </w:rPr>
        <w:t>；</w:t>
      </w:r>
    </w:p>
    <w:p w:rsidR="00420A6C" w:rsidRDefault="00420A6C">
      <w:pPr>
        <w:spacing w:line="324" w:lineRule="auto"/>
        <w:ind w:firstLine="480"/>
        <w:rPr>
          <w:rFonts w:ascii="宋体" w:hAnsi="宋体"/>
          <w:bCs/>
          <w:szCs w:val="21"/>
        </w:rPr>
      </w:pPr>
      <w:r>
        <w:rPr>
          <w:rFonts w:ascii="宋体" w:hAnsi="宋体"/>
          <w:bCs/>
          <w:szCs w:val="21"/>
        </w:rPr>
        <w:t>16）本基金管理人管理的全部基金投资于同一原始权益人的各类资产支持证券，不得超过其各类资产支持证券合计规模的10</w:t>
      </w:r>
      <w:r>
        <w:rPr>
          <w:rFonts w:ascii="宋体" w:hAnsi="宋体" w:hint="eastAsia"/>
          <w:bCs/>
          <w:szCs w:val="21"/>
        </w:rPr>
        <w:t>%</w:t>
      </w:r>
      <w:r>
        <w:rPr>
          <w:rFonts w:ascii="宋体" w:hAnsi="宋体"/>
          <w:bCs/>
          <w:szCs w:val="21"/>
        </w:rPr>
        <w:t>；</w:t>
      </w:r>
    </w:p>
    <w:p w:rsidR="00420A6C" w:rsidRDefault="00420A6C">
      <w:pPr>
        <w:spacing w:line="324" w:lineRule="auto"/>
        <w:ind w:firstLine="480"/>
        <w:rPr>
          <w:rFonts w:ascii="宋体" w:hAnsi="宋体"/>
          <w:bCs/>
          <w:szCs w:val="21"/>
        </w:rPr>
      </w:pPr>
      <w:r>
        <w:rPr>
          <w:rFonts w:ascii="宋体" w:hAnsi="宋体"/>
          <w:bCs/>
          <w:szCs w:val="21"/>
        </w:rPr>
        <w:t>17）本基金应投资于信用级别评级为BBB以上</w:t>
      </w:r>
      <w:r>
        <w:rPr>
          <w:rFonts w:ascii="宋体" w:hAnsi="宋体" w:hint="eastAsia"/>
          <w:bCs/>
          <w:szCs w:val="21"/>
        </w:rPr>
        <w:t>（</w:t>
      </w:r>
      <w:r>
        <w:rPr>
          <w:rFonts w:ascii="宋体" w:hAnsi="宋体"/>
          <w:bCs/>
          <w:szCs w:val="21"/>
        </w:rPr>
        <w:t>含BBB</w:t>
      </w:r>
      <w:r>
        <w:rPr>
          <w:rFonts w:ascii="宋体" w:hAnsi="宋体" w:hint="eastAsia"/>
          <w:bCs/>
          <w:szCs w:val="21"/>
        </w:rPr>
        <w:t>）</w:t>
      </w:r>
      <w:r>
        <w:rPr>
          <w:rFonts w:ascii="宋体" w:hAnsi="宋体"/>
          <w:bCs/>
          <w:szCs w:val="21"/>
        </w:rPr>
        <w:t>的资产支持证券。基金持有资产</w:t>
      </w:r>
      <w:r>
        <w:rPr>
          <w:rFonts w:ascii="宋体" w:hAnsi="宋体" w:hint="eastAsia"/>
          <w:bCs/>
          <w:szCs w:val="21"/>
        </w:rPr>
        <w:t>支持证券期间，如果其信用等级下降、不再符合投资标准，应在评级报告发布之日起</w:t>
      </w:r>
      <w:r>
        <w:rPr>
          <w:rFonts w:ascii="宋体" w:hAnsi="宋体"/>
          <w:bCs/>
          <w:szCs w:val="21"/>
        </w:rPr>
        <w:t>3个月内予以全部卖出；</w:t>
      </w:r>
    </w:p>
    <w:p w:rsidR="00420A6C" w:rsidRDefault="00420A6C">
      <w:pPr>
        <w:spacing w:line="324" w:lineRule="auto"/>
        <w:ind w:firstLine="480"/>
        <w:rPr>
          <w:rFonts w:ascii="宋体" w:hAnsi="宋体"/>
          <w:bCs/>
          <w:szCs w:val="21"/>
        </w:rPr>
      </w:pPr>
      <w:r>
        <w:rPr>
          <w:rFonts w:ascii="宋体" w:hAnsi="宋体"/>
          <w:bCs/>
          <w:szCs w:val="21"/>
        </w:rPr>
        <w:t>18）基金财产参与股票发行申购，本基金所申报的金额不超过本基金的总资产，本基金所申报的股票数量不超过拟发行股票公司本次发行股票的总量；</w:t>
      </w:r>
    </w:p>
    <w:p w:rsidR="00420A6C" w:rsidRDefault="00420A6C">
      <w:pPr>
        <w:spacing w:line="324" w:lineRule="auto"/>
        <w:ind w:firstLine="480"/>
        <w:rPr>
          <w:rFonts w:ascii="宋体" w:hAnsi="宋体"/>
          <w:bCs/>
          <w:szCs w:val="21"/>
        </w:rPr>
      </w:pPr>
      <w:r>
        <w:rPr>
          <w:rFonts w:ascii="宋体" w:hAnsi="宋体"/>
          <w:bCs/>
          <w:szCs w:val="21"/>
        </w:rPr>
        <w:t>19）本基金进入全国银行间同业市场进行债券回购的资金余额不得超过基金资产净值的40%；在全国银行间同业市场中的债券回购最长期限为1年，债券回购到期后不得展期；</w:t>
      </w:r>
    </w:p>
    <w:p w:rsidR="00420A6C" w:rsidRDefault="00420A6C">
      <w:pPr>
        <w:spacing w:line="324" w:lineRule="auto"/>
        <w:ind w:firstLine="480"/>
        <w:rPr>
          <w:rFonts w:ascii="宋体" w:hAnsi="宋体"/>
          <w:bCs/>
          <w:szCs w:val="21"/>
        </w:rPr>
      </w:pPr>
      <w:r>
        <w:rPr>
          <w:rFonts w:ascii="宋体" w:hAnsi="宋体"/>
          <w:bCs/>
          <w:szCs w:val="21"/>
        </w:rPr>
        <w:t>20）本基金总资产不得超过基金资产净值的140%；</w:t>
      </w:r>
    </w:p>
    <w:p w:rsidR="00420A6C" w:rsidRDefault="00420A6C">
      <w:pPr>
        <w:spacing w:line="324" w:lineRule="auto"/>
        <w:ind w:firstLine="480"/>
        <w:rPr>
          <w:rFonts w:ascii="宋体" w:hAnsi="宋体"/>
          <w:bCs/>
          <w:szCs w:val="21"/>
        </w:rPr>
      </w:pPr>
      <w:r>
        <w:rPr>
          <w:rFonts w:ascii="宋体" w:hAnsi="宋体"/>
          <w:bCs/>
          <w:szCs w:val="21"/>
        </w:rPr>
        <w:t>21）</w:t>
      </w:r>
      <w:r>
        <w:rPr>
          <w:rFonts w:ascii="宋体" w:hAnsi="宋体" w:hint="eastAsia"/>
          <w:bCs/>
          <w:szCs w:val="21"/>
        </w:rPr>
        <w:t>本基金持有的所有流通受限证券，其公允价值不得超过本基金资产净值的</w:t>
      </w:r>
      <w:r>
        <w:rPr>
          <w:rFonts w:ascii="宋体" w:hAnsi="宋体"/>
          <w:bCs/>
          <w:szCs w:val="21"/>
        </w:rPr>
        <w:t>15%</w:t>
      </w:r>
      <w:r>
        <w:rPr>
          <w:rFonts w:ascii="宋体" w:hAnsi="宋体" w:hint="eastAsia"/>
          <w:bCs/>
          <w:szCs w:val="21"/>
        </w:rPr>
        <w:t>；</w:t>
      </w:r>
    </w:p>
    <w:p w:rsidR="00420A6C" w:rsidRDefault="00420A6C">
      <w:pPr>
        <w:spacing w:line="324" w:lineRule="auto"/>
        <w:ind w:firstLine="480"/>
        <w:rPr>
          <w:rFonts w:ascii="宋体" w:hAnsi="宋体"/>
          <w:bCs/>
          <w:szCs w:val="21"/>
        </w:rPr>
      </w:pPr>
      <w:r>
        <w:rPr>
          <w:rFonts w:ascii="宋体" w:hAnsi="宋体" w:hint="eastAsia"/>
          <w:bCs/>
          <w:szCs w:val="21"/>
        </w:rPr>
        <w:t>22）本基金持有所有商品基金的市值总计不得超过本基金资产净值的10%；</w:t>
      </w:r>
    </w:p>
    <w:p w:rsidR="00420A6C" w:rsidRDefault="00420A6C">
      <w:pPr>
        <w:spacing w:line="324" w:lineRule="auto"/>
        <w:ind w:firstLine="480"/>
        <w:rPr>
          <w:rFonts w:ascii="宋体" w:hAnsi="宋体"/>
          <w:bCs/>
          <w:szCs w:val="21"/>
        </w:rPr>
      </w:pPr>
      <w:r>
        <w:rPr>
          <w:rFonts w:ascii="宋体" w:hAnsi="宋体" w:hint="eastAsia"/>
          <w:bCs/>
          <w:szCs w:val="21"/>
        </w:rPr>
        <w:t>23）全部货币市场基金投资比例不超过基金资产的5%；</w:t>
      </w:r>
    </w:p>
    <w:p w:rsidR="00420A6C" w:rsidRDefault="00420A6C">
      <w:pPr>
        <w:spacing w:line="324" w:lineRule="auto"/>
        <w:ind w:firstLine="480"/>
        <w:rPr>
          <w:rFonts w:ascii="宋体" w:hAnsi="宋体"/>
          <w:bCs/>
          <w:szCs w:val="21"/>
        </w:rPr>
      </w:pPr>
      <w:r>
        <w:rPr>
          <w:rFonts w:ascii="宋体" w:hAnsi="宋体"/>
          <w:bCs/>
          <w:szCs w:val="21"/>
        </w:rPr>
        <w:t>24</w:t>
      </w:r>
      <w:r>
        <w:rPr>
          <w:rFonts w:ascii="宋体" w:hAnsi="宋体" w:hint="eastAsia"/>
          <w:bCs/>
          <w:szCs w:val="21"/>
        </w:rPr>
        <w:t>）</w:t>
      </w:r>
      <w:r w:rsidRPr="00D30E63">
        <w:rPr>
          <w:rFonts w:ascii="宋体" w:hAnsi="宋体" w:hint="eastAsia"/>
          <w:bCs/>
          <w:szCs w:val="21"/>
        </w:rPr>
        <w:t>本基金投资存托凭证的比例限制依照境内上市交易的股票执行，与境内上市交易的股票合并计算；</w:t>
      </w:r>
    </w:p>
    <w:p w:rsidR="00420A6C" w:rsidRDefault="00420A6C">
      <w:pPr>
        <w:spacing w:line="324" w:lineRule="auto"/>
        <w:ind w:firstLine="480"/>
        <w:rPr>
          <w:rFonts w:ascii="宋体" w:hAnsi="宋体"/>
          <w:bCs/>
          <w:szCs w:val="21"/>
        </w:rPr>
      </w:pPr>
      <w:r>
        <w:rPr>
          <w:rFonts w:ascii="宋体" w:hAnsi="宋体"/>
          <w:bCs/>
          <w:szCs w:val="21"/>
        </w:rPr>
        <w:t>25</w:t>
      </w:r>
      <w:r>
        <w:rPr>
          <w:rFonts w:ascii="宋体" w:hAnsi="宋体" w:hint="eastAsia"/>
          <w:bCs/>
          <w:szCs w:val="21"/>
        </w:rPr>
        <w:t>）</w:t>
      </w:r>
      <w:r>
        <w:rPr>
          <w:rFonts w:ascii="宋体" w:hAnsi="宋体"/>
          <w:bCs/>
          <w:szCs w:val="21"/>
        </w:rPr>
        <w:t>法律法规及中国证监会规定的其他比例限制。</w:t>
      </w:r>
    </w:p>
    <w:p w:rsidR="00420A6C" w:rsidRDefault="00420A6C">
      <w:pPr>
        <w:spacing w:line="324" w:lineRule="auto"/>
        <w:ind w:firstLine="480"/>
        <w:rPr>
          <w:rFonts w:ascii="宋体" w:hAnsi="宋体"/>
          <w:bCs/>
          <w:szCs w:val="21"/>
        </w:rPr>
      </w:pPr>
      <w:r>
        <w:rPr>
          <w:rFonts w:ascii="宋体" w:hAnsi="宋体" w:hint="eastAsia"/>
          <w:bCs/>
          <w:szCs w:val="21"/>
        </w:rPr>
        <w:lastRenderedPageBreak/>
        <w:t>因市场波动、基金规模变动等基金管理人之外的因素致使基金投资比例不符合上述第</w:t>
      </w:r>
      <w:r>
        <w:rPr>
          <w:rFonts w:ascii="宋体" w:hAnsi="宋体"/>
          <w:bCs/>
          <w:szCs w:val="21"/>
        </w:rPr>
        <w:t>2</w:t>
      </w:r>
      <w:r>
        <w:rPr>
          <w:rFonts w:ascii="宋体" w:hAnsi="宋体" w:hint="eastAsia"/>
          <w:bCs/>
          <w:szCs w:val="21"/>
        </w:rPr>
        <w:t>）、</w:t>
      </w:r>
      <w:r>
        <w:rPr>
          <w:rFonts w:ascii="宋体" w:hAnsi="宋体"/>
          <w:bCs/>
          <w:szCs w:val="21"/>
        </w:rPr>
        <w:t>4）项规定投资比例的，基金管理人应当在20</w:t>
      </w:r>
      <w:r>
        <w:rPr>
          <w:rFonts w:ascii="宋体" w:hAnsi="宋体" w:hint="eastAsia"/>
          <w:bCs/>
          <w:szCs w:val="21"/>
        </w:rPr>
        <w:t>个交易日内进行调整，对于除第</w:t>
      </w:r>
      <w:r>
        <w:rPr>
          <w:rFonts w:ascii="宋体" w:hAnsi="宋体"/>
          <w:bCs/>
          <w:szCs w:val="21"/>
        </w:rPr>
        <w:t>2）、4</w:t>
      </w:r>
      <w:r>
        <w:rPr>
          <w:rFonts w:ascii="宋体" w:hAnsi="宋体" w:hint="eastAsia"/>
          <w:bCs/>
          <w:szCs w:val="21"/>
        </w:rPr>
        <w:t>）、</w:t>
      </w:r>
      <w:r>
        <w:rPr>
          <w:rFonts w:ascii="宋体" w:hAnsi="宋体"/>
          <w:bCs/>
          <w:szCs w:val="21"/>
        </w:rPr>
        <w:t>6</w:t>
      </w:r>
      <w:r>
        <w:rPr>
          <w:rFonts w:ascii="宋体" w:hAnsi="宋体" w:hint="eastAsia"/>
          <w:bCs/>
          <w:szCs w:val="21"/>
        </w:rPr>
        <w:t>）、7）</w:t>
      </w:r>
      <w:r>
        <w:rPr>
          <w:rFonts w:ascii="宋体" w:hAnsi="宋体"/>
          <w:bCs/>
          <w:szCs w:val="21"/>
        </w:rPr>
        <w:t>、11</w:t>
      </w:r>
      <w:r>
        <w:rPr>
          <w:rFonts w:ascii="宋体" w:hAnsi="宋体" w:hint="eastAsia"/>
          <w:bCs/>
          <w:szCs w:val="21"/>
        </w:rPr>
        <w:t>）、</w:t>
      </w:r>
      <w:r>
        <w:rPr>
          <w:rFonts w:ascii="宋体" w:hAnsi="宋体"/>
          <w:bCs/>
          <w:szCs w:val="21"/>
        </w:rPr>
        <w:t>12</w:t>
      </w:r>
      <w:r>
        <w:rPr>
          <w:rFonts w:ascii="宋体" w:hAnsi="宋体" w:hint="eastAsia"/>
          <w:bCs/>
          <w:szCs w:val="21"/>
        </w:rPr>
        <w:t>）、</w:t>
      </w:r>
      <w:r>
        <w:rPr>
          <w:rFonts w:ascii="宋体" w:hAnsi="宋体"/>
          <w:bCs/>
          <w:szCs w:val="21"/>
        </w:rPr>
        <w:t>17）项规定的其他情形，基金管理人应当在10个交易日内进行调整，但中国证监会规定的特殊情形除外。法律法规另有规定的，从其规定。</w:t>
      </w:r>
    </w:p>
    <w:p w:rsidR="00420A6C" w:rsidRDefault="00420A6C">
      <w:pPr>
        <w:spacing w:line="324" w:lineRule="auto"/>
        <w:ind w:firstLine="480"/>
        <w:rPr>
          <w:rFonts w:ascii="宋体" w:hAnsi="宋体"/>
          <w:bCs/>
          <w:szCs w:val="21"/>
        </w:rPr>
      </w:pPr>
      <w:r>
        <w:rPr>
          <w:rFonts w:ascii="宋体" w:hAnsi="宋体" w:hint="eastAsia"/>
          <w:bCs/>
          <w:szCs w:val="21"/>
        </w:rPr>
        <w:t>基金管理人应当自基金合同生效之日起</w:t>
      </w:r>
      <w:r>
        <w:rPr>
          <w:rFonts w:ascii="宋体" w:hAnsi="宋体"/>
          <w:bCs/>
          <w:szCs w:val="21"/>
        </w:rPr>
        <w:t>6个月内使基金的投资组合比例符合基金合同的有关约定。在上述期间内，本基金的投资范围、投资策略应当符合基金合同的约定。基金托管人对基金的投资的监督与检查自基金合同生效之日起开始。</w:t>
      </w:r>
    </w:p>
    <w:p w:rsidR="00420A6C" w:rsidRDefault="00420A6C">
      <w:pPr>
        <w:spacing w:line="360" w:lineRule="auto"/>
        <w:ind w:firstLineChars="300" w:firstLine="630"/>
        <w:rPr>
          <w:rFonts w:ascii="宋体" w:hAnsi="宋体"/>
          <w:bCs/>
          <w:szCs w:val="21"/>
        </w:rPr>
      </w:pPr>
      <w:r>
        <w:rPr>
          <w:rFonts w:ascii="宋体" w:hAnsi="宋体" w:hint="eastAsia"/>
          <w:bCs/>
          <w:szCs w:val="21"/>
        </w:rPr>
        <w:t>如果法律法规及监管政策等对基金合同约定投资组合比例限制进行变更的，本基金可相应调整投资比例限制规定。法律法规或监管部门取消上述限制，如适用于本基金，则本基金投资不再受上述限制。</w:t>
      </w:r>
    </w:p>
    <w:p w:rsidR="00420A6C" w:rsidRDefault="00420A6C">
      <w:pPr>
        <w:spacing w:line="360" w:lineRule="auto"/>
        <w:ind w:firstLineChars="300" w:firstLine="630"/>
        <w:rPr>
          <w:rFonts w:ascii="宋体" w:hAnsi="宋体" w:cs="宋体"/>
          <w:kern w:val="0"/>
          <w:szCs w:val="21"/>
        </w:rPr>
      </w:pPr>
      <w:r>
        <w:rPr>
          <w:rFonts w:ascii="宋体" w:hAnsi="宋体" w:cs="宋体" w:hint="eastAsia"/>
          <w:kern w:val="0"/>
          <w:szCs w:val="21"/>
        </w:rPr>
        <w:t>基金托管人对上述指标的监督义务，仅限于监督由基金管理人管理且由托管人托管的全部公</w:t>
      </w:r>
      <w:proofErr w:type="gramStart"/>
      <w:r>
        <w:rPr>
          <w:rFonts w:ascii="宋体" w:hAnsi="宋体" w:cs="宋体" w:hint="eastAsia"/>
          <w:kern w:val="0"/>
          <w:szCs w:val="21"/>
        </w:rPr>
        <w:t>募基金</w:t>
      </w:r>
      <w:proofErr w:type="gramEnd"/>
      <w:r>
        <w:rPr>
          <w:rFonts w:ascii="宋体" w:hAnsi="宋体" w:cs="宋体" w:hint="eastAsia"/>
          <w:kern w:val="0"/>
          <w:szCs w:val="21"/>
        </w:rPr>
        <w:t>是否符合上述比例限制。《基金法》及其他有关法律法规或监管部门取消上述限制的，履行适当程序后，基金不受上述限制。</w:t>
      </w:r>
    </w:p>
    <w:p w:rsidR="00420A6C" w:rsidRDefault="00420A6C">
      <w:pPr>
        <w:spacing w:line="360" w:lineRule="auto"/>
        <w:ind w:firstLineChars="300" w:firstLine="630"/>
        <w:rPr>
          <w:rFonts w:ascii="宋体" w:hAnsi="宋体"/>
          <w:szCs w:val="21"/>
        </w:rPr>
      </w:pPr>
      <w:r>
        <w:rPr>
          <w:rFonts w:ascii="宋体" w:hAnsi="宋体" w:cs="宋体" w:hint="eastAsia"/>
          <w:kern w:val="0"/>
          <w:szCs w:val="21"/>
        </w:rPr>
        <w:t>除投资资产配置外，基金托管人对基金投资的监督和检查自本托管协议生效之日起开始。</w:t>
      </w:r>
    </w:p>
    <w:p w:rsidR="00420A6C" w:rsidRDefault="00420A6C">
      <w:pPr>
        <w:spacing w:line="440" w:lineRule="atLeast"/>
        <w:ind w:firstLineChars="200" w:firstLine="420"/>
        <w:rPr>
          <w:rFonts w:ascii="宋体" w:hAnsi="宋体"/>
          <w:szCs w:val="21"/>
        </w:rPr>
      </w:pPr>
      <w:r>
        <w:rPr>
          <w:rFonts w:ascii="宋体" w:hAnsi="宋体" w:hint="eastAsia"/>
          <w:szCs w:val="21"/>
        </w:rPr>
        <w:t>（3）法律法规允许的基金投资比例调整期限</w:t>
      </w:r>
    </w:p>
    <w:p w:rsidR="00420A6C" w:rsidRDefault="00420A6C">
      <w:pPr>
        <w:spacing w:line="440" w:lineRule="atLeast"/>
        <w:ind w:right="28" w:firstLineChars="200" w:firstLine="420"/>
        <w:rPr>
          <w:rFonts w:ascii="宋体" w:hAnsi="宋体"/>
          <w:szCs w:val="21"/>
        </w:rPr>
      </w:pPr>
      <w:r>
        <w:rPr>
          <w:rFonts w:ascii="宋体" w:hAnsi="宋体" w:hint="eastAsia"/>
          <w:szCs w:val="21"/>
        </w:rPr>
        <w:t>法律法规或监管部门对上述投资限制、投资禁止等</w:t>
      </w:r>
      <w:proofErr w:type="gramStart"/>
      <w:r>
        <w:rPr>
          <w:rFonts w:ascii="宋体" w:hAnsi="宋体" w:hint="eastAsia"/>
          <w:szCs w:val="21"/>
        </w:rPr>
        <w:t>作出</w:t>
      </w:r>
      <w:proofErr w:type="gramEnd"/>
      <w:r>
        <w:rPr>
          <w:rFonts w:ascii="宋体" w:hAnsi="宋体" w:hint="eastAsia"/>
          <w:szCs w:val="21"/>
        </w:rPr>
        <w:t>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如本基金增加投资品种，投资限制以法律法规和中国证监会的规定为准。</w:t>
      </w:r>
    </w:p>
    <w:p w:rsidR="00420A6C" w:rsidRDefault="00420A6C">
      <w:pPr>
        <w:spacing w:line="440" w:lineRule="atLeast"/>
        <w:ind w:right="28" w:firstLineChars="200" w:firstLine="420"/>
        <w:rPr>
          <w:rFonts w:ascii="宋体" w:hAnsi="宋体"/>
          <w:szCs w:val="21"/>
        </w:rPr>
      </w:pPr>
      <w:r>
        <w:rPr>
          <w:rFonts w:ascii="宋体" w:hAnsi="宋体" w:hint="eastAsia"/>
          <w:szCs w:val="21"/>
        </w:rPr>
        <w:t>基金管理人应在出现可预见资产规模大幅变动的情况下，至少提前2个工作日正式向基金托管人发函说明基金可能的变动规模和公司应对措施，便于基金托管人实施交易监督。</w:t>
      </w:r>
    </w:p>
    <w:p w:rsidR="00420A6C" w:rsidRDefault="00420A6C">
      <w:pPr>
        <w:spacing w:line="440" w:lineRule="atLeast"/>
        <w:ind w:right="28" w:firstLineChars="200" w:firstLine="420"/>
        <w:rPr>
          <w:rFonts w:ascii="宋体" w:hAnsi="宋体"/>
          <w:szCs w:val="21"/>
        </w:rPr>
      </w:pPr>
      <w:r>
        <w:rPr>
          <w:rFonts w:ascii="宋体" w:hAnsi="宋体" w:hint="eastAsia"/>
          <w:szCs w:val="21"/>
        </w:rPr>
        <w:t>（4）本基金可以按照国家的有关规定进行融资融券。</w:t>
      </w:r>
    </w:p>
    <w:p w:rsidR="00420A6C" w:rsidRDefault="00420A6C">
      <w:pPr>
        <w:widowControl/>
        <w:spacing w:line="440" w:lineRule="atLeast"/>
        <w:ind w:firstLineChars="200" w:firstLine="420"/>
        <w:jc w:val="left"/>
        <w:rPr>
          <w:rFonts w:ascii="宋体" w:hAnsi="宋体" w:cs="宋体"/>
          <w:kern w:val="0"/>
          <w:szCs w:val="21"/>
        </w:rPr>
      </w:pPr>
      <w:r>
        <w:rPr>
          <w:rFonts w:ascii="宋体" w:hAnsi="宋体" w:cs="宋体" w:hint="eastAsia"/>
          <w:kern w:val="0"/>
          <w:szCs w:val="21"/>
        </w:rPr>
        <w:t>（5）相关法律、法规或部门规章规定的其他比例限制。</w:t>
      </w:r>
    </w:p>
    <w:p w:rsidR="00420A6C" w:rsidRDefault="00420A6C">
      <w:pPr>
        <w:spacing w:after="120" w:line="440" w:lineRule="atLeast"/>
        <w:ind w:firstLine="397"/>
        <w:rPr>
          <w:rFonts w:ascii="宋体" w:hAnsi="宋体"/>
          <w:szCs w:val="21"/>
        </w:rPr>
      </w:pPr>
      <w:r>
        <w:rPr>
          <w:rFonts w:ascii="宋体" w:hAnsi="宋体" w:hint="eastAsia"/>
          <w:szCs w:val="21"/>
        </w:rPr>
        <w:t>基金托管人对基金投资的监督和检查自</w:t>
      </w:r>
      <w:r>
        <w:rPr>
          <w:rFonts w:ascii="宋体" w:hAnsi="宋体" w:cs="宋体" w:hint="eastAsia"/>
          <w:kern w:val="0"/>
          <w:szCs w:val="21"/>
        </w:rPr>
        <w:t>本托管协议生效</w:t>
      </w:r>
      <w:r>
        <w:rPr>
          <w:rFonts w:ascii="宋体" w:hAnsi="宋体" w:hint="eastAsia"/>
          <w:szCs w:val="21"/>
        </w:rPr>
        <w:t>之日起开始。</w:t>
      </w:r>
    </w:p>
    <w:p w:rsidR="00420A6C" w:rsidRDefault="00420A6C">
      <w:pPr>
        <w:spacing w:after="120" w:line="440" w:lineRule="exact"/>
        <w:ind w:firstLineChars="200" w:firstLine="420"/>
        <w:rPr>
          <w:rFonts w:ascii="宋体" w:hAnsi="宋体"/>
          <w:szCs w:val="21"/>
        </w:rPr>
      </w:pPr>
      <w:r>
        <w:rPr>
          <w:rFonts w:ascii="宋体" w:hAnsi="宋体" w:hint="eastAsia"/>
          <w:szCs w:val="21"/>
        </w:rPr>
        <w:t>3.基金托管人根据有关法律法规的规定及《基金合同》的约定对下述基金投资禁止行为进行监督：</w:t>
      </w:r>
    </w:p>
    <w:p w:rsidR="00420A6C" w:rsidRDefault="00420A6C">
      <w:pPr>
        <w:spacing w:line="360" w:lineRule="auto"/>
        <w:ind w:left="1" w:firstLineChars="225" w:firstLine="473"/>
        <w:rPr>
          <w:rFonts w:ascii="宋体" w:hAnsi="宋体"/>
          <w:szCs w:val="21"/>
        </w:rPr>
      </w:pPr>
      <w:r>
        <w:rPr>
          <w:rFonts w:ascii="宋体" w:hAnsi="宋体" w:hint="eastAsia"/>
          <w:szCs w:val="21"/>
        </w:rPr>
        <w:t>根据法律法规的规定及《基金合同》的约定，本基金禁止从事下列行为：</w:t>
      </w:r>
    </w:p>
    <w:p w:rsidR="00420A6C" w:rsidRDefault="00420A6C">
      <w:pPr>
        <w:widowControl/>
        <w:spacing w:line="440" w:lineRule="atLeast"/>
        <w:ind w:firstLineChars="200" w:firstLine="420"/>
        <w:jc w:val="left"/>
        <w:rPr>
          <w:rFonts w:ascii="宋体" w:hAnsi="宋体" w:cs="宋体"/>
          <w:kern w:val="0"/>
          <w:szCs w:val="21"/>
        </w:rPr>
      </w:pPr>
      <w:r>
        <w:rPr>
          <w:rFonts w:ascii="宋体" w:hAnsi="宋体" w:cs="宋体" w:hint="eastAsia"/>
          <w:kern w:val="0"/>
          <w:szCs w:val="21"/>
        </w:rPr>
        <w:t>为维护基金份额持有人的合法权益，基金财产不得用于下列投资或者活动：</w:t>
      </w:r>
    </w:p>
    <w:p w:rsidR="00420A6C" w:rsidRDefault="00420A6C">
      <w:pPr>
        <w:widowControl/>
        <w:spacing w:line="440" w:lineRule="atLeast"/>
        <w:ind w:firstLineChars="200" w:firstLine="420"/>
        <w:jc w:val="left"/>
        <w:rPr>
          <w:rFonts w:ascii="宋体" w:hAnsi="宋体" w:cs="宋体"/>
          <w:kern w:val="0"/>
          <w:szCs w:val="21"/>
        </w:rPr>
      </w:pPr>
      <w:r>
        <w:rPr>
          <w:rFonts w:ascii="宋体" w:hAnsi="宋体" w:cs="宋体" w:hint="eastAsia"/>
          <w:kern w:val="0"/>
          <w:szCs w:val="21"/>
        </w:rPr>
        <w:lastRenderedPageBreak/>
        <w:t>（</w:t>
      </w:r>
      <w:r>
        <w:rPr>
          <w:rFonts w:ascii="宋体" w:hAnsi="宋体" w:cs="宋体"/>
          <w:kern w:val="0"/>
          <w:szCs w:val="21"/>
        </w:rPr>
        <w:t>1</w:t>
      </w:r>
      <w:r>
        <w:rPr>
          <w:rFonts w:ascii="宋体" w:hAnsi="宋体" w:cs="宋体" w:hint="eastAsia"/>
          <w:kern w:val="0"/>
          <w:szCs w:val="21"/>
        </w:rPr>
        <w:t>）承销证券；</w:t>
      </w:r>
    </w:p>
    <w:p w:rsidR="00420A6C" w:rsidRDefault="00420A6C">
      <w:pPr>
        <w:widowControl/>
        <w:spacing w:line="440" w:lineRule="atLeas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）违反规定向他人贷款或者提供担保；</w:t>
      </w:r>
    </w:p>
    <w:p w:rsidR="00420A6C" w:rsidRDefault="00420A6C">
      <w:pPr>
        <w:widowControl/>
        <w:spacing w:line="440" w:lineRule="atLeas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）从事承担无限责任的投资；</w:t>
      </w:r>
    </w:p>
    <w:p w:rsidR="00420A6C" w:rsidRDefault="00420A6C">
      <w:pPr>
        <w:widowControl/>
        <w:spacing w:line="440" w:lineRule="atLeas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）向其基金管理人、基金托管人出资；</w:t>
      </w:r>
    </w:p>
    <w:p w:rsidR="00420A6C" w:rsidRDefault="00420A6C">
      <w:pPr>
        <w:widowControl/>
        <w:spacing w:line="440" w:lineRule="atLeas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）从事内幕交易、操纵证券交易价格及其他不正当的证券交易活动；</w:t>
      </w:r>
    </w:p>
    <w:p w:rsidR="00420A6C" w:rsidRDefault="00420A6C">
      <w:pPr>
        <w:widowControl/>
        <w:spacing w:line="440" w:lineRule="atLeas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）法律、行政法规和中国证监会规定禁止的其他活动。</w:t>
      </w:r>
    </w:p>
    <w:p w:rsidR="00420A6C" w:rsidRDefault="00420A6C">
      <w:pPr>
        <w:spacing w:line="360" w:lineRule="auto"/>
        <w:ind w:left="1" w:firstLineChars="225" w:firstLine="473"/>
        <w:rPr>
          <w:rFonts w:ascii="宋体" w:hAnsi="宋体"/>
          <w:szCs w:val="21"/>
        </w:rPr>
      </w:pPr>
      <w:r>
        <w:rPr>
          <w:rFonts w:ascii="宋体" w:hAnsi="宋体" w:hint="eastAsia"/>
          <w:szCs w:val="21"/>
        </w:rPr>
        <w:t>如法律、行政法规或监管部门取消或变更上述禁止性规定，如适用于本基金，基金管理人在履行适当程序后可不受上述规定的限制。</w:t>
      </w:r>
    </w:p>
    <w:p w:rsidR="00420A6C" w:rsidRDefault="00420A6C">
      <w:pPr>
        <w:spacing w:line="440" w:lineRule="exact"/>
        <w:ind w:firstLine="397"/>
        <w:rPr>
          <w:rFonts w:ascii="宋体" w:hAnsi="宋体"/>
          <w:szCs w:val="21"/>
        </w:rPr>
      </w:pPr>
      <w:r>
        <w:rPr>
          <w:rFonts w:ascii="宋体" w:hAnsi="宋体" w:cs="宋体" w:hint="eastAsia"/>
          <w:kern w:val="0"/>
          <w:szCs w:val="21"/>
        </w:rPr>
        <w:t>4.基金托管人依据有关法律法规的规定和《基金合同》的约定对于基金关联投资限制进行监督。</w:t>
      </w:r>
    </w:p>
    <w:p w:rsidR="00420A6C" w:rsidRDefault="00420A6C">
      <w:pPr>
        <w:spacing w:after="120" w:line="440" w:lineRule="exact"/>
        <w:ind w:firstLineChars="200" w:firstLine="420"/>
        <w:rPr>
          <w:rFonts w:ascii="宋体" w:hAnsi="宋体"/>
          <w:szCs w:val="21"/>
        </w:rPr>
      </w:pPr>
      <w:r>
        <w:rPr>
          <w:rFonts w:ascii="宋体" w:hAnsi="宋体" w:hint="eastAsia"/>
          <w:szCs w:val="21"/>
        </w:rPr>
        <w:t>基金管理人运用基金财产买卖基金管理人、基金托管人及其控股股东、实际控制人或者与其有其它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如法律、法规或《基金合同》有关于基金从事关联交易的规定，基金管理人和基金托管人事先相互提供与本机构有控股关系的股东、与本机构有其他重大利害关系的公司名单及有关关联</w:t>
      </w:r>
      <w:proofErr w:type="gramStart"/>
      <w:r>
        <w:rPr>
          <w:rFonts w:ascii="宋体" w:hAnsi="宋体" w:hint="eastAsia"/>
          <w:szCs w:val="21"/>
        </w:rPr>
        <w:t>方发行</w:t>
      </w:r>
      <w:proofErr w:type="gramEnd"/>
      <w:r>
        <w:rPr>
          <w:rFonts w:ascii="宋体" w:hAnsi="宋体" w:hint="eastAsia"/>
          <w:szCs w:val="21"/>
        </w:rPr>
        <w:t>的证券清单，加盖公章并书面提交。基金管理人有责任确保关联交易名单的真实性、准确性、完整性，并负责及时将更新后的名单发送给基金托管人。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rsidR="00420A6C" w:rsidRDefault="00420A6C">
      <w:pPr>
        <w:spacing w:line="440" w:lineRule="exact"/>
        <w:ind w:firstLineChars="200" w:firstLine="420"/>
        <w:rPr>
          <w:rFonts w:ascii="宋体" w:hAnsi="宋体"/>
          <w:szCs w:val="21"/>
        </w:rPr>
      </w:pPr>
      <w:r>
        <w:rPr>
          <w:rFonts w:ascii="宋体" w:hAnsi="宋体" w:hint="eastAsia"/>
          <w:szCs w:val="21"/>
        </w:rPr>
        <w:t>5.基金托管人</w:t>
      </w:r>
      <w:r>
        <w:rPr>
          <w:rFonts w:ascii="宋体" w:hAnsi="宋体" w:cs="宋体" w:hint="eastAsia"/>
          <w:kern w:val="0"/>
          <w:szCs w:val="21"/>
        </w:rPr>
        <w:t>依据有关法律法规的规定和《基金合同》的约定</w:t>
      </w:r>
      <w:r>
        <w:rPr>
          <w:rFonts w:ascii="宋体" w:hAnsi="宋体" w:hint="eastAsia"/>
          <w:szCs w:val="21"/>
        </w:rPr>
        <w:t>对基金管理人参与银行间债券市场进行监督。</w:t>
      </w:r>
    </w:p>
    <w:p w:rsidR="00420A6C" w:rsidRDefault="00420A6C">
      <w:pPr>
        <w:spacing w:line="440" w:lineRule="exact"/>
        <w:ind w:firstLineChars="200" w:firstLine="420"/>
        <w:rPr>
          <w:rFonts w:ascii="宋体" w:hAnsi="宋体"/>
          <w:szCs w:val="21"/>
        </w:rPr>
      </w:pPr>
      <w:r>
        <w:rPr>
          <w:rFonts w:ascii="宋体" w:hAnsi="宋体" w:hint="eastAsia"/>
          <w:szCs w:val="21"/>
        </w:rPr>
        <w:t>基金托管人根据基金管理人提供的银行间债券市场交易对手名单进行监督。基金管理人有责任控制交易对手的资信风险，由于交易对手的资信风险引起的损失，基金管理人应当负责向相关责任人追偿。</w:t>
      </w:r>
    </w:p>
    <w:p w:rsidR="00420A6C" w:rsidRDefault="00420A6C">
      <w:pPr>
        <w:spacing w:line="440" w:lineRule="exact"/>
        <w:ind w:firstLineChars="200" w:firstLine="420"/>
        <w:rPr>
          <w:rFonts w:ascii="宋体" w:hAnsi="宋体"/>
          <w:szCs w:val="21"/>
        </w:rPr>
      </w:pPr>
      <w:r>
        <w:rPr>
          <w:rFonts w:ascii="宋体" w:hAnsi="宋体" w:hint="eastAsia"/>
          <w:szCs w:val="21"/>
        </w:rPr>
        <w:t>6.基金托管人依据有关法律法规的规定和《基金合同》的约定，对基金银行存款业务进行监督。</w:t>
      </w:r>
    </w:p>
    <w:p w:rsidR="00420A6C" w:rsidRDefault="00420A6C">
      <w:pPr>
        <w:spacing w:line="440" w:lineRule="exact"/>
        <w:ind w:firstLineChars="215" w:firstLine="451"/>
        <w:rPr>
          <w:rFonts w:ascii="宋体" w:hAnsi="宋体"/>
          <w:kern w:val="0"/>
          <w:szCs w:val="21"/>
        </w:rPr>
      </w:pPr>
      <w:r>
        <w:rPr>
          <w:rFonts w:ascii="宋体" w:hAnsi="宋体" w:hint="eastAsia"/>
          <w:szCs w:val="21"/>
        </w:rPr>
        <w:lastRenderedPageBreak/>
        <w:t>基金管理人应当加强对基金投资银行存款风险的评估与研究，严格测算与控制投资银行存款的风险敞口，针对不同类型存款银行建立相关投资限制制度。</w:t>
      </w:r>
      <w:r>
        <w:rPr>
          <w:rFonts w:ascii="宋体" w:hAnsi="宋体" w:hint="eastAsia"/>
          <w:kern w:val="0"/>
          <w:szCs w:val="21"/>
        </w:rPr>
        <w:t>对于基金投资的银行存款，由于存款银行发生信用风险事件而造成损失时，先由基金管理人负责赔偿，之后有权要求相关责任人进行赔偿。如果基金托管人在运作过程中遵循</w:t>
      </w:r>
      <w:r>
        <w:rPr>
          <w:rFonts w:ascii="宋体" w:hAnsi="宋体" w:cs="宋体" w:hint="eastAsia"/>
          <w:kern w:val="0"/>
          <w:szCs w:val="21"/>
        </w:rPr>
        <w:t>有关法律法规的规定和《基金合同》的约定</w:t>
      </w:r>
      <w:r>
        <w:rPr>
          <w:rFonts w:ascii="宋体" w:hAnsi="宋体" w:hint="eastAsia"/>
          <w:kern w:val="0"/>
          <w:szCs w:val="21"/>
        </w:rPr>
        <w:t>监督流程，则对于由于存款银行信用风险引起的损失，不承担赔偿责任。</w:t>
      </w:r>
    </w:p>
    <w:p w:rsidR="00420A6C" w:rsidRDefault="00420A6C">
      <w:pPr>
        <w:spacing w:line="440" w:lineRule="exact"/>
        <w:ind w:firstLineChars="215" w:firstLine="451"/>
        <w:rPr>
          <w:rFonts w:ascii="宋体" w:hAnsi="宋体"/>
          <w:szCs w:val="21"/>
        </w:rPr>
      </w:pPr>
      <w:r>
        <w:rPr>
          <w:rFonts w:ascii="宋体" w:hAnsi="宋体" w:hint="eastAsia"/>
          <w:szCs w:val="21"/>
        </w:rPr>
        <w:t>7.基金托管人对基金投资流通受限证券的监督。</w:t>
      </w:r>
    </w:p>
    <w:p w:rsidR="00420A6C" w:rsidRDefault="00420A6C">
      <w:pPr>
        <w:widowControl/>
        <w:spacing w:line="360" w:lineRule="auto"/>
        <w:ind w:firstLineChars="200" w:firstLine="420"/>
        <w:jc w:val="left"/>
        <w:rPr>
          <w:rFonts w:ascii="宋体" w:hAnsi="宋体"/>
          <w:szCs w:val="21"/>
        </w:rPr>
      </w:pPr>
      <w:r>
        <w:rPr>
          <w:rFonts w:ascii="宋体" w:hAnsi="宋体" w:hint="eastAsia"/>
          <w:szCs w:val="21"/>
        </w:rPr>
        <w:t>如下所指“流通受限证券”与本托管协议以及基金合同所指“流动性受限资产”定义存在不同。就流动性受限资产定义，请参照《基金合同》的“第二部分：释义”部分。</w:t>
      </w:r>
    </w:p>
    <w:p w:rsidR="00420A6C" w:rsidRDefault="00420A6C">
      <w:pPr>
        <w:spacing w:line="360" w:lineRule="auto"/>
        <w:ind w:firstLineChars="200" w:firstLine="420"/>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420A6C" w:rsidRDefault="00420A6C">
      <w:pPr>
        <w:spacing w:line="360" w:lineRule="auto"/>
        <w:ind w:firstLineChars="200" w:firstLine="420"/>
        <w:rPr>
          <w:rFonts w:ascii="宋体" w:hAnsi="宋体"/>
          <w:szCs w:val="21"/>
        </w:rPr>
      </w:pPr>
      <w:r>
        <w:rPr>
          <w:rFonts w:ascii="宋体" w:hAnsi="宋体" w:hint="eastAsia"/>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Cs w:val="21"/>
        </w:rPr>
        <w:t>券</w:t>
      </w:r>
      <w:proofErr w:type="gramEnd"/>
      <w:r>
        <w:rPr>
          <w:rFonts w:ascii="宋体" w:hAnsi="宋体" w:hint="eastAsia"/>
          <w:szCs w:val="21"/>
        </w:rPr>
        <w:t>等流通受限证券。本基金不投资有</w:t>
      </w:r>
      <w:proofErr w:type="gramStart"/>
      <w:r>
        <w:rPr>
          <w:rFonts w:ascii="宋体" w:hAnsi="宋体" w:hint="eastAsia"/>
          <w:szCs w:val="21"/>
        </w:rPr>
        <w:t>锁定期但锁定</w:t>
      </w:r>
      <w:proofErr w:type="gramEnd"/>
      <w:r>
        <w:rPr>
          <w:rFonts w:ascii="宋体" w:hAnsi="宋体" w:hint="eastAsia"/>
          <w:szCs w:val="21"/>
        </w:rPr>
        <w:t>期不明确的证券。</w:t>
      </w:r>
    </w:p>
    <w:p w:rsidR="00420A6C" w:rsidRDefault="00420A6C">
      <w:pPr>
        <w:spacing w:line="360" w:lineRule="auto"/>
        <w:ind w:firstLineChars="200" w:firstLine="420"/>
        <w:rPr>
          <w:rFonts w:ascii="宋体" w:hAnsi="宋体"/>
          <w:szCs w:val="21"/>
        </w:rPr>
      </w:pPr>
      <w:r>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rsidR="00420A6C" w:rsidRDefault="00420A6C">
      <w:pPr>
        <w:spacing w:line="360" w:lineRule="auto"/>
        <w:ind w:firstLineChars="200" w:firstLine="420"/>
        <w:rPr>
          <w:rFonts w:ascii="宋体" w:hAnsi="宋体"/>
          <w:szCs w:val="21"/>
        </w:rPr>
      </w:pPr>
      <w:r>
        <w:rPr>
          <w:rFonts w:ascii="宋体" w:hAnsi="宋体"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并承担所有损失。对本基金因投资流通受限证券导致的流动性风险，基金托管人不承担任何责任。如因基金管理</w:t>
      </w:r>
      <w:proofErr w:type="gramStart"/>
      <w:r>
        <w:rPr>
          <w:rFonts w:ascii="宋体" w:hAnsi="宋体" w:hint="eastAsia"/>
          <w:szCs w:val="21"/>
        </w:rPr>
        <w:t>人原因</w:t>
      </w:r>
      <w:proofErr w:type="gramEnd"/>
      <w:r>
        <w:rPr>
          <w:rFonts w:ascii="宋体" w:hAnsi="宋体" w:hint="eastAsia"/>
          <w:szCs w:val="21"/>
        </w:rPr>
        <w:t>导致本基金出现损失的，基金托管人不承担任何责任。</w:t>
      </w:r>
    </w:p>
    <w:p w:rsidR="00420A6C" w:rsidRDefault="00420A6C">
      <w:pPr>
        <w:spacing w:line="360" w:lineRule="auto"/>
        <w:ind w:firstLineChars="200" w:firstLine="420"/>
        <w:rPr>
          <w:rFonts w:ascii="宋体" w:hAnsi="宋体"/>
          <w:szCs w:val="21"/>
        </w:rPr>
      </w:pPr>
      <w:r>
        <w:rPr>
          <w:rFonts w:ascii="宋体" w:hAnsi="宋体" w:hint="eastAsia"/>
          <w:szCs w:val="21"/>
        </w:rPr>
        <w:t>（3）基金管理人应在基金投资非公开发行股票后两个交易日内，在中国证监会指定媒体披露所投资非公开发行股票的名称、数量、总成本、账面价值，以及总成本和账面价值占基金资产净值的比例、锁定期等信息。</w:t>
      </w:r>
    </w:p>
    <w:p w:rsidR="00420A6C" w:rsidRDefault="00420A6C">
      <w:pPr>
        <w:spacing w:line="360" w:lineRule="auto"/>
        <w:ind w:firstLineChars="200" w:firstLine="420"/>
        <w:rPr>
          <w:rFonts w:ascii="宋体" w:hAnsi="宋体"/>
          <w:szCs w:val="21"/>
        </w:rPr>
      </w:pPr>
      <w:r>
        <w:rPr>
          <w:rFonts w:ascii="宋体" w:hAnsi="宋体" w:hint="eastAsia"/>
          <w:szCs w:val="21"/>
        </w:rPr>
        <w:lastRenderedPageBreak/>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rsidR="00420A6C" w:rsidRDefault="00420A6C">
      <w:pPr>
        <w:spacing w:line="360" w:lineRule="auto"/>
        <w:ind w:firstLineChars="200" w:firstLine="420"/>
        <w:rPr>
          <w:rFonts w:ascii="宋体" w:hAnsi="宋体"/>
          <w:szCs w:val="21"/>
        </w:rPr>
      </w:pPr>
      <w:r>
        <w:rPr>
          <w:rFonts w:ascii="宋体" w:hAnsi="宋体" w:hint="eastAsia"/>
          <w:szCs w:val="21"/>
        </w:rPr>
        <w:t>如基金管理人未遵守相关制度、流动性风险处置方案以及投资额度和比例限制要求，导致基金出现风险使乙方承担连带赔偿责任的，</w:t>
      </w:r>
      <w:proofErr w:type="gramStart"/>
      <w:r>
        <w:rPr>
          <w:rFonts w:ascii="宋体" w:hAnsi="宋体" w:hint="eastAsia"/>
          <w:szCs w:val="21"/>
        </w:rPr>
        <w:t>若基金</w:t>
      </w:r>
      <w:proofErr w:type="gramEnd"/>
      <w:r>
        <w:rPr>
          <w:rFonts w:ascii="宋体" w:hAnsi="宋体" w:hint="eastAsia"/>
          <w:szCs w:val="21"/>
        </w:rPr>
        <w:t>托管人此前已切实履行监督职责的，基金管理人应赔偿基金托管人由此遭受的损失。</w:t>
      </w:r>
    </w:p>
    <w:p w:rsidR="00420A6C" w:rsidRDefault="00420A6C">
      <w:pPr>
        <w:spacing w:line="360" w:lineRule="auto"/>
        <w:ind w:firstLineChars="200" w:firstLine="420"/>
        <w:rPr>
          <w:rFonts w:ascii="宋体" w:hAnsi="宋体"/>
          <w:szCs w:val="21"/>
        </w:rPr>
      </w:pPr>
      <w:r>
        <w:rPr>
          <w:rFonts w:ascii="宋体" w:hAnsi="宋体" w:hint="eastAsia"/>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rsidR="00420A6C" w:rsidRDefault="00420A6C">
      <w:pPr>
        <w:spacing w:line="360" w:lineRule="auto"/>
        <w:ind w:firstLineChars="200" w:firstLine="420"/>
        <w:rPr>
          <w:rFonts w:ascii="宋体" w:hAnsi="宋体"/>
          <w:szCs w:val="21"/>
        </w:rPr>
      </w:pPr>
      <w:r>
        <w:rPr>
          <w:rFonts w:ascii="宋体" w:hAnsi="宋体" w:hint="eastAsia"/>
          <w:szCs w:val="21"/>
        </w:rPr>
        <w:t>1）中国证监会批准发行非公开发行股票的批准文件。</w:t>
      </w:r>
    </w:p>
    <w:p w:rsidR="00420A6C" w:rsidRDefault="00420A6C">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rsidR="00420A6C" w:rsidRDefault="00420A6C">
      <w:pPr>
        <w:spacing w:line="360" w:lineRule="auto"/>
        <w:ind w:firstLineChars="200" w:firstLine="420"/>
        <w:rPr>
          <w:rFonts w:ascii="宋体" w:hAnsi="宋体"/>
          <w:szCs w:val="21"/>
        </w:rPr>
      </w:pPr>
      <w:r>
        <w:rPr>
          <w:rFonts w:ascii="宋体" w:hAnsi="宋体" w:hint="eastAsia"/>
          <w:szCs w:val="21"/>
        </w:rPr>
        <w:t>3）基金拟认购的数量、价格、总成本、账面价值。</w:t>
      </w:r>
    </w:p>
    <w:p w:rsidR="00420A6C" w:rsidRDefault="00420A6C">
      <w:pPr>
        <w:spacing w:line="360" w:lineRule="auto"/>
        <w:ind w:firstLineChars="200" w:firstLine="420"/>
        <w:rPr>
          <w:rFonts w:ascii="宋体" w:hAnsi="宋体"/>
          <w:szCs w:val="21"/>
        </w:rPr>
      </w:pPr>
      <w:r>
        <w:rPr>
          <w:rFonts w:ascii="宋体" w:hAnsi="宋体" w:hint="eastAsia"/>
          <w:szCs w:val="21"/>
        </w:rPr>
        <w:t>4）该基金投资流通受限证券的投资额度和投资比例控制</w:t>
      </w:r>
    </w:p>
    <w:p w:rsidR="00420A6C" w:rsidRDefault="00420A6C">
      <w:pPr>
        <w:spacing w:after="120" w:line="360" w:lineRule="auto"/>
        <w:ind w:firstLineChars="200" w:firstLine="420"/>
        <w:rPr>
          <w:rFonts w:ascii="宋体" w:hAnsi="宋体"/>
          <w:szCs w:val="21"/>
        </w:rPr>
      </w:pPr>
      <w:r>
        <w:rPr>
          <w:rFonts w:ascii="宋体" w:hAnsi="宋体" w:hint="eastAsia"/>
          <w:szCs w:val="21"/>
        </w:rPr>
        <w:t>5）</w:t>
      </w:r>
      <w:r>
        <w:rPr>
          <w:rFonts w:ascii="宋体" w:hAnsi="宋体" w:cs="宋体" w:hint="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任何责任，并有权报告中国证监会。</w:t>
      </w:r>
    </w:p>
    <w:p w:rsidR="00420A6C" w:rsidRDefault="00420A6C">
      <w:pPr>
        <w:spacing w:after="120" w:line="360" w:lineRule="auto"/>
        <w:ind w:firstLineChars="200" w:firstLine="420"/>
        <w:rPr>
          <w:rFonts w:ascii="宋体" w:hAnsi="宋体"/>
          <w:szCs w:val="21"/>
        </w:rPr>
      </w:pPr>
      <w:r>
        <w:rPr>
          <w:rFonts w:ascii="宋体" w:hAnsi="宋体" w:hint="eastAsia"/>
          <w:szCs w:val="21"/>
        </w:rPr>
        <w:t>如基金管理人和基金托管人无法就上述问题达成一致，应及时上报中国证监会请求解决。基金托管人履行了本托管协议规定的监督职责后，不承担任何责任。</w:t>
      </w:r>
    </w:p>
    <w:p w:rsidR="00420A6C" w:rsidRDefault="00420A6C">
      <w:pPr>
        <w:widowControl/>
        <w:spacing w:line="360" w:lineRule="auto"/>
        <w:ind w:firstLineChars="200" w:firstLine="420"/>
        <w:jc w:val="left"/>
        <w:rPr>
          <w:rFonts w:ascii="宋体" w:hAnsi="宋体"/>
          <w:szCs w:val="21"/>
        </w:rPr>
      </w:pPr>
      <w:r>
        <w:rPr>
          <w:rFonts w:ascii="宋体" w:hAnsi="宋体" w:hint="eastAsia"/>
          <w:szCs w:val="21"/>
        </w:rPr>
        <w:t>（5）相关法律法规对基金投资流通受限证券有新规定的，从其规定。</w:t>
      </w:r>
    </w:p>
    <w:p w:rsidR="00420A6C" w:rsidRDefault="00420A6C">
      <w:pPr>
        <w:spacing w:after="120" w:line="360" w:lineRule="auto"/>
        <w:ind w:firstLineChars="200" w:firstLine="420"/>
        <w:rPr>
          <w:rFonts w:ascii="宋体" w:hAnsi="宋体"/>
          <w:szCs w:val="21"/>
        </w:rPr>
      </w:pPr>
      <w:r>
        <w:rPr>
          <w:rFonts w:ascii="宋体" w:hAnsi="宋体" w:hint="eastAsia"/>
          <w:szCs w:val="21"/>
        </w:rPr>
        <w:t>基金托管人对基金投资中期票据的监督责任仅限于依据本托管协议相关规定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任何责任。如因基金管理</w:t>
      </w:r>
      <w:proofErr w:type="gramStart"/>
      <w:r>
        <w:rPr>
          <w:rFonts w:ascii="宋体" w:hAnsi="宋体" w:hint="eastAsia"/>
          <w:szCs w:val="21"/>
        </w:rPr>
        <w:t>人原因</w:t>
      </w:r>
      <w:proofErr w:type="gramEnd"/>
      <w:r>
        <w:rPr>
          <w:rFonts w:ascii="宋体" w:hAnsi="宋体" w:hint="eastAsia"/>
          <w:szCs w:val="21"/>
        </w:rPr>
        <w:t>导致基金出现损失的，基金托管人不承担任何责任。</w:t>
      </w:r>
    </w:p>
    <w:p w:rsidR="00420A6C" w:rsidRDefault="00420A6C">
      <w:pPr>
        <w:spacing w:after="120" w:line="360" w:lineRule="auto"/>
        <w:ind w:firstLineChars="200" w:firstLine="420"/>
        <w:rPr>
          <w:rFonts w:ascii="宋体" w:hAnsi="宋体"/>
          <w:szCs w:val="21"/>
        </w:rPr>
      </w:pPr>
      <w:r>
        <w:rPr>
          <w:rFonts w:ascii="宋体" w:hAnsi="宋体" w:hint="eastAsia"/>
          <w:szCs w:val="21"/>
        </w:rPr>
        <w:t>基金管理人管理的基金在投资中期票据前，基金管理人须根据法律、法规、监管部门的</w:t>
      </w:r>
      <w:r>
        <w:rPr>
          <w:rFonts w:ascii="宋体" w:hAnsi="宋体" w:hint="eastAsia"/>
          <w:szCs w:val="21"/>
        </w:rPr>
        <w:lastRenderedPageBreak/>
        <w:t>规定，制定严格的关于投资中期票据的风险控制制度和流动性风险处置预案，管理人在此承诺将严格执行该风险控制制度和流动性风险处置预案。</w:t>
      </w:r>
    </w:p>
    <w:p w:rsidR="00420A6C" w:rsidRDefault="00420A6C">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4" w:name="_Toc382819074"/>
      <w:r>
        <w:rPr>
          <w:rFonts w:ascii="宋体" w:eastAsia="宋体" w:hAnsi="宋体" w:hint="eastAsia"/>
          <w:b w:val="0"/>
          <w:sz w:val="21"/>
          <w:szCs w:val="21"/>
        </w:rPr>
        <w:t>（二）基金托管人应根据有关法律法规的规定及《基金合同》的约定，对</w:t>
      </w:r>
      <w:r w:rsidR="00D33F74" w:rsidRPr="00D33F74">
        <w:rPr>
          <w:rFonts w:ascii="宋体" w:eastAsia="宋体" w:hAnsi="宋体" w:hint="eastAsia"/>
          <w:b w:val="0"/>
          <w:sz w:val="21"/>
          <w:szCs w:val="21"/>
        </w:rPr>
        <w:t>各类</w:t>
      </w:r>
      <w:r>
        <w:rPr>
          <w:rFonts w:ascii="宋体" w:eastAsia="宋体" w:hAnsi="宋体" w:hint="eastAsia"/>
          <w:b w:val="0"/>
          <w:sz w:val="21"/>
          <w:szCs w:val="21"/>
        </w:rPr>
        <w:t>基金资产净值计算、</w:t>
      </w:r>
      <w:r w:rsidR="00D33F74" w:rsidRPr="00D33F74">
        <w:rPr>
          <w:rFonts w:ascii="宋体" w:eastAsia="宋体" w:hAnsi="宋体" w:hint="eastAsia"/>
          <w:b w:val="0"/>
          <w:sz w:val="21"/>
          <w:szCs w:val="21"/>
        </w:rPr>
        <w:t>各类</w:t>
      </w:r>
      <w:r>
        <w:rPr>
          <w:rFonts w:ascii="宋体" w:eastAsia="宋体" w:hAnsi="宋体" w:hint="eastAsia"/>
          <w:b w:val="0"/>
          <w:sz w:val="21"/>
          <w:szCs w:val="21"/>
        </w:rPr>
        <w:t>基金份额净值计算、应收资金到账、基金费用开支及收入确定、基金收益分配、相关信息披露、基金宣传推介材料中登载基金业绩表现数据等进行监督和核查。</w:t>
      </w:r>
      <w:bookmarkEnd w:id="14"/>
    </w:p>
    <w:p w:rsidR="00420A6C" w:rsidRDefault="00420A6C">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5" w:name="_Toc382819075"/>
      <w:r>
        <w:rPr>
          <w:rFonts w:ascii="宋体" w:eastAsia="宋体" w:hAnsi="宋体" w:hint="eastAsia"/>
          <w:b w:val="0"/>
          <w:sz w:val="21"/>
          <w:szCs w:val="21"/>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5"/>
    </w:p>
    <w:p w:rsidR="00420A6C" w:rsidRDefault="00420A6C">
      <w:pPr>
        <w:spacing w:line="360" w:lineRule="auto"/>
        <w:ind w:firstLineChars="200" w:firstLine="420"/>
        <w:rPr>
          <w:rFonts w:ascii="宋体" w:hAnsi="宋体"/>
          <w:szCs w:val="21"/>
        </w:rPr>
      </w:pPr>
      <w:r>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rsidR="00420A6C" w:rsidRDefault="00420A6C">
      <w:pPr>
        <w:spacing w:line="440" w:lineRule="exact"/>
        <w:ind w:firstLineChars="200" w:firstLine="420"/>
        <w:rPr>
          <w:rFonts w:ascii="宋体" w:hAnsi="宋体"/>
          <w:szCs w:val="21"/>
        </w:rPr>
      </w:pPr>
      <w:r>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rsidR="00420A6C" w:rsidRDefault="00420A6C">
      <w:pPr>
        <w:spacing w:line="440" w:lineRule="exact"/>
        <w:ind w:firstLineChars="200" w:firstLine="420"/>
        <w:rPr>
          <w:rFonts w:ascii="宋体" w:hAnsi="宋体"/>
          <w:szCs w:val="21"/>
        </w:rPr>
      </w:pP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rsidR="00420A6C" w:rsidRDefault="00420A6C">
      <w:pPr>
        <w:spacing w:line="440" w:lineRule="exact"/>
        <w:ind w:firstLineChars="200" w:firstLine="420"/>
        <w:rPr>
          <w:rFonts w:ascii="宋体" w:hAnsi="宋体"/>
          <w:szCs w:val="21"/>
        </w:rPr>
      </w:pPr>
      <w:r>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420A6C" w:rsidRDefault="00420A6C">
      <w:pPr>
        <w:spacing w:line="440" w:lineRule="exact"/>
        <w:ind w:firstLineChars="200" w:firstLine="420"/>
        <w:rPr>
          <w:rFonts w:ascii="宋体" w:hAnsi="宋体"/>
          <w:szCs w:val="21"/>
        </w:rPr>
      </w:pPr>
      <w:r>
        <w:rPr>
          <w:rFonts w:ascii="宋体" w:hAnsi="宋体" w:hint="eastAsia"/>
          <w:szCs w:val="21"/>
        </w:rPr>
        <w:t>基金托管人发现基金管理人有重大违规行为，应立即报告中国证监会，同时通知基金管理人限期纠正。</w:t>
      </w:r>
    </w:p>
    <w:p w:rsidR="00420A6C" w:rsidRDefault="00420A6C">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rsidR="00420A6C" w:rsidRDefault="00420A6C">
      <w:pPr>
        <w:pStyle w:val="1"/>
        <w:keepNext w:val="0"/>
        <w:keepLines w:val="0"/>
        <w:numPr>
          <w:ilvl w:val="0"/>
          <w:numId w:val="2"/>
        </w:numPr>
        <w:tabs>
          <w:tab w:val="left" w:pos="420"/>
          <w:tab w:val="left" w:pos="1922"/>
        </w:tabs>
        <w:autoSpaceDE w:val="0"/>
        <w:autoSpaceDN w:val="0"/>
        <w:adjustRightInd w:val="0"/>
        <w:spacing w:before="360" w:after="360"/>
        <w:textAlignment w:val="baseline"/>
        <w:rPr>
          <w:rFonts w:ascii="宋体" w:eastAsia="宋体" w:hAnsi="宋体" w:cs="Arial"/>
          <w:sz w:val="30"/>
          <w:szCs w:val="30"/>
        </w:rPr>
      </w:pPr>
      <w:bookmarkStart w:id="16" w:name="_Toc382819076"/>
      <w:r>
        <w:rPr>
          <w:rFonts w:ascii="宋体" w:eastAsia="宋体" w:hAnsi="宋体" w:cs="Arial" w:hint="eastAsia"/>
          <w:sz w:val="30"/>
          <w:szCs w:val="30"/>
        </w:rPr>
        <w:t>基金管理人对基金托管人的业务核查</w:t>
      </w:r>
      <w:bookmarkEnd w:id="16"/>
    </w:p>
    <w:p w:rsidR="00420A6C" w:rsidRDefault="00420A6C">
      <w:pPr>
        <w:spacing w:line="360" w:lineRule="auto"/>
        <w:ind w:firstLineChars="200" w:firstLine="420"/>
        <w:rPr>
          <w:rFonts w:ascii="宋体" w:hAnsi="宋体"/>
          <w:szCs w:val="21"/>
        </w:rPr>
      </w:pPr>
      <w:r>
        <w:rPr>
          <w:rFonts w:ascii="宋体" w:hAnsi="宋体" w:hint="eastAsia"/>
          <w:szCs w:val="21"/>
        </w:rPr>
        <w:lastRenderedPageBreak/>
        <w:t>基金管理人对基金托管人履行托管职责情况进行核查，核查事项包括但不限于基金托管人是否安全保管基金财产、是否分别开设基金财产的资金账户和证券账户及投资所需其他账、是否复核基金管理人计算的</w:t>
      </w:r>
      <w:r w:rsidR="00D33F74" w:rsidRPr="00D33F74">
        <w:rPr>
          <w:rFonts w:ascii="宋体" w:hAnsi="宋体" w:hint="eastAsia"/>
          <w:szCs w:val="21"/>
        </w:rPr>
        <w:t>各类</w:t>
      </w:r>
      <w:r>
        <w:rPr>
          <w:rFonts w:ascii="宋体" w:hAnsi="宋体" w:hint="eastAsia"/>
          <w:szCs w:val="21"/>
        </w:rPr>
        <w:t>基金资产净值和</w:t>
      </w:r>
      <w:r w:rsidR="00D33F74" w:rsidRPr="00D33F74">
        <w:rPr>
          <w:rFonts w:ascii="宋体" w:hAnsi="宋体" w:hint="eastAsia"/>
          <w:szCs w:val="21"/>
        </w:rPr>
        <w:t>各类</w:t>
      </w:r>
      <w:r>
        <w:rPr>
          <w:rFonts w:ascii="宋体" w:hAnsi="宋体" w:hint="eastAsia"/>
          <w:szCs w:val="21"/>
        </w:rPr>
        <w:t>基金份额净值、是否根据基金管理人指令办理清算交收、进行相关信息披露和监督基金投资运作等行为。</w:t>
      </w:r>
    </w:p>
    <w:p w:rsidR="00420A6C" w:rsidRDefault="00420A6C">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rsidR="00420A6C" w:rsidRDefault="00420A6C">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rsidR="00420A6C" w:rsidRDefault="00420A6C">
      <w:pPr>
        <w:pStyle w:val="20"/>
        <w:rPr>
          <w:rFonts w:ascii="宋体" w:eastAsia="宋体" w:hAnsi="宋体"/>
          <w:sz w:val="21"/>
          <w:szCs w:val="21"/>
        </w:rPr>
      </w:pPr>
      <w:bookmarkStart w:id="17" w:name="_Toc382818598"/>
      <w:bookmarkStart w:id="18" w:name="_Toc382819077"/>
      <w:r>
        <w:rPr>
          <w:rFonts w:ascii="宋体" w:eastAsia="宋体" w:hAnsi="宋体" w:hint="eastAsia"/>
          <w:sz w:val="21"/>
          <w:szCs w:val="21"/>
        </w:rPr>
        <w:t>基金托管人无正当理由，拒绝、阻挠基金管理人根据本托管协议规定行使监督权，或采取拖延、欺诈等手段妨碍基金管理人进行有效监督，情节严重或经基金管理人提出警告仍不改正的，基金管理人应报告中国证监会。</w:t>
      </w:r>
      <w:bookmarkEnd w:id="17"/>
      <w:bookmarkEnd w:id="18"/>
    </w:p>
    <w:p w:rsidR="00420A6C" w:rsidRDefault="00420A6C">
      <w:pPr>
        <w:pStyle w:val="1"/>
        <w:keepNext w:val="0"/>
        <w:keepLines w:val="0"/>
        <w:numPr>
          <w:ilvl w:val="0"/>
          <w:numId w:val="2"/>
        </w:numPr>
        <w:tabs>
          <w:tab w:val="left" w:pos="420"/>
          <w:tab w:val="left" w:pos="1922"/>
        </w:tabs>
        <w:autoSpaceDE w:val="0"/>
        <w:autoSpaceDN w:val="0"/>
        <w:adjustRightInd w:val="0"/>
        <w:spacing w:before="360" w:after="360"/>
        <w:textAlignment w:val="baseline"/>
        <w:rPr>
          <w:rFonts w:ascii="宋体" w:eastAsia="宋体" w:hAnsi="宋体" w:cs="Arial"/>
          <w:sz w:val="30"/>
          <w:szCs w:val="30"/>
        </w:rPr>
      </w:pPr>
      <w:bookmarkStart w:id="19" w:name="_Toc382819078"/>
      <w:r>
        <w:rPr>
          <w:rFonts w:ascii="宋体" w:eastAsia="宋体" w:hAnsi="宋体" w:cs="Arial" w:hint="eastAsia"/>
          <w:sz w:val="30"/>
          <w:szCs w:val="30"/>
        </w:rPr>
        <w:t>基金财产保管</w:t>
      </w:r>
      <w:bookmarkEnd w:id="19"/>
    </w:p>
    <w:p w:rsidR="00420A6C" w:rsidRDefault="00420A6C">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20" w:name="_Toc382819079"/>
      <w:r>
        <w:rPr>
          <w:rFonts w:ascii="宋体" w:eastAsia="宋体" w:hAnsi="宋体" w:hint="eastAsia"/>
          <w:b w:val="0"/>
          <w:bCs w:val="0"/>
          <w:sz w:val="21"/>
          <w:szCs w:val="21"/>
        </w:rPr>
        <w:t>（一）基金财产保管的原则</w:t>
      </w:r>
      <w:bookmarkEnd w:id="20"/>
    </w:p>
    <w:p w:rsidR="00420A6C" w:rsidRDefault="00420A6C">
      <w:pPr>
        <w:spacing w:line="360" w:lineRule="auto"/>
        <w:ind w:firstLineChars="200" w:firstLine="420"/>
        <w:rPr>
          <w:rFonts w:ascii="宋体" w:hAnsi="宋体"/>
          <w:szCs w:val="21"/>
        </w:rPr>
      </w:pPr>
      <w:r>
        <w:rPr>
          <w:rFonts w:ascii="宋体" w:hAnsi="宋体" w:hint="eastAsia"/>
          <w:szCs w:val="21"/>
        </w:rPr>
        <w:t>1.基金财产应独立于基金管理人、基金托管人的固有财产。</w:t>
      </w:r>
    </w:p>
    <w:p w:rsidR="00420A6C" w:rsidRDefault="00420A6C">
      <w:pPr>
        <w:spacing w:line="360" w:lineRule="auto"/>
        <w:ind w:firstLineChars="200" w:firstLine="420"/>
        <w:rPr>
          <w:rFonts w:ascii="宋体" w:hAnsi="宋体"/>
          <w:szCs w:val="21"/>
        </w:rPr>
      </w:pPr>
      <w:r>
        <w:rPr>
          <w:rFonts w:ascii="宋体" w:hAnsi="宋体" w:hint="eastAsia"/>
          <w:szCs w:val="21"/>
        </w:rPr>
        <w:t>2.基金托管人应按本托管协议规定安全保管托管财产。未经基金管理人的指令，不得自行运用、处分、分配基金的任何财产（基金托管人主动扣收的</w:t>
      </w:r>
      <w:proofErr w:type="gramStart"/>
      <w:r>
        <w:rPr>
          <w:rFonts w:ascii="宋体" w:hAnsi="宋体" w:hint="eastAsia"/>
          <w:szCs w:val="21"/>
        </w:rPr>
        <w:t>汇划费除外</w:t>
      </w:r>
      <w:proofErr w:type="gramEnd"/>
      <w:r>
        <w:rPr>
          <w:rFonts w:ascii="宋体" w:hAnsi="宋体" w:hint="eastAsia"/>
          <w:szCs w:val="21"/>
        </w:rPr>
        <w:t>）。基金托管人不对处于自身实际控制之外的账户及财产承担责任。</w:t>
      </w:r>
    </w:p>
    <w:p w:rsidR="00420A6C" w:rsidRDefault="00420A6C">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3.基金托管人按照规定为托管的基金财产开设资金账户和证券账户及投资所需其他账户。</w:t>
      </w:r>
    </w:p>
    <w:p w:rsidR="00420A6C" w:rsidRDefault="00420A6C">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rsidR="00420A6C" w:rsidRDefault="00420A6C">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w:t>
      </w:r>
      <w:r>
        <w:rPr>
          <w:rFonts w:ascii="宋体" w:hAnsi="宋体" w:hint="eastAsia"/>
          <w:szCs w:val="21"/>
        </w:rPr>
        <w:lastRenderedPageBreak/>
        <w:t>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0"/>
      <w:r>
        <w:rPr>
          <w:rFonts w:ascii="宋体" w:eastAsia="宋体" w:hAnsi="宋体" w:hint="eastAsia"/>
          <w:b w:val="0"/>
          <w:bCs w:val="0"/>
          <w:sz w:val="21"/>
          <w:szCs w:val="21"/>
        </w:rPr>
        <w:t>（二）募集资金的验证</w:t>
      </w:r>
      <w:bookmarkEnd w:id="21"/>
    </w:p>
    <w:p w:rsidR="00420A6C" w:rsidRDefault="00420A6C">
      <w:pPr>
        <w:spacing w:line="360" w:lineRule="auto"/>
        <w:ind w:firstLineChars="200" w:firstLine="420"/>
        <w:rPr>
          <w:rFonts w:ascii="宋体" w:hAnsi="宋体"/>
          <w:szCs w:val="21"/>
        </w:rPr>
      </w:pPr>
      <w:r>
        <w:rPr>
          <w:rFonts w:ascii="宋体" w:hAnsi="宋体" w:hint="eastAsia"/>
          <w:szCs w:val="21"/>
        </w:rPr>
        <w:t>募集期内销售机构按销售与服务代理协议的约定，将认购资金划入基金管理人在具有托管资格的商业银行开设的“银华基金管理股份有限公司基金认购专户”。该账户由基金管理人开立并管理。基金募集期满，募集的基金份额总额、基金募集金额、基金份额持有人人数符合《基金法》、《运作办法》等有关规定后，由基金管理人聘请具有证券、</w:t>
      </w:r>
      <w:r>
        <w:rPr>
          <w:rFonts w:ascii="宋体" w:hAnsi="宋体"/>
          <w:szCs w:val="21"/>
        </w:rPr>
        <w:t>期货相关</w:t>
      </w:r>
      <w:r>
        <w:rPr>
          <w:rFonts w:ascii="宋体" w:hAnsi="宋体" w:hint="eastAsia"/>
          <w:szCs w:val="21"/>
        </w:rPr>
        <w:t>业务资格的会计师事务所进行验资，出具验资报告，出具的验资报告应由参加验资的2名以上（含2名）中国注册会计师签字方为有效。基金管理人应将属于本基金财产的全部资金划入在基金托管人处为本基金开立的基金银行账户中，并确保划入的资金与验资确认金额相一致。基金托管人收到有效认购资金当日以书面形式确认资金到账情况，并及时将资金到账凭证传真给基金管理人，双方进行账务处理。</w:t>
      </w:r>
    </w:p>
    <w:p w:rsidR="00420A6C" w:rsidRDefault="00420A6C">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募集期限届满，未能达到《基金合同》备案的条件，由基金管理人按规定办理退款事宜。</w:t>
      </w:r>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1"/>
      <w:r>
        <w:rPr>
          <w:rFonts w:ascii="宋体" w:eastAsia="宋体" w:hAnsi="宋体" w:hint="eastAsia"/>
          <w:b w:val="0"/>
          <w:bCs w:val="0"/>
          <w:sz w:val="21"/>
          <w:szCs w:val="21"/>
        </w:rPr>
        <w:t>（三）基金资产托管专户的开立和管理</w:t>
      </w:r>
      <w:bookmarkEnd w:id="22"/>
    </w:p>
    <w:p w:rsidR="00420A6C" w:rsidRDefault="00420A6C">
      <w:pPr>
        <w:spacing w:line="360" w:lineRule="auto"/>
        <w:ind w:firstLineChars="200" w:firstLine="420"/>
        <w:rPr>
          <w:rFonts w:ascii="宋体" w:hAnsi="宋体"/>
          <w:szCs w:val="21"/>
        </w:rPr>
      </w:pPr>
      <w:r>
        <w:rPr>
          <w:rFonts w:ascii="宋体" w:hAnsi="宋体" w:hint="eastAsia"/>
          <w:szCs w:val="21"/>
        </w:rPr>
        <w:t>基金托管人以基金的名义在其营业机构开设资产托管专户，并根据基金管理人合法合</w:t>
      </w:r>
      <w:proofErr w:type="gramStart"/>
      <w:r>
        <w:rPr>
          <w:rFonts w:ascii="宋体" w:hAnsi="宋体" w:hint="eastAsia"/>
          <w:szCs w:val="21"/>
        </w:rPr>
        <w:t>规</w:t>
      </w:r>
      <w:proofErr w:type="gramEnd"/>
      <w:r>
        <w:rPr>
          <w:rFonts w:ascii="宋体" w:hAnsi="宋体" w:hint="eastAsia"/>
          <w:szCs w:val="21"/>
        </w:rPr>
        <w:t>的有效指令办理资金收付。基金管理人应根据法律法规及托管行的相关要求，提供开户所需的资料并提供其他必要协助。本基金的资产托管专户的预留印鉴的印章由基金托管人刻制、保管和使用。</w:t>
      </w:r>
    </w:p>
    <w:p w:rsidR="00420A6C" w:rsidRDefault="00420A6C">
      <w:pPr>
        <w:spacing w:line="360" w:lineRule="auto"/>
        <w:ind w:firstLineChars="200" w:firstLine="420"/>
        <w:rPr>
          <w:rFonts w:ascii="宋体" w:hAnsi="宋体"/>
          <w:szCs w:val="21"/>
        </w:rPr>
      </w:pPr>
      <w:r>
        <w:rPr>
          <w:rFonts w:ascii="宋体" w:hAnsi="宋体" w:hint="eastAsia"/>
          <w:szCs w:val="21"/>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rsidR="00420A6C" w:rsidRDefault="00420A6C">
      <w:pPr>
        <w:spacing w:line="360" w:lineRule="auto"/>
        <w:ind w:firstLineChars="200" w:firstLine="420"/>
        <w:rPr>
          <w:rFonts w:ascii="宋体" w:hAnsi="宋体"/>
          <w:szCs w:val="21"/>
        </w:rPr>
      </w:pPr>
      <w:r>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2"/>
      <w:r>
        <w:rPr>
          <w:rFonts w:ascii="宋体" w:eastAsia="宋体" w:hAnsi="宋体" w:hint="eastAsia"/>
          <w:b w:val="0"/>
          <w:bCs w:val="0"/>
          <w:sz w:val="21"/>
          <w:szCs w:val="21"/>
        </w:rPr>
        <w:t>（四）基金证券账户与证券交易资金账户的开设和管理</w:t>
      </w:r>
      <w:bookmarkEnd w:id="23"/>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基金托管人以基金托管人和本基金联名的方式在中国证券登记结算有限公司上海分公</w:t>
      </w:r>
      <w:r>
        <w:rPr>
          <w:rFonts w:ascii="宋体" w:hAnsi="宋体" w:hint="eastAsia"/>
          <w:szCs w:val="21"/>
        </w:rPr>
        <w:lastRenderedPageBreak/>
        <w:t>司/深圳分公司开立专门的证券账户。</w:t>
      </w:r>
    </w:p>
    <w:p w:rsidR="00420A6C" w:rsidRDefault="00420A6C">
      <w:pPr>
        <w:spacing w:line="360" w:lineRule="auto"/>
        <w:ind w:firstLineChars="200" w:firstLine="420"/>
        <w:rPr>
          <w:rFonts w:ascii="宋体" w:hAnsi="宋体"/>
          <w:szCs w:val="21"/>
        </w:rPr>
      </w:pPr>
      <w:r>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rsidR="00420A6C" w:rsidRDefault="00420A6C">
      <w:pPr>
        <w:spacing w:line="360" w:lineRule="auto"/>
        <w:ind w:firstLineChars="200" w:firstLine="420"/>
        <w:rPr>
          <w:rFonts w:ascii="宋体" w:hAnsi="宋体"/>
          <w:szCs w:val="21"/>
        </w:rPr>
      </w:pPr>
      <w:r>
        <w:rPr>
          <w:rFonts w:ascii="宋体" w:hAnsi="宋体" w:hint="eastAsia"/>
          <w:szCs w:val="21"/>
        </w:rPr>
        <w:t>基金证券账户的开立和原始开户材料的保管由基金托管人负责，账户资产的管理和运用由基金管理人负责。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4" w:name="_Toc382819083"/>
      <w:r>
        <w:rPr>
          <w:rFonts w:ascii="宋体" w:eastAsia="宋体" w:hAnsi="宋体" w:hint="eastAsia"/>
          <w:b w:val="0"/>
          <w:bCs w:val="0"/>
          <w:sz w:val="21"/>
          <w:szCs w:val="21"/>
        </w:rPr>
        <w:t>（五）银行间市场债券托管和资金结算专户的开立和管理及市场准入备案</w:t>
      </w:r>
      <w:bookmarkEnd w:id="24"/>
    </w:p>
    <w:p w:rsidR="00420A6C" w:rsidRDefault="00420A6C">
      <w:pPr>
        <w:spacing w:line="360" w:lineRule="auto"/>
        <w:ind w:firstLineChars="200" w:firstLine="420"/>
        <w:rPr>
          <w:rFonts w:ascii="宋体" w:hAnsi="宋体"/>
          <w:szCs w:val="21"/>
        </w:rPr>
      </w:pPr>
      <w:bookmarkStart w:id="25"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5"/>
    </w:p>
    <w:p w:rsidR="00420A6C" w:rsidRDefault="00420A6C">
      <w:pPr>
        <w:spacing w:line="360" w:lineRule="auto"/>
        <w:ind w:firstLineChars="200" w:firstLine="420"/>
        <w:rPr>
          <w:rFonts w:ascii="宋体" w:hAnsi="宋体"/>
          <w:szCs w:val="21"/>
        </w:rPr>
      </w:pPr>
      <w:r>
        <w:rPr>
          <w:rFonts w:ascii="宋体" w:hAnsi="宋体" w:hint="eastAsia"/>
          <w:szCs w:val="21"/>
        </w:rPr>
        <w:t>（六）其他账户的开设和管理</w:t>
      </w:r>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6" w:name="_Toc382819085"/>
      <w:r>
        <w:rPr>
          <w:rFonts w:ascii="宋体" w:eastAsia="宋体" w:hAnsi="宋体" w:hint="eastAsia"/>
          <w:b w:val="0"/>
          <w:bCs w:val="0"/>
          <w:sz w:val="21"/>
          <w:szCs w:val="21"/>
        </w:rPr>
        <w:t>（七）基金投资银行存款账户的开立和管理</w:t>
      </w:r>
      <w:bookmarkEnd w:id="26"/>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基金投资银行定期存款，基金管理人与基金托管人应比照相关规定，就本基金投资银行存款业务签订书面协议。</w:t>
      </w:r>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基金投资银行定期存款应由基金管理人与存款银行总行或其授权分行签订总体合作协议，并将资金存放于存款银行总行或其授权分行指定的分支机构。</w:t>
      </w:r>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存款账户必须以基金名义开立，账户名称为基金名称，存款账户开户文件上加盖预留印鉴及基金管理人公章。</w:t>
      </w:r>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本基金投资银行存款时，基金管理人应当与存款银行签订具体存款协议，明确存款的类</w:t>
      </w:r>
      <w:r>
        <w:rPr>
          <w:rFonts w:ascii="宋体" w:hAnsi="宋体" w:hint="eastAsia"/>
          <w:szCs w:val="21"/>
        </w:rPr>
        <w:lastRenderedPageBreak/>
        <w:t>型、期限、利率、金额、账号、对账方式、支取方式、账户管理等细则。</w:t>
      </w:r>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为防范特殊情况下的流动性风险，定期存款协议中应当约定提前支取条款。</w:t>
      </w:r>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7" w:name="_Toc382819086"/>
      <w:r>
        <w:rPr>
          <w:rFonts w:ascii="宋体" w:eastAsia="宋体" w:hAnsi="宋体" w:hint="eastAsia"/>
          <w:b w:val="0"/>
          <w:bCs w:val="0"/>
          <w:sz w:val="21"/>
          <w:szCs w:val="21"/>
        </w:rPr>
        <w:t>基金所投资定期存款存续期间，基金管理人、基金托管人应当与存款银行建立定期对账机制，确保基金银行存款业务账目及核对的真实、准确。</w:t>
      </w:r>
      <w:bookmarkEnd w:id="27"/>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8" w:name="_Toc382819087"/>
      <w:r>
        <w:rPr>
          <w:rFonts w:ascii="宋体" w:eastAsia="宋体" w:hAnsi="宋体" w:hint="eastAsia"/>
          <w:b w:val="0"/>
          <w:bCs w:val="0"/>
          <w:sz w:val="21"/>
          <w:szCs w:val="21"/>
        </w:rPr>
        <w:t>（八）基金财产投资的有关实物证券、银行定期存款存单等有价凭证的保管</w:t>
      </w:r>
      <w:bookmarkEnd w:id="28"/>
    </w:p>
    <w:p w:rsidR="00420A6C" w:rsidRDefault="00420A6C">
      <w:pPr>
        <w:spacing w:line="360" w:lineRule="auto"/>
        <w:ind w:firstLineChars="200" w:firstLine="420"/>
        <w:rPr>
          <w:rFonts w:ascii="宋体" w:hAnsi="宋体"/>
          <w:szCs w:val="21"/>
        </w:rPr>
      </w:pPr>
      <w:r>
        <w:rPr>
          <w:rFonts w:ascii="宋体" w:hAnsi="宋体" w:hint="eastAsia"/>
          <w:szCs w:val="21"/>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（九）与基金财产有关的重大合同的保管</w:t>
      </w:r>
    </w:p>
    <w:p w:rsidR="00420A6C" w:rsidRDefault="00420A6C">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托管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420A6C" w:rsidRDefault="00420A6C">
      <w:pPr>
        <w:spacing w:line="360" w:lineRule="auto"/>
        <w:ind w:firstLineChars="200" w:firstLine="420"/>
        <w:rPr>
          <w:rFonts w:ascii="宋体" w:hAnsi="宋体"/>
          <w:szCs w:val="21"/>
        </w:rPr>
      </w:pPr>
      <w:r>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rsidR="00420A6C" w:rsidRDefault="00420A6C">
      <w:pPr>
        <w:pStyle w:val="1"/>
        <w:keepNext w:val="0"/>
        <w:keepLines w:val="0"/>
        <w:numPr>
          <w:ilvl w:val="0"/>
          <w:numId w:val="2"/>
        </w:numPr>
        <w:tabs>
          <w:tab w:val="left" w:pos="420"/>
          <w:tab w:val="left" w:pos="1922"/>
        </w:tabs>
        <w:autoSpaceDE w:val="0"/>
        <w:autoSpaceDN w:val="0"/>
        <w:adjustRightInd w:val="0"/>
        <w:spacing w:before="360" w:after="360"/>
        <w:textAlignment w:val="baseline"/>
        <w:rPr>
          <w:rFonts w:ascii="宋体" w:eastAsia="宋体" w:hAnsi="宋体" w:cs="Arial"/>
          <w:sz w:val="30"/>
          <w:szCs w:val="30"/>
        </w:rPr>
      </w:pPr>
      <w:bookmarkStart w:id="29" w:name="_Toc382819088"/>
      <w:r>
        <w:rPr>
          <w:rFonts w:ascii="宋体" w:eastAsia="宋体" w:hAnsi="宋体" w:cs="Arial" w:hint="eastAsia"/>
          <w:sz w:val="30"/>
          <w:szCs w:val="30"/>
        </w:rPr>
        <w:t>指令的发送、确认和执行</w:t>
      </w:r>
      <w:bookmarkEnd w:id="29"/>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0" w:name="_Toc382819089"/>
      <w:r>
        <w:rPr>
          <w:rFonts w:ascii="宋体" w:eastAsia="宋体" w:hAnsi="宋体" w:hint="eastAsia"/>
          <w:b w:val="0"/>
          <w:bCs w:val="0"/>
          <w:sz w:val="21"/>
          <w:szCs w:val="21"/>
        </w:rPr>
        <w:t>基金管理人在运用基金财产时向基金托管人发送资金划拨及其他款项付款指令，基金托管人执行基金管理人合法合</w:t>
      </w:r>
      <w:proofErr w:type="gramStart"/>
      <w:r>
        <w:rPr>
          <w:rFonts w:ascii="宋体" w:eastAsia="宋体" w:hAnsi="宋体" w:hint="eastAsia"/>
          <w:b w:val="0"/>
          <w:bCs w:val="0"/>
          <w:sz w:val="21"/>
          <w:szCs w:val="21"/>
        </w:rPr>
        <w:t>规</w:t>
      </w:r>
      <w:proofErr w:type="gramEnd"/>
      <w:r>
        <w:rPr>
          <w:rFonts w:ascii="宋体" w:eastAsia="宋体" w:hAnsi="宋体" w:hint="eastAsia"/>
          <w:b w:val="0"/>
          <w:bCs w:val="0"/>
          <w:sz w:val="21"/>
          <w:szCs w:val="21"/>
        </w:rPr>
        <w:t>且符合本托管协议相关约定的指令、办理基金名下的资金往来等有关事项。</w:t>
      </w:r>
      <w:bookmarkEnd w:id="30"/>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1" w:name="_Toc382819090"/>
      <w:r>
        <w:rPr>
          <w:rFonts w:ascii="宋体" w:eastAsia="宋体" w:hAnsi="宋体" w:hint="eastAsia"/>
          <w:b w:val="0"/>
          <w:bCs w:val="0"/>
          <w:sz w:val="21"/>
          <w:szCs w:val="21"/>
        </w:rPr>
        <w:t>（一）基金管理人对发送指令人员的书面授权</w:t>
      </w:r>
      <w:bookmarkEnd w:id="31"/>
    </w:p>
    <w:p w:rsidR="00420A6C" w:rsidRDefault="00420A6C">
      <w:pPr>
        <w:pStyle w:val="20"/>
        <w:rPr>
          <w:rFonts w:ascii="宋体" w:eastAsia="宋体" w:hAnsi="宋体"/>
          <w:sz w:val="21"/>
          <w:szCs w:val="21"/>
        </w:rPr>
      </w:pPr>
      <w:bookmarkStart w:id="32" w:name="_Toc382818601"/>
      <w:bookmarkStart w:id="33" w:name="_Toc382819091"/>
      <w:r>
        <w:rPr>
          <w:rFonts w:ascii="宋体" w:eastAsia="宋体" w:hAnsi="宋体" w:hint="eastAsia"/>
          <w:sz w:val="21"/>
          <w:szCs w:val="21"/>
        </w:rPr>
        <w:t>基金管理人应向基金托管人提供预留印鉴和被授权人签字样本，事先书面通知（以下简称“授权通知”）基金托管人有权发送指令的人员名单，注明相应的交易权限，并规定基</w:t>
      </w:r>
      <w:r>
        <w:rPr>
          <w:rFonts w:ascii="宋体" w:eastAsia="宋体" w:hAnsi="宋体" w:hint="eastAsia"/>
          <w:sz w:val="21"/>
          <w:szCs w:val="21"/>
        </w:rPr>
        <w:lastRenderedPageBreak/>
        <w:t>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划款指令授权书无论产品成立时或后续更新，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将划款指令授权书变更通知的正本送交基金托管人划款指令授权书原件未按时送达托管人的，托管人有权拒绝执行该授权书对应的划款指令，托管人不承担由此造成的损失。基金管理人和基金托管人对授权文件负有保密义务，其内容不得向授权人及相关操作人员以外的任何人泄露</w:t>
      </w:r>
      <w:bookmarkEnd w:id="32"/>
      <w:bookmarkEnd w:id="33"/>
      <w:r>
        <w:rPr>
          <w:rFonts w:ascii="宋体" w:eastAsia="宋体" w:hAnsi="宋体" w:hint="eastAsia"/>
          <w:sz w:val="21"/>
          <w:szCs w:val="21"/>
        </w:rPr>
        <w:t>，但法律法规或有权机关另有要求的除外。</w:t>
      </w:r>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2"/>
      <w:r>
        <w:rPr>
          <w:rFonts w:ascii="宋体" w:eastAsia="宋体" w:hAnsi="宋体" w:hint="eastAsia"/>
          <w:b w:val="0"/>
          <w:bCs w:val="0"/>
          <w:sz w:val="21"/>
          <w:szCs w:val="21"/>
        </w:rPr>
        <w:t>（二）指令的内容</w:t>
      </w:r>
      <w:bookmarkEnd w:id="34"/>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2、基金管理人发给基金托管人的指令应写明付款账号、付款户名、开户行、收款账号、收款户名、开户行、款项事由、支付时间、到账时间、金额、账户等，加盖预留印鉴并有被授权人签字。</w:t>
      </w:r>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3"/>
      <w:r>
        <w:rPr>
          <w:rFonts w:ascii="宋体" w:eastAsia="宋体" w:hAnsi="宋体" w:hint="eastAsia"/>
          <w:b w:val="0"/>
          <w:bCs w:val="0"/>
          <w:sz w:val="21"/>
          <w:szCs w:val="21"/>
        </w:rPr>
        <w:t>（三）指令的发送、确认和执行的时间和程序</w:t>
      </w:r>
      <w:bookmarkEnd w:id="35"/>
    </w:p>
    <w:p w:rsidR="00420A6C" w:rsidRDefault="00420A6C">
      <w:pPr>
        <w:spacing w:after="120" w:line="360" w:lineRule="auto"/>
        <w:ind w:firstLineChars="200" w:firstLine="420"/>
        <w:rPr>
          <w:rFonts w:ascii="宋体" w:hAnsi="宋体"/>
          <w:szCs w:val="21"/>
        </w:rPr>
      </w:pPr>
      <w:r>
        <w:rPr>
          <w:rFonts w:ascii="宋体" w:hAnsi="宋体" w:hint="eastAsia"/>
          <w:szCs w:val="21"/>
        </w:rPr>
        <w:t>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w:t>
      </w:r>
      <w:r>
        <w:rPr>
          <w:rFonts w:ascii="宋体" w:hAnsi="宋体" w:hint="eastAsia"/>
          <w:szCs w:val="21"/>
        </w:rPr>
        <w:lastRenderedPageBreak/>
        <w:t>指令（不含非担保交收指令、新股、新债、增发等申购指令）应在15点（指令截至时间）前提交托管人，如基金管理人要求当天某一时点到账，则指令需提前2个工作小时（工作时间9点至11点30分，13点至17点）提交托管人。</w:t>
      </w:r>
    </w:p>
    <w:p w:rsidR="00420A6C" w:rsidRDefault="00420A6C">
      <w:pPr>
        <w:spacing w:after="120" w:line="360" w:lineRule="auto"/>
        <w:ind w:firstLineChars="200" w:firstLine="420"/>
        <w:rPr>
          <w:rFonts w:ascii="宋体" w:hAnsi="宋体"/>
          <w:szCs w:val="21"/>
        </w:rPr>
      </w:pPr>
      <w:r>
        <w:rPr>
          <w:rFonts w:ascii="宋体" w:hAnsi="宋体" w:hint="eastAsia"/>
          <w:szCs w:val="21"/>
        </w:rPr>
        <w:t>新股、新债、增发等申购指令，基金管理人须在申购前1个工作日向基金托管人发送指令，如需在申购当日下达指令，基金管理人应为基金托管人留出执行指令所必需的时间，指令最迟不得晚于上午11：00点（指令截至时间）提交基金托管人。</w:t>
      </w:r>
    </w:p>
    <w:p w:rsidR="00420A6C" w:rsidRDefault="00420A6C">
      <w:pPr>
        <w:spacing w:after="120" w:line="360" w:lineRule="auto"/>
        <w:ind w:firstLineChars="200" w:firstLine="420"/>
        <w:rPr>
          <w:rFonts w:ascii="宋体" w:hAnsi="宋体"/>
          <w:szCs w:val="21"/>
        </w:rPr>
      </w:pPr>
      <w:r>
        <w:rPr>
          <w:rFonts w:ascii="宋体" w:hAnsi="宋体" w:hint="eastAsia"/>
          <w:szCs w:val="21"/>
        </w:rPr>
        <w:t>如划款指令中给予基金托管人的划拨时间小于2个工作小时或晚于前述指令截至时间的，基金托管人应尽力在指定时间内完成资金划拨，但不承担因时间不足导致执行失败的责任。</w:t>
      </w:r>
    </w:p>
    <w:p w:rsidR="00420A6C" w:rsidRDefault="00420A6C">
      <w:pPr>
        <w:spacing w:after="120" w:line="360" w:lineRule="auto"/>
        <w:ind w:firstLineChars="200" w:firstLine="420"/>
        <w:rPr>
          <w:rFonts w:ascii="宋体" w:hAnsi="宋体"/>
          <w:szCs w:val="21"/>
        </w:rPr>
      </w:pPr>
      <w:r>
        <w:rPr>
          <w:rFonts w:ascii="宋体" w:hAnsi="宋体" w:hint="eastAsia"/>
          <w:szCs w:val="21"/>
        </w:rPr>
        <w:t>基金管理</w:t>
      </w:r>
      <w:proofErr w:type="gramStart"/>
      <w:r>
        <w:rPr>
          <w:rFonts w:ascii="宋体" w:hAnsi="宋体" w:hint="eastAsia"/>
          <w:szCs w:val="21"/>
        </w:rPr>
        <w:t>人原因</w:t>
      </w:r>
      <w:proofErr w:type="gramEnd"/>
      <w:r>
        <w:rPr>
          <w:rFonts w:ascii="宋体" w:hAnsi="宋体" w:hint="eastAsia"/>
          <w:szCs w:val="21"/>
        </w:rPr>
        <w:t>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rsidR="00420A6C" w:rsidRDefault="00420A6C">
      <w:pPr>
        <w:spacing w:line="360" w:lineRule="auto"/>
        <w:ind w:firstLineChars="200" w:firstLine="420"/>
        <w:rPr>
          <w:rFonts w:ascii="宋体" w:hAnsi="宋体"/>
          <w:szCs w:val="21"/>
        </w:rPr>
      </w:pPr>
      <w:r>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rsidR="00420A6C" w:rsidRDefault="00420A6C">
      <w:pPr>
        <w:spacing w:line="360" w:lineRule="auto"/>
        <w:ind w:firstLineChars="200" w:firstLine="420"/>
        <w:rPr>
          <w:rFonts w:ascii="宋体" w:hAnsi="宋体"/>
          <w:szCs w:val="21"/>
        </w:rPr>
      </w:pPr>
      <w:r>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rsidR="00420A6C" w:rsidRDefault="00420A6C">
      <w:pPr>
        <w:spacing w:line="360" w:lineRule="auto"/>
        <w:ind w:firstLineChars="200" w:firstLine="420"/>
        <w:rPr>
          <w:rFonts w:ascii="宋体" w:hAnsi="宋体"/>
          <w:szCs w:val="21"/>
        </w:rPr>
      </w:pPr>
      <w:r>
        <w:rPr>
          <w:rFonts w:ascii="宋体" w:hAnsi="宋体" w:hint="eastAsia"/>
          <w:szCs w:val="21"/>
        </w:rPr>
        <w:t>基金管理人应将同业市场国债交易通知单加盖预留印鉴后传真给基金托管人。</w:t>
      </w:r>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4"/>
      <w:r>
        <w:rPr>
          <w:rFonts w:ascii="宋体" w:eastAsia="宋体" w:hAnsi="宋体" w:hint="eastAsia"/>
          <w:b w:val="0"/>
          <w:bCs w:val="0"/>
          <w:sz w:val="21"/>
          <w:szCs w:val="21"/>
        </w:rPr>
        <w:t>（四）基金管理人发送错误指令的情形和处理程序</w:t>
      </w:r>
      <w:bookmarkEnd w:id="36"/>
    </w:p>
    <w:p w:rsidR="00420A6C" w:rsidRDefault="00420A6C">
      <w:pPr>
        <w:spacing w:after="120" w:line="360" w:lineRule="auto"/>
        <w:ind w:firstLineChars="200" w:firstLine="420"/>
        <w:rPr>
          <w:rFonts w:ascii="宋体" w:hAnsi="宋体"/>
          <w:szCs w:val="21"/>
        </w:rPr>
      </w:pPr>
      <w:r>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基金管理人发送错误指令的情形包括但不限于指令发送人员无权或超越权限发送指令及交割信息错误，指令中重要信息模糊不清或不全，指令违反法律法规和《基金合同》及本托管协议约定等。</w:t>
      </w:r>
    </w:p>
    <w:p w:rsidR="00420A6C" w:rsidRDefault="00420A6C">
      <w:pPr>
        <w:spacing w:line="360" w:lineRule="auto"/>
        <w:ind w:firstLineChars="200" w:firstLine="420"/>
        <w:rPr>
          <w:rFonts w:ascii="宋体" w:hAnsi="宋体"/>
          <w:szCs w:val="21"/>
          <w:lang w:val="zh-CN"/>
        </w:rPr>
      </w:pPr>
      <w:r>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5"/>
      <w:r>
        <w:rPr>
          <w:rFonts w:ascii="宋体" w:eastAsia="宋体" w:hAnsi="宋体" w:hint="eastAsia"/>
          <w:b w:val="0"/>
          <w:bCs w:val="0"/>
          <w:sz w:val="21"/>
          <w:szCs w:val="21"/>
        </w:rPr>
        <w:t>（五）基金托管人未按照基金管理人指令执行的处理方法</w:t>
      </w:r>
      <w:bookmarkEnd w:id="37"/>
    </w:p>
    <w:p w:rsidR="00420A6C" w:rsidRDefault="00420A6C">
      <w:pPr>
        <w:spacing w:line="360" w:lineRule="auto"/>
        <w:ind w:firstLineChars="200" w:firstLine="420"/>
        <w:rPr>
          <w:rFonts w:ascii="宋体" w:hAnsi="宋体"/>
          <w:szCs w:val="21"/>
        </w:rPr>
      </w:pPr>
      <w:r>
        <w:rPr>
          <w:rFonts w:ascii="宋体" w:hAnsi="宋体" w:hint="eastAsia"/>
          <w:szCs w:val="21"/>
        </w:rPr>
        <w:t>除本托管协议另有约定外，基金托管人由于自身原因造成未按照或者未及时按照基金管</w:t>
      </w:r>
      <w:r>
        <w:rPr>
          <w:rFonts w:ascii="宋体" w:hAnsi="宋体" w:hint="eastAsia"/>
          <w:szCs w:val="21"/>
        </w:rPr>
        <w:lastRenderedPageBreak/>
        <w:t>理人发送的符合本托管协议约定的、按照正常交易程序已经生效的指令执行，给基金份额持有人造成损失的，应负责赔偿相应的直接损失。</w:t>
      </w:r>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6"/>
      <w:r>
        <w:rPr>
          <w:rFonts w:ascii="宋体" w:eastAsia="宋体" w:hAnsi="宋体" w:hint="eastAsia"/>
          <w:b w:val="0"/>
          <w:bCs w:val="0"/>
          <w:sz w:val="21"/>
          <w:szCs w:val="21"/>
        </w:rPr>
        <w:t>（六）更换被授权人的程序</w:t>
      </w:r>
      <w:bookmarkEnd w:id="38"/>
    </w:p>
    <w:p w:rsidR="00420A6C" w:rsidRDefault="00420A6C">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托管协议约定及时通知基金托管人并预留新的印鉴和签字样本而导致基金份额持有人受损的，基金托管人不承担任何形式的责任。基金托管人更换接受基金管理人指令的人员，应提前通过邮件、传真或录音电话等方式通知基金管理人。</w:t>
      </w:r>
    </w:p>
    <w:p w:rsidR="00420A6C" w:rsidRDefault="00420A6C">
      <w:pPr>
        <w:spacing w:line="360" w:lineRule="auto"/>
        <w:ind w:firstLineChars="200" w:firstLine="420"/>
        <w:rPr>
          <w:rFonts w:ascii="宋体" w:hAnsi="宋体"/>
          <w:szCs w:val="21"/>
        </w:rPr>
      </w:pPr>
      <w:r>
        <w:rPr>
          <w:rFonts w:ascii="宋体" w:hAnsi="宋体" w:hint="eastAsia"/>
          <w:szCs w:val="21"/>
        </w:rPr>
        <w:t>（七）其它事项</w:t>
      </w:r>
    </w:p>
    <w:p w:rsidR="00420A6C" w:rsidRDefault="00420A6C">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基金管理人承担下达违法、违规或违反《基金合同》和本托管协议约定的指令所导致的责任。基金托管人对执行基金管理人的按照正常交易程序已经生效的指令对基金财产造成的损失不承担赔偿责任。</w:t>
      </w:r>
    </w:p>
    <w:p w:rsidR="00420A6C" w:rsidRDefault="00420A6C">
      <w:pPr>
        <w:pStyle w:val="1"/>
        <w:keepNext w:val="0"/>
        <w:keepLines w:val="0"/>
        <w:numPr>
          <w:ilvl w:val="0"/>
          <w:numId w:val="2"/>
        </w:numPr>
        <w:tabs>
          <w:tab w:val="left" w:pos="420"/>
          <w:tab w:val="left" w:pos="1922"/>
        </w:tabs>
        <w:autoSpaceDE w:val="0"/>
        <w:autoSpaceDN w:val="0"/>
        <w:adjustRightInd w:val="0"/>
        <w:spacing w:before="360" w:after="360"/>
        <w:textAlignment w:val="baseline"/>
        <w:rPr>
          <w:rFonts w:ascii="宋体" w:eastAsia="宋体" w:hAnsi="宋体" w:cs="Arial"/>
          <w:sz w:val="30"/>
          <w:szCs w:val="30"/>
        </w:rPr>
      </w:pPr>
      <w:bookmarkStart w:id="39" w:name="_Toc382819097"/>
      <w:r>
        <w:rPr>
          <w:rFonts w:ascii="宋体" w:eastAsia="宋体" w:hAnsi="宋体" w:cs="Arial" w:hint="eastAsia"/>
          <w:sz w:val="30"/>
          <w:szCs w:val="30"/>
        </w:rPr>
        <w:t>交易及清算交收安排</w:t>
      </w:r>
      <w:bookmarkEnd w:id="39"/>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0" w:name="_Toc382819098"/>
      <w:r>
        <w:rPr>
          <w:rFonts w:ascii="宋体" w:eastAsia="宋体" w:hAnsi="宋体" w:hint="eastAsia"/>
          <w:b w:val="0"/>
          <w:bCs w:val="0"/>
          <w:sz w:val="21"/>
          <w:szCs w:val="21"/>
        </w:rPr>
        <w:t>（一）选择代理证券买卖的证券经营机构的标准和程序</w:t>
      </w:r>
      <w:bookmarkEnd w:id="40"/>
    </w:p>
    <w:p w:rsidR="00420A6C" w:rsidRDefault="00420A6C">
      <w:pPr>
        <w:spacing w:line="360" w:lineRule="auto"/>
        <w:ind w:firstLineChars="200" w:firstLine="420"/>
        <w:rPr>
          <w:rFonts w:ascii="宋体" w:hAnsi="宋体"/>
          <w:szCs w:val="21"/>
        </w:rPr>
      </w:pPr>
      <w:r>
        <w:rPr>
          <w:rFonts w:ascii="宋体" w:hAnsi="宋体" w:hint="eastAsia"/>
          <w:szCs w:val="21"/>
        </w:rPr>
        <w:t>基金管理人负责选择代理本基金证券买卖的证券经营机构。</w:t>
      </w:r>
    </w:p>
    <w:p w:rsidR="00420A6C" w:rsidRDefault="00420A6C">
      <w:pPr>
        <w:spacing w:line="360" w:lineRule="auto"/>
        <w:ind w:firstLineChars="200" w:firstLine="420"/>
        <w:rPr>
          <w:rFonts w:ascii="宋体" w:hAnsi="宋体"/>
          <w:szCs w:val="21"/>
        </w:rPr>
      </w:pPr>
      <w:r>
        <w:rPr>
          <w:rFonts w:ascii="宋体" w:hAnsi="宋体" w:hint="eastAsia"/>
          <w:szCs w:val="21"/>
        </w:rPr>
        <w:t>基金管理人负责根据相关标准以及内部管理制度对有关证券经营机构进行考察后确定代理本基金证券、期货买卖证券经营机构，并承担相应责任。基金管理人和被选择的证券经营机构签订交易单元使用协议，由基金管理人通知基金托管人，并在法定信息披露公告中披露有关内容。</w:t>
      </w:r>
    </w:p>
    <w:p w:rsidR="00420A6C" w:rsidRDefault="00420A6C">
      <w:pPr>
        <w:spacing w:line="360" w:lineRule="auto"/>
        <w:ind w:firstLineChars="200" w:firstLine="420"/>
        <w:rPr>
          <w:rFonts w:ascii="宋体" w:hAnsi="宋体"/>
          <w:szCs w:val="21"/>
        </w:rPr>
      </w:pPr>
      <w:r>
        <w:rPr>
          <w:rFonts w:ascii="宋体" w:hAnsi="宋体" w:hint="eastAsia"/>
          <w:szCs w:val="21"/>
        </w:rPr>
        <w:t>基金管理人应在基金起始运作前将基金专用交易单元号、佣金费率等基本信息以及变更情况及时以书面形式通知基金托管人，并将被选中证券经营机构提供的《交易单元租用协议》</w:t>
      </w:r>
      <w:r>
        <w:rPr>
          <w:rFonts w:ascii="宋体" w:hAnsi="宋体" w:hint="eastAsia"/>
          <w:szCs w:val="21"/>
        </w:rPr>
        <w:lastRenderedPageBreak/>
        <w:t>及时送达基金托管人，确保基金托管人申请接收结算数据。</w:t>
      </w:r>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1" w:name="_Toc382819099"/>
      <w:r>
        <w:rPr>
          <w:rFonts w:ascii="宋体" w:eastAsia="宋体" w:hAnsi="宋体" w:hint="eastAsia"/>
          <w:b w:val="0"/>
          <w:bCs w:val="0"/>
          <w:sz w:val="21"/>
          <w:szCs w:val="21"/>
        </w:rPr>
        <w:t>（二）基金投资证券后的清算交收安排</w:t>
      </w:r>
      <w:bookmarkStart w:id="42" w:name="_Toc382819100"/>
      <w:bookmarkEnd w:id="41"/>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1、本基金投资于证券发生的所有场内、场外交易的资金清算交割，全部由基金托管人负责办理。</w:t>
      </w:r>
      <w:bookmarkStart w:id="43" w:name="_Toc382819101"/>
      <w:bookmarkEnd w:id="42"/>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2、本基金投资于场内交易的投资品种前，基金管理人和基金托管人应当另行签署托管银行证券资金结算协议。</w:t>
      </w:r>
      <w:bookmarkEnd w:id="43"/>
    </w:p>
    <w:p w:rsidR="00420A6C" w:rsidRDefault="00420A6C">
      <w:pPr>
        <w:pStyle w:val="a0"/>
        <w:spacing w:line="360" w:lineRule="auto"/>
        <w:jc w:val="left"/>
        <w:rPr>
          <w:rFonts w:ascii="宋体" w:hAnsi="宋体"/>
          <w:szCs w:val="21"/>
        </w:rPr>
      </w:pPr>
      <w:r>
        <w:rPr>
          <w:rFonts w:ascii="宋体" w:hAnsi="宋体" w:hint="eastAsia"/>
          <w:szCs w:val="21"/>
        </w:rPr>
        <w:t>3、本基金投资于非担保交收的投资品种时，基金管理人应遵守基金托管人提前以告客户书形式提供的书面通知。</w:t>
      </w:r>
    </w:p>
    <w:p w:rsidR="00420A6C" w:rsidRDefault="00420A6C">
      <w:pPr>
        <w:spacing w:line="360" w:lineRule="auto"/>
        <w:ind w:firstLineChars="200" w:firstLine="420"/>
        <w:rPr>
          <w:rFonts w:ascii="宋体" w:hAnsi="宋体"/>
          <w:szCs w:val="21"/>
        </w:rPr>
      </w:pPr>
      <w:r>
        <w:rPr>
          <w:rFonts w:ascii="宋体" w:hAnsi="宋体" w:hint="eastAsia"/>
          <w:szCs w:val="21"/>
        </w:rPr>
        <w:t>4、银行间债券券款对付结算</w:t>
      </w:r>
    </w:p>
    <w:p w:rsidR="00420A6C" w:rsidRDefault="00420A6C">
      <w:pPr>
        <w:spacing w:line="360" w:lineRule="auto"/>
        <w:ind w:firstLineChars="200" w:firstLine="420"/>
        <w:rPr>
          <w:rFonts w:ascii="宋体" w:hAnsi="宋体"/>
          <w:szCs w:val="21"/>
        </w:rPr>
      </w:pPr>
      <w:r>
        <w:rPr>
          <w:rFonts w:ascii="宋体" w:hAnsi="宋体" w:hint="eastAsia"/>
          <w:szCs w:val="21"/>
        </w:rPr>
        <w:t>基金管理人应及时将银行间上清所、</w:t>
      </w:r>
      <w:proofErr w:type="gramStart"/>
      <w:r>
        <w:rPr>
          <w:rFonts w:ascii="宋体" w:hAnsi="宋体" w:hint="eastAsia"/>
          <w:szCs w:val="21"/>
        </w:rPr>
        <w:t>中债登划款</w:t>
      </w:r>
      <w:proofErr w:type="gramEnd"/>
      <w:r>
        <w:rPr>
          <w:rFonts w:ascii="宋体" w:hAnsi="宋体" w:hint="eastAsia"/>
          <w:szCs w:val="21"/>
        </w:rPr>
        <w:t>指令和成交通知单按相关规定提交基金托管人，基金管理人应为基金托管人留出执行指令所必需的时间。</w:t>
      </w:r>
    </w:p>
    <w:p w:rsidR="00420A6C" w:rsidRDefault="00420A6C">
      <w:pPr>
        <w:spacing w:line="360" w:lineRule="auto"/>
        <w:ind w:firstLineChars="200" w:firstLine="420"/>
        <w:rPr>
          <w:rFonts w:ascii="宋体" w:hAnsi="宋体"/>
          <w:szCs w:val="21"/>
        </w:rPr>
      </w:pPr>
      <w:r>
        <w:rPr>
          <w:rFonts w:ascii="宋体" w:hAnsi="宋体" w:hint="eastAsia"/>
          <w:szCs w:val="21"/>
        </w:rPr>
        <w:t>基金管理人应根据中债登、上清所提供的查询功能，实时跟踪交易结算情况、证券与资金到账与余额变动情况，便于监控结算过程，做好资金与交易匹配的前端控制。</w:t>
      </w:r>
    </w:p>
    <w:p w:rsidR="00420A6C" w:rsidRDefault="00420A6C">
      <w:pPr>
        <w:spacing w:line="360" w:lineRule="auto"/>
        <w:ind w:firstLineChars="200" w:firstLine="420"/>
        <w:rPr>
          <w:rFonts w:ascii="宋体" w:hAnsi="宋体"/>
          <w:szCs w:val="21"/>
        </w:rPr>
      </w:pPr>
      <w:r>
        <w:rPr>
          <w:rFonts w:ascii="宋体" w:hAnsi="宋体" w:hint="eastAsia"/>
          <w:szCs w:val="21"/>
        </w:rPr>
        <w:t>5、定期投资基金管理人与存款行签订的存款协议条款格式应在定期存款起息日的前一个工作日发送给托管人，</w:t>
      </w:r>
      <w:r>
        <w:rPr>
          <w:rFonts w:ascii="宋体" w:hAnsi="宋体" w:cs="Arial" w:hint="eastAsia"/>
          <w:color w:val="000000"/>
          <w:szCs w:val="21"/>
        </w:rPr>
        <w:t>基金管理人应将</w:t>
      </w:r>
      <w:r>
        <w:rPr>
          <w:rFonts w:ascii="宋体" w:hAnsi="宋体" w:hint="eastAsia"/>
          <w:szCs w:val="21"/>
        </w:rPr>
        <w:t>定期存款的划款指令及存款协议盖章版（传真件或扫描件）按法律法规、基金合同及托管协议的规定提交基金托管人，指令发出后，基金管理人应及时以电话方式向基金托管人确认。对于基金管理人依约定程序发出的指令，基金管理人不得否认其效力。</w:t>
      </w:r>
    </w:p>
    <w:p w:rsidR="00420A6C" w:rsidRDefault="00420A6C">
      <w:pPr>
        <w:spacing w:line="360" w:lineRule="auto"/>
        <w:ind w:firstLineChars="200" w:firstLine="420"/>
        <w:rPr>
          <w:rFonts w:ascii="宋体" w:hAnsi="宋体"/>
          <w:szCs w:val="21"/>
        </w:rPr>
      </w:pPr>
      <w:r>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基金管理人在发送投资指令时，应为基金托管人执行投资指令留出执行指令所必需的时间。投资指令传输不及时、未能留出足够的划款时间，导致资金未能及时到账所造成的损失由基金管理人承担。</w:t>
      </w:r>
    </w:p>
    <w:p w:rsidR="00420A6C" w:rsidRDefault="00420A6C">
      <w:pPr>
        <w:spacing w:line="360" w:lineRule="auto"/>
        <w:ind w:firstLineChars="200" w:firstLine="420"/>
        <w:rPr>
          <w:rFonts w:ascii="宋体" w:hAnsi="宋体"/>
          <w:szCs w:val="21"/>
        </w:rPr>
      </w:pPr>
      <w:r>
        <w:rPr>
          <w:rFonts w:ascii="宋体" w:hAnsi="宋体" w:hint="eastAsia"/>
          <w:szCs w:val="21"/>
        </w:rPr>
        <w:t>存款银行无法在存入当日17点前向托管人送达存款证实书的，基金管理人应敦促存款银行将存款证实扫描件发送至托管人。存款证实书送达托管人后，托管人负责保管存款证实书原件。托管人仅对存款证实书进行形式审核，形式审核内容为账户名称、起息日、到期日、金额、利率。托管人不对存款证实书真实性承担审核职责。</w:t>
      </w:r>
    </w:p>
    <w:p w:rsidR="00420A6C" w:rsidRDefault="00420A6C">
      <w:pPr>
        <w:spacing w:line="360" w:lineRule="auto"/>
        <w:ind w:firstLineChars="200" w:firstLine="420"/>
        <w:rPr>
          <w:rFonts w:ascii="宋体" w:hAnsi="宋体"/>
          <w:szCs w:val="21"/>
        </w:rPr>
      </w:pPr>
      <w:r>
        <w:rPr>
          <w:rFonts w:ascii="宋体" w:hAnsi="宋体" w:hint="eastAsia"/>
          <w:szCs w:val="21"/>
        </w:rPr>
        <w:t>基金管理人与存款银行签订的存款协议，应包括：</w:t>
      </w:r>
    </w:p>
    <w:p w:rsidR="00420A6C" w:rsidRDefault="00420A6C">
      <w:pPr>
        <w:spacing w:line="360" w:lineRule="auto"/>
        <w:ind w:firstLineChars="200" w:firstLine="420"/>
        <w:rPr>
          <w:rFonts w:ascii="宋体" w:hAnsi="宋体"/>
          <w:szCs w:val="21"/>
        </w:rPr>
      </w:pPr>
      <w:r>
        <w:rPr>
          <w:rFonts w:ascii="宋体" w:hAnsi="宋体" w:hint="eastAsia"/>
          <w:szCs w:val="21"/>
        </w:rPr>
        <w:t>（1）存款银行为托管资产办理定期存款业务的存款账户开立、资金存入和支取提供必要的支持和高效的结算服务；</w:t>
      </w:r>
    </w:p>
    <w:p w:rsidR="00420A6C" w:rsidRDefault="00420A6C">
      <w:pPr>
        <w:spacing w:line="360" w:lineRule="auto"/>
        <w:ind w:firstLineChars="200" w:firstLine="420"/>
        <w:rPr>
          <w:rFonts w:ascii="宋体" w:hAnsi="宋体"/>
          <w:szCs w:val="21"/>
        </w:rPr>
      </w:pPr>
      <w:r>
        <w:rPr>
          <w:rFonts w:ascii="宋体" w:hAnsi="宋体" w:hint="eastAsia"/>
          <w:szCs w:val="21"/>
        </w:rPr>
        <w:t>（2）存款银行为托管资产所投资的定期存款的存款证明文件提供上门服务，即：定期存款资金到账当日，存款银行派授权代理人将“存款证实书”（以下简称“证实书”）妥善送</w:t>
      </w:r>
      <w:r>
        <w:rPr>
          <w:rFonts w:ascii="宋体" w:hAnsi="宋体" w:hint="eastAsia"/>
          <w:szCs w:val="21"/>
        </w:rPr>
        <w:lastRenderedPageBreak/>
        <w:t>至托管人处。“证实书”移交给托管人之前，因“证实书”丢失、损毁而造成的一切损失由存款银行承担。</w:t>
      </w:r>
    </w:p>
    <w:p w:rsidR="00420A6C" w:rsidRDefault="00420A6C">
      <w:pPr>
        <w:spacing w:line="360" w:lineRule="auto"/>
        <w:ind w:firstLineChars="200" w:firstLine="420"/>
        <w:rPr>
          <w:rFonts w:ascii="宋体" w:hAnsi="宋体"/>
          <w:szCs w:val="21"/>
        </w:rPr>
      </w:pPr>
      <w:r>
        <w:rPr>
          <w:rFonts w:ascii="宋体" w:hAnsi="宋体" w:hint="eastAsia"/>
          <w:szCs w:val="21"/>
        </w:rPr>
        <w:t>（3）定期存款到期日当日或提前支取日当日，存款银行应派授权代理人前往托管人处提取“证实书”。“证实书”移交给存款行授权代理人之后，因“证实书”丢失、损毁而造成的一切损失由存款银行承担。</w:t>
      </w:r>
    </w:p>
    <w:p w:rsidR="00420A6C" w:rsidRDefault="00420A6C">
      <w:pPr>
        <w:spacing w:line="360" w:lineRule="auto"/>
        <w:ind w:firstLineChars="200" w:firstLine="420"/>
        <w:rPr>
          <w:rFonts w:ascii="宋体" w:hAnsi="宋体"/>
          <w:szCs w:val="21"/>
        </w:rPr>
      </w:pPr>
      <w:r>
        <w:rPr>
          <w:rFonts w:ascii="宋体" w:hAnsi="宋体" w:hint="eastAsia"/>
          <w:szCs w:val="21"/>
        </w:rPr>
        <w:t>存款银行应至少提前一个工作日向托管人提供对前述授权代理人办理相关事务的书面授权书。授权代理人提供上门服务时，应出示有效身份证或工作证。</w:t>
      </w:r>
    </w:p>
    <w:p w:rsidR="00420A6C" w:rsidRDefault="00420A6C">
      <w:pPr>
        <w:spacing w:line="360" w:lineRule="auto"/>
        <w:ind w:firstLineChars="200" w:firstLine="420"/>
        <w:rPr>
          <w:rFonts w:ascii="宋体" w:hAnsi="宋体"/>
          <w:szCs w:val="21"/>
        </w:rPr>
      </w:pPr>
      <w:r>
        <w:rPr>
          <w:rFonts w:ascii="宋体" w:hAnsi="宋体" w:hint="eastAsia"/>
          <w:szCs w:val="21"/>
        </w:rPr>
        <w:t>（4）存款银行应保证及时支付存款本金和利息，于支取当日将本息划付至企业年金开立在托管人（上海浦东发展银行）处的托管账户，并列明账户的开户行、账号、户名、大额支付号。存款银行应确认，定期存款的本息只能划入开立在托管人的相应托管账户或经托管人确认的指定账户。上述指定收款账户信息如需变更，必须经托管人书面同意。</w:t>
      </w:r>
    </w:p>
    <w:p w:rsidR="00420A6C" w:rsidRDefault="00420A6C">
      <w:pPr>
        <w:spacing w:line="360" w:lineRule="auto"/>
        <w:ind w:firstLineChars="200" w:firstLine="420"/>
        <w:rPr>
          <w:rFonts w:ascii="宋体" w:hAnsi="宋体"/>
          <w:szCs w:val="21"/>
        </w:rPr>
      </w:pPr>
      <w:r>
        <w:rPr>
          <w:rFonts w:ascii="宋体" w:hAnsi="宋体" w:hint="eastAsia"/>
          <w:szCs w:val="21"/>
        </w:rPr>
        <w:t>（5）存款银行应为定期存款业务提供定期对账服务。首次对账应不晚于存款资金存入后的一个自然月。除首次对账外，对账频率不少于每半年一次。存款银行应配合托管人对“证实书”的书面征询。</w:t>
      </w:r>
    </w:p>
    <w:p w:rsidR="00420A6C" w:rsidRDefault="00420A6C">
      <w:pPr>
        <w:spacing w:line="360" w:lineRule="auto"/>
        <w:ind w:firstLineChars="200" w:firstLine="420"/>
        <w:rPr>
          <w:rFonts w:ascii="宋体" w:hAnsi="宋体"/>
          <w:szCs w:val="21"/>
        </w:rPr>
      </w:pPr>
      <w:r>
        <w:rPr>
          <w:rFonts w:ascii="宋体" w:hAnsi="宋体" w:hint="eastAsia"/>
          <w:szCs w:val="21"/>
        </w:rPr>
        <w:t>（6）在存款存续期内，“证实书”的预留印鉴发生变更的，存款银行应配合办理变更手续。</w:t>
      </w:r>
    </w:p>
    <w:p w:rsidR="00420A6C" w:rsidRDefault="00420A6C">
      <w:pPr>
        <w:spacing w:line="360" w:lineRule="auto"/>
        <w:ind w:firstLineChars="200" w:firstLine="420"/>
        <w:rPr>
          <w:rFonts w:ascii="宋体" w:hAnsi="宋体"/>
          <w:szCs w:val="21"/>
        </w:rPr>
      </w:pPr>
      <w:r>
        <w:rPr>
          <w:rFonts w:ascii="宋体" w:hAnsi="宋体" w:hint="eastAsia"/>
          <w:szCs w:val="21"/>
        </w:rPr>
        <w:t>6、本基金拟投资于期货交易市场前，基金管理人、期货经纪机构及基金托管人应当另行签署股指期货投资托管协议。</w:t>
      </w:r>
    </w:p>
    <w:p w:rsidR="00420A6C" w:rsidRDefault="00420A6C">
      <w:pPr>
        <w:pStyle w:val="2"/>
        <w:keepNext w:val="0"/>
        <w:keepLines w:val="0"/>
        <w:spacing w:before="0" w:after="0"/>
        <w:ind w:firstLineChars="200" w:firstLine="422"/>
        <w:jc w:val="left"/>
        <w:rPr>
          <w:rFonts w:ascii="宋体" w:eastAsia="宋体" w:hAnsi="宋体"/>
          <w:sz w:val="21"/>
          <w:szCs w:val="21"/>
        </w:rPr>
      </w:pPr>
      <w:bookmarkStart w:id="44" w:name="_Toc382819102"/>
      <w:r>
        <w:rPr>
          <w:rFonts w:ascii="宋体" w:eastAsia="宋体" w:hAnsi="宋体" w:hint="eastAsia"/>
          <w:sz w:val="21"/>
          <w:szCs w:val="21"/>
        </w:rPr>
        <w:t>（三）可用资金余额的确认</w:t>
      </w:r>
      <w:bookmarkEnd w:id="44"/>
    </w:p>
    <w:p w:rsidR="00420A6C" w:rsidRDefault="00420A6C">
      <w:pPr>
        <w:spacing w:line="360" w:lineRule="auto"/>
        <w:ind w:firstLineChars="200" w:firstLine="420"/>
      </w:pPr>
      <w:r>
        <w:rPr>
          <w:rFonts w:ascii="宋体" w:hAnsi="宋体" w:hint="eastAsia"/>
          <w:szCs w:val="21"/>
        </w:rPr>
        <w:t>基金托管人应于每个工作日上午9：30前将托管账户的可用资金余额以双方认可的方式提供给基金管理人。</w:t>
      </w:r>
    </w:p>
    <w:p w:rsidR="00420A6C" w:rsidRDefault="00420A6C">
      <w:pPr>
        <w:tabs>
          <w:tab w:val="left" w:pos="4680"/>
        </w:tabs>
        <w:spacing w:line="360" w:lineRule="auto"/>
        <w:ind w:firstLineChars="200" w:firstLine="422"/>
        <w:jc w:val="left"/>
        <w:rPr>
          <w:rFonts w:ascii="宋体" w:hAnsi="宋体"/>
          <w:b/>
          <w:bCs/>
          <w:szCs w:val="21"/>
        </w:rPr>
      </w:pPr>
      <w:r>
        <w:rPr>
          <w:rFonts w:ascii="宋体" w:hAnsi="宋体" w:hint="eastAsia"/>
          <w:b/>
          <w:bCs/>
          <w:szCs w:val="21"/>
        </w:rPr>
        <w:t>（四）交易记录、资金、证券账目的核对</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基金管理人和基金托管人按日进行交易记录的核对。每日对外披露净值之前，必须保证当天所有实际交易记录与基金会计账簿上的交易记录一致。</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lastRenderedPageBreak/>
        <w:t>3、证券账目的核对</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rsidR="00420A6C" w:rsidRDefault="00420A6C">
      <w:pPr>
        <w:tabs>
          <w:tab w:val="left" w:pos="4680"/>
        </w:tabs>
        <w:spacing w:line="360" w:lineRule="auto"/>
        <w:ind w:firstLineChars="200" w:firstLine="422"/>
        <w:jc w:val="left"/>
        <w:rPr>
          <w:rFonts w:ascii="宋体" w:hAnsi="宋体"/>
          <w:b/>
          <w:szCs w:val="21"/>
        </w:rPr>
      </w:pPr>
      <w:r>
        <w:rPr>
          <w:rFonts w:ascii="宋体" w:hAnsi="宋体" w:hint="eastAsia"/>
          <w:b/>
          <w:szCs w:val="21"/>
        </w:rPr>
        <w:t>（五）基金申购、赎回、转换业务处理的基本规定</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1、本基金根据《基金合同》的约定办理申购与赎回，具体办理时间以公告为准。基金份额申购、赎回的确认、清算由基金管理人或其委托的登记机构负责。</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2、基金管理人应在每个交易日按本托管协议第七条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注册登记机构每个工作日15:00前向基金托管人发送上述有关数据，并保证相关数据的准确、完整。</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托管协议一方损失的，由系统无法正常传送数据的一方承担赔偿责任，但不可抗力导致的情形除外；若由双方共同引起，根据各自过错程度承担相应责任。基金管理人向基金托管人发送的数据，双方各自按有关规定保存。</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4、基金管理人应保证其发送的注册登记数据的接口规范与基金托管人的接口规范保持一致。</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5、基金注册登记清算专用账户的开立和管理</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为满足申购、赎回等资金汇划的需要，基金管理人应开立用于基金申购、赎回等资金清算的基金注册登记清算专用账户。</w:t>
      </w:r>
    </w:p>
    <w:p w:rsidR="00420A6C" w:rsidRDefault="00420A6C">
      <w:pPr>
        <w:tabs>
          <w:tab w:val="left" w:pos="4680"/>
        </w:tabs>
        <w:spacing w:line="360" w:lineRule="auto"/>
        <w:ind w:firstLineChars="200" w:firstLine="420"/>
        <w:jc w:val="left"/>
        <w:rPr>
          <w:rFonts w:ascii="宋体" w:hAnsi="宋体"/>
          <w:kern w:val="21"/>
          <w:szCs w:val="21"/>
        </w:rPr>
      </w:pPr>
      <w:r>
        <w:rPr>
          <w:rFonts w:ascii="宋体" w:hAnsi="宋体" w:hint="eastAsia"/>
          <w:szCs w:val="21"/>
        </w:rPr>
        <w:t>6、</w:t>
      </w:r>
      <w:r>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管理人应负责向有关当事人追偿基金的损失，</w:t>
      </w:r>
      <w:r>
        <w:rPr>
          <w:rFonts w:ascii="宋体" w:hAnsi="宋体" w:hint="eastAsia"/>
          <w:szCs w:val="21"/>
        </w:rPr>
        <w:t>基金托管人不承担任何责任</w:t>
      </w:r>
      <w:r>
        <w:rPr>
          <w:rFonts w:ascii="宋体" w:hAnsi="宋体" w:hint="eastAsia"/>
          <w:kern w:val="21"/>
          <w:szCs w:val="21"/>
        </w:rPr>
        <w:t>。</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w:t>
      </w:r>
      <w:proofErr w:type="gramStart"/>
      <w:r>
        <w:rPr>
          <w:rFonts w:ascii="宋体" w:hAnsi="宋体" w:hint="eastAsia"/>
          <w:szCs w:val="21"/>
        </w:rPr>
        <w:t>赎回款</w:t>
      </w:r>
      <w:proofErr w:type="gramEnd"/>
      <w:r>
        <w:rPr>
          <w:rFonts w:ascii="宋体" w:hAnsi="宋体" w:hint="eastAsia"/>
          <w:szCs w:val="21"/>
        </w:rPr>
        <w:t>时，如托管专户中本基金有足够的资金，基金托管人应按《基金合同》和本托管协议的规定支付；如托管专户中本基金有足额的资金</w:t>
      </w:r>
      <w:proofErr w:type="gramStart"/>
      <w:r>
        <w:rPr>
          <w:rFonts w:ascii="宋体" w:hAnsi="宋体" w:hint="eastAsia"/>
          <w:szCs w:val="21"/>
        </w:rPr>
        <w:t>且基金</w:t>
      </w:r>
      <w:proofErr w:type="gramEnd"/>
      <w:r>
        <w:rPr>
          <w:rFonts w:ascii="宋体" w:hAnsi="宋体" w:hint="eastAsia"/>
          <w:szCs w:val="21"/>
        </w:rPr>
        <w:t>托管人有足够合理的时间进行划款，而基金托管人未及时执行合法合</w:t>
      </w:r>
      <w:proofErr w:type="gramStart"/>
      <w:r>
        <w:rPr>
          <w:rFonts w:ascii="宋体" w:hAnsi="宋体" w:hint="eastAsia"/>
          <w:szCs w:val="21"/>
        </w:rPr>
        <w:t>规</w:t>
      </w:r>
      <w:proofErr w:type="gramEnd"/>
      <w:r>
        <w:rPr>
          <w:rFonts w:ascii="宋体" w:hAnsi="宋体" w:hint="eastAsia"/>
          <w:szCs w:val="21"/>
        </w:rPr>
        <w:t>的指</w:t>
      </w:r>
      <w:r>
        <w:rPr>
          <w:rFonts w:ascii="宋体" w:hAnsi="宋体" w:hint="eastAsia"/>
          <w:szCs w:val="21"/>
        </w:rPr>
        <w:lastRenderedPageBreak/>
        <w:t>令的，责任由基金托管人承担，但不可抗力导致的情形除外。因托管专户中本基金没有足够的资金，导致基金托管人不能按时支付，如是基金管理人的原因造成，责任由基金管理人承担，基金托管人不承担垫款义务；</w:t>
      </w:r>
      <w:proofErr w:type="gramStart"/>
      <w:r>
        <w:rPr>
          <w:rFonts w:ascii="宋体" w:hAnsi="宋体" w:hint="eastAsia"/>
          <w:szCs w:val="21"/>
        </w:rPr>
        <w:t>如是除</w:t>
      </w:r>
      <w:proofErr w:type="gramEnd"/>
      <w:r>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8、资金支付执行和责任界定</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除申购款项到达基金托管人处的基金账户需双方按约定方式对账外，净额划出、赎回资金支付时，应按照本托管协议相关规定执行。若本托管协议没有规定的按双方协商一致内容执行。</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基金管理人和基金托管人应采取所有必要措施确保申购和赎回等资金在本托管协议相关规定的时间内划到指定账户。但由于基金管理人和基金托管人之外的第三方原因、不可抗议</w:t>
      </w:r>
      <w:proofErr w:type="gramStart"/>
      <w:r>
        <w:rPr>
          <w:rFonts w:ascii="宋体" w:hAnsi="宋体" w:hint="eastAsia"/>
          <w:szCs w:val="21"/>
        </w:rPr>
        <w:t>力原因</w:t>
      </w:r>
      <w:proofErr w:type="gramEnd"/>
      <w:r>
        <w:rPr>
          <w:rFonts w:ascii="宋体" w:hAnsi="宋体" w:hint="eastAsia"/>
          <w:szCs w:val="21"/>
        </w:rPr>
        <w:t>导致资金不能按时到账的，基金管理人和基金托管人不承担由此产生的责任。如因此给基金造成损失的，基金管理人应负责向第三方追偿，基金托管人有义务协助追偿。</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9、暂停赎回和巨额赎回处理</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rsidR="00420A6C" w:rsidRDefault="00420A6C">
      <w:pPr>
        <w:tabs>
          <w:tab w:val="left" w:pos="4680"/>
        </w:tabs>
        <w:spacing w:line="360" w:lineRule="auto"/>
        <w:ind w:firstLineChars="200" w:firstLine="422"/>
        <w:jc w:val="left"/>
        <w:rPr>
          <w:rFonts w:ascii="宋体" w:hAnsi="宋体"/>
          <w:b/>
          <w:szCs w:val="21"/>
        </w:rPr>
      </w:pPr>
      <w:r>
        <w:rPr>
          <w:rFonts w:ascii="宋体" w:hAnsi="宋体" w:hint="eastAsia"/>
          <w:b/>
          <w:szCs w:val="21"/>
        </w:rPr>
        <w:t>（六）申购赎回资金结算</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基金托管账户与“基金清算账户”间的资金结算遵循“全额清算、净额交收”的原则，资金交</w:t>
      </w:r>
      <w:proofErr w:type="gramStart"/>
      <w:r>
        <w:rPr>
          <w:rFonts w:ascii="宋体" w:hAnsi="宋体" w:hint="eastAsia"/>
          <w:szCs w:val="21"/>
        </w:rPr>
        <w:t>收日按照</w:t>
      </w:r>
      <w:proofErr w:type="gramEnd"/>
      <w:r>
        <w:rPr>
          <w:rFonts w:ascii="宋体" w:hAnsi="宋体" w:hint="eastAsia"/>
          <w:szCs w:val="21"/>
        </w:rPr>
        <w:t>托管账户应收资金与应付资金的差额来确定托管账户净应收额或净应付额，以此确定资金交收额。当存在托管账户净应收额时，基金管理人应在资金</w:t>
      </w:r>
      <w:proofErr w:type="gramStart"/>
      <w:r>
        <w:rPr>
          <w:rFonts w:ascii="宋体" w:hAnsi="宋体" w:hint="eastAsia"/>
          <w:szCs w:val="21"/>
        </w:rPr>
        <w:t>交收日</w:t>
      </w:r>
      <w:proofErr w:type="gramEnd"/>
      <w:r>
        <w:rPr>
          <w:rFonts w:ascii="宋体" w:hAnsi="宋体" w:hint="eastAsia"/>
          <w:szCs w:val="21"/>
        </w:rPr>
        <w:t>15:00之前从基金清算账户划到基金托管账户；当存在托管账户净应付额时，基金管理人应在资金交收日前</w:t>
      </w:r>
      <w:proofErr w:type="gramStart"/>
      <w:r>
        <w:rPr>
          <w:rFonts w:ascii="宋体" w:hAnsi="宋体" w:hint="eastAsia"/>
          <w:szCs w:val="21"/>
        </w:rPr>
        <w:t>一</w:t>
      </w:r>
      <w:proofErr w:type="gramEnd"/>
      <w:r>
        <w:rPr>
          <w:rFonts w:ascii="宋体" w:hAnsi="宋体" w:hint="eastAsia"/>
          <w:szCs w:val="21"/>
        </w:rPr>
        <w:t>工作日将划款指令发送给基金托管人，基金托管人按基金管理人的划款指令将托管账户净应付额在资金</w:t>
      </w:r>
      <w:proofErr w:type="gramStart"/>
      <w:r>
        <w:rPr>
          <w:rFonts w:ascii="宋体" w:hAnsi="宋体" w:hint="eastAsia"/>
          <w:szCs w:val="21"/>
        </w:rPr>
        <w:t>交收日</w:t>
      </w:r>
      <w:proofErr w:type="gramEnd"/>
      <w:r>
        <w:rPr>
          <w:rFonts w:ascii="宋体" w:hAnsi="宋体" w:hint="eastAsia"/>
          <w:szCs w:val="21"/>
        </w:rPr>
        <w:t>12:00之前</w:t>
      </w:r>
      <w:proofErr w:type="gramStart"/>
      <w:r>
        <w:rPr>
          <w:rFonts w:ascii="宋体" w:hAnsi="宋体" w:hint="eastAsia"/>
          <w:szCs w:val="21"/>
        </w:rPr>
        <w:t>划往基金</w:t>
      </w:r>
      <w:proofErr w:type="gramEnd"/>
      <w:r>
        <w:rPr>
          <w:rFonts w:ascii="宋体" w:hAnsi="宋体" w:hint="eastAsia"/>
          <w:szCs w:val="21"/>
        </w:rPr>
        <w:t>清算账户。</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Pr>
          <w:rFonts w:ascii="宋体" w:hAnsi="宋体" w:hint="eastAsia"/>
          <w:szCs w:val="21"/>
        </w:rPr>
        <w:t>系基金</w:t>
      </w:r>
      <w:proofErr w:type="gramEnd"/>
      <w:r>
        <w:rPr>
          <w:rFonts w:ascii="宋体" w:hAnsi="宋体" w:hint="eastAsia"/>
          <w:szCs w:val="21"/>
        </w:rPr>
        <w:t>管理人的原因造成，责任由基金管理人承担，基金托管人不承担垫款义务。</w:t>
      </w:r>
    </w:p>
    <w:p w:rsidR="00420A6C" w:rsidRDefault="00420A6C">
      <w:pPr>
        <w:tabs>
          <w:tab w:val="left" w:pos="4680"/>
        </w:tabs>
        <w:spacing w:line="360" w:lineRule="auto"/>
        <w:ind w:firstLineChars="200" w:firstLine="422"/>
        <w:jc w:val="left"/>
        <w:rPr>
          <w:rFonts w:ascii="宋体" w:hAnsi="宋体"/>
          <w:b/>
          <w:bCs/>
          <w:szCs w:val="21"/>
        </w:rPr>
      </w:pPr>
      <w:r>
        <w:rPr>
          <w:rFonts w:ascii="宋体" w:hAnsi="宋体" w:hint="eastAsia"/>
          <w:b/>
          <w:bCs/>
          <w:szCs w:val="21"/>
        </w:rPr>
        <w:lastRenderedPageBreak/>
        <w:t>（七）基金转换</w:t>
      </w:r>
    </w:p>
    <w:p w:rsidR="00420A6C" w:rsidRDefault="00420A6C">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基金管理人与基金托管人按照相关法律法规、《基金合同》、以及本托管协议的规定办理基金转换。</w:t>
      </w:r>
    </w:p>
    <w:p w:rsidR="00420A6C" w:rsidRDefault="00420A6C">
      <w:pPr>
        <w:spacing w:line="360" w:lineRule="auto"/>
        <w:ind w:firstLineChars="200" w:firstLine="420"/>
        <w:rPr>
          <w:rFonts w:ascii="宋体" w:hAnsi="宋体"/>
          <w:szCs w:val="21"/>
        </w:rPr>
      </w:pPr>
      <w:r>
        <w:rPr>
          <w:rFonts w:ascii="宋体" w:hAnsi="宋体" w:hint="eastAsia"/>
          <w:szCs w:val="21"/>
        </w:rPr>
        <w:t>基金出现超买或超卖的责任认定及处理程序</w:t>
      </w:r>
    </w:p>
    <w:p w:rsidR="00420A6C" w:rsidRDefault="00420A6C">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基金托管人在履行监督职能时，如果发现基金投资证券过程中出现超买或超卖现象，应立即提醒基金管理人，由基金管理人负责解决，由此给基金及基金托管人造成的损失由基金管理人承担。如果非因基金托管</w:t>
      </w:r>
      <w:proofErr w:type="gramStart"/>
      <w:r>
        <w:rPr>
          <w:rFonts w:ascii="宋体" w:hAnsi="宋体" w:hint="eastAsia"/>
          <w:szCs w:val="21"/>
        </w:rPr>
        <w:t>人原因</w:t>
      </w:r>
      <w:proofErr w:type="gramEnd"/>
      <w:r>
        <w:rPr>
          <w:rFonts w:ascii="宋体" w:hAnsi="宋体" w:hint="eastAsia"/>
          <w:szCs w:val="21"/>
        </w:rPr>
        <w:t>发生超买行为，基金管理人必须于T+1日上午12时之前划拨资金，用以完成清算交收。</w:t>
      </w:r>
    </w:p>
    <w:p w:rsidR="00420A6C" w:rsidRDefault="00420A6C">
      <w:pPr>
        <w:pStyle w:val="1"/>
        <w:keepNext w:val="0"/>
        <w:keepLines w:val="0"/>
        <w:numPr>
          <w:ilvl w:val="0"/>
          <w:numId w:val="2"/>
        </w:numPr>
        <w:tabs>
          <w:tab w:val="left" w:pos="420"/>
          <w:tab w:val="left" w:pos="1922"/>
        </w:tabs>
        <w:autoSpaceDE w:val="0"/>
        <w:autoSpaceDN w:val="0"/>
        <w:adjustRightInd w:val="0"/>
        <w:spacing w:before="360" w:after="360"/>
        <w:textAlignment w:val="baseline"/>
        <w:rPr>
          <w:rFonts w:ascii="宋体" w:eastAsia="宋体" w:hAnsi="宋体" w:cs="Arial"/>
          <w:sz w:val="30"/>
          <w:szCs w:val="30"/>
        </w:rPr>
      </w:pPr>
      <w:bookmarkStart w:id="45" w:name="_Toc382819103"/>
      <w:r>
        <w:rPr>
          <w:rFonts w:ascii="宋体" w:eastAsia="宋体" w:hAnsi="宋体" w:cs="Arial" w:hint="eastAsia"/>
          <w:sz w:val="30"/>
          <w:szCs w:val="30"/>
        </w:rPr>
        <w:t>基金资产净值计算和会计核算</w:t>
      </w:r>
      <w:bookmarkEnd w:id="45"/>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6"/>
    </w:p>
    <w:p w:rsidR="00420A6C" w:rsidRDefault="00420A6C">
      <w:pPr>
        <w:spacing w:line="440" w:lineRule="atLeast"/>
        <w:ind w:right="28" w:firstLineChars="200" w:firstLine="420"/>
        <w:rPr>
          <w:rFonts w:ascii="宋体" w:hAnsi="宋体"/>
          <w:szCs w:val="21"/>
        </w:rPr>
      </w:pPr>
      <w:r>
        <w:rPr>
          <w:rFonts w:ascii="宋体" w:hAnsi="宋体" w:hint="eastAsia"/>
          <w:szCs w:val="21"/>
        </w:rPr>
        <w:t>基金资产净值是指基金资产总值减去负债后的价值。</w:t>
      </w:r>
      <w:r w:rsidR="00B9277D" w:rsidRPr="00B9277D">
        <w:rPr>
          <w:rFonts w:ascii="宋体" w:hAnsi="宋体" w:hint="eastAsia"/>
          <w:szCs w:val="21"/>
        </w:rPr>
        <w:t>A类基金份额和Y类基金份额的基金份额净值是按照每个估值日A类基金份额和Y类基金份额的基金资产净值分别除以当日该类基金份额的余额数量计算，精确到0.0001元，小数点后第5位四舍五入</w:t>
      </w:r>
      <w:r>
        <w:rPr>
          <w:rFonts w:ascii="宋体" w:hAnsi="宋体" w:hint="eastAsia"/>
          <w:szCs w:val="21"/>
        </w:rPr>
        <w:t>，由此产生的误差计入基金财产。</w:t>
      </w:r>
    </w:p>
    <w:p w:rsidR="00420A6C" w:rsidRDefault="00420A6C">
      <w:pPr>
        <w:spacing w:line="440" w:lineRule="atLeast"/>
        <w:ind w:right="28" w:firstLineChars="200" w:firstLine="420"/>
        <w:rPr>
          <w:rFonts w:ascii="宋体" w:hAnsi="宋体"/>
          <w:szCs w:val="21"/>
        </w:rPr>
      </w:pPr>
      <w:r>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每个开放日的次两个工作日内，基金管理人应对基金资产估值。但基金管理人根据法律法规或基金合同的规定暂停估值时除外。估值原则应符合《基金合同》、《证券投资基金会计核算业务指引》及其他法律、法规的规定。</w:t>
      </w:r>
      <w:r>
        <w:rPr>
          <w:rFonts w:ascii="宋体" w:hAnsi="宋体" w:cs="宋体" w:hint="eastAsia"/>
          <w:color w:val="000000"/>
          <w:kern w:val="0"/>
          <w:szCs w:val="21"/>
        </w:rPr>
        <w:t>基金管理人应于每个开放日的次两个工作日内计算</w:t>
      </w:r>
      <w:r w:rsidR="00B9277D">
        <w:rPr>
          <w:rFonts w:ascii="宋体" w:hAnsi="宋体" w:cs="宋体" w:hint="eastAsia"/>
          <w:color w:val="000000"/>
          <w:kern w:val="0"/>
          <w:szCs w:val="21"/>
        </w:rPr>
        <w:t>各类</w:t>
      </w:r>
      <w:r>
        <w:rPr>
          <w:rFonts w:ascii="宋体" w:hAnsi="宋体" w:cs="宋体" w:hint="eastAsia"/>
          <w:color w:val="000000"/>
          <w:kern w:val="0"/>
          <w:szCs w:val="21"/>
        </w:rPr>
        <w:t>基金份额净值和</w:t>
      </w:r>
      <w:r w:rsidR="00B9277D">
        <w:rPr>
          <w:rFonts w:ascii="宋体" w:hAnsi="宋体" w:cs="宋体" w:hint="eastAsia"/>
          <w:color w:val="000000"/>
          <w:kern w:val="0"/>
          <w:szCs w:val="21"/>
        </w:rPr>
        <w:t>各类</w:t>
      </w:r>
      <w:r>
        <w:rPr>
          <w:rFonts w:ascii="宋体" w:hAnsi="宋体" w:cs="宋体" w:hint="eastAsia"/>
          <w:color w:val="000000"/>
          <w:kern w:val="0"/>
          <w:szCs w:val="21"/>
        </w:rPr>
        <w:t>基金资产净值并以双方认可的方式发送给基金托管人。基金托管人对净值计算结果复核后以双方认可的方式发送给基金管理人，由基金管理人约定对外公布。</w:t>
      </w:r>
    </w:p>
    <w:p w:rsidR="00420A6C" w:rsidRDefault="00420A6C">
      <w:pPr>
        <w:tabs>
          <w:tab w:val="left" w:pos="900"/>
        </w:tabs>
        <w:spacing w:line="360" w:lineRule="auto"/>
        <w:ind w:right="28" w:firstLineChars="200" w:firstLine="420"/>
        <w:rPr>
          <w:rFonts w:ascii="宋体" w:hAnsi="宋体"/>
          <w:szCs w:val="21"/>
        </w:rPr>
      </w:pPr>
      <w:r>
        <w:rPr>
          <w:rFonts w:ascii="宋体" w:hAnsi="宋体" w:hint="eastAsia"/>
          <w:szCs w:val="21"/>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rsidR="00420A6C" w:rsidRDefault="00420A6C">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7" w:name="_Toc382819105"/>
      <w:r>
        <w:rPr>
          <w:rFonts w:ascii="宋体" w:eastAsia="宋体" w:hAnsi="宋体" w:hint="eastAsia"/>
          <w:b w:val="0"/>
          <w:bCs w:val="0"/>
          <w:sz w:val="21"/>
          <w:szCs w:val="21"/>
        </w:rPr>
        <w:lastRenderedPageBreak/>
        <w:t>（二）基金资产估值</w:t>
      </w:r>
      <w:bookmarkEnd w:id="47"/>
    </w:p>
    <w:p w:rsidR="00420A6C" w:rsidRDefault="00420A6C">
      <w:pPr>
        <w:spacing w:line="440" w:lineRule="atLeast"/>
        <w:ind w:right="28" w:firstLineChars="200" w:firstLine="420"/>
        <w:rPr>
          <w:rFonts w:ascii="宋体" w:hAnsi="宋体"/>
          <w:szCs w:val="21"/>
        </w:rPr>
      </w:pPr>
      <w:r>
        <w:rPr>
          <w:rFonts w:ascii="宋体" w:hAnsi="宋体" w:hint="eastAsia"/>
          <w:szCs w:val="21"/>
        </w:rPr>
        <w:t>估值方法应符合《基金合同》、《证券投资基金会计核算业务指引》及其他法律法规的规定的约定。</w:t>
      </w:r>
    </w:p>
    <w:p w:rsidR="00420A6C" w:rsidRDefault="00420A6C">
      <w:pPr>
        <w:spacing w:line="440" w:lineRule="atLeast"/>
        <w:ind w:right="28" w:firstLineChars="200" w:firstLine="420"/>
        <w:rPr>
          <w:rFonts w:ascii="宋体" w:hAnsi="宋体"/>
          <w:szCs w:val="21"/>
        </w:rPr>
      </w:pPr>
      <w:proofErr w:type="gramStart"/>
      <w:r>
        <w:rPr>
          <w:rFonts w:ascii="宋体" w:hAnsi="宋体" w:hint="eastAsia"/>
          <w:szCs w:val="21"/>
        </w:rPr>
        <w:t>当相关</w:t>
      </w:r>
      <w:proofErr w:type="gramEnd"/>
      <w:r>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106"/>
      <w:r>
        <w:rPr>
          <w:rFonts w:ascii="宋体" w:eastAsia="宋体" w:hAnsi="宋体" w:hint="eastAsia"/>
          <w:b w:val="0"/>
          <w:bCs w:val="0"/>
          <w:sz w:val="21"/>
          <w:szCs w:val="21"/>
        </w:rPr>
        <w:t>（三）估值错误处理</w:t>
      </w:r>
      <w:bookmarkEnd w:id="48"/>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9" w:name="_Toc382819107"/>
      <w:r>
        <w:rPr>
          <w:rFonts w:ascii="宋体" w:eastAsia="宋体" w:hAnsi="宋体" w:hint="eastAsia"/>
          <w:b w:val="0"/>
          <w:bCs w:val="0"/>
          <w:sz w:val="21"/>
          <w:szCs w:val="21"/>
        </w:rPr>
        <w:t>1.当基金份额净值小数点后</w:t>
      </w:r>
      <w:r>
        <w:rPr>
          <w:rFonts w:ascii="宋体" w:eastAsia="宋体" w:hAnsi="宋体"/>
          <w:b w:val="0"/>
          <w:bCs w:val="0"/>
          <w:sz w:val="21"/>
          <w:szCs w:val="21"/>
        </w:rPr>
        <w:t>4位以内</w:t>
      </w:r>
      <w:r>
        <w:rPr>
          <w:rFonts w:ascii="宋体" w:eastAsia="宋体" w:hAnsi="宋体" w:hint="eastAsia"/>
          <w:b w:val="0"/>
          <w:bCs w:val="0"/>
          <w:sz w:val="21"/>
          <w:szCs w:val="21"/>
        </w:rPr>
        <w:t>（</w:t>
      </w:r>
      <w:r>
        <w:rPr>
          <w:rFonts w:ascii="宋体" w:eastAsia="宋体" w:hAnsi="宋体"/>
          <w:b w:val="0"/>
          <w:bCs w:val="0"/>
          <w:sz w:val="21"/>
          <w:szCs w:val="21"/>
        </w:rPr>
        <w:t>含第4位</w:t>
      </w:r>
      <w:r>
        <w:rPr>
          <w:rFonts w:ascii="宋体" w:eastAsia="宋体" w:hAnsi="宋体" w:hint="eastAsia"/>
          <w:b w:val="0"/>
          <w:bCs w:val="0"/>
          <w:sz w:val="21"/>
          <w:szCs w:val="21"/>
        </w:rPr>
        <w:t>）发生差错时，视为基金份额净值错误；基金份额净值出现错误时，基金管理人应当立即予以纠正，通报基金托管人，并采取合理的措施防止损失进一步扩大；错误偏差达到</w:t>
      </w:r>
      <w:r w:rsidR="00B9277D">
        <w:rPr>
          <w:rFonts w:ascii="宋体" w:eastAsia="宋体" w:hAnsi="宋体" w:hint="eastAsia"/>
          <w:b w:val="0"/>
          <w:bCs w:val="0"/>
          <w:sz w:val="21"/>
          <w:szCs w:val="21"/>
        </w:rPr>
        <w:t>该类</w:t>
      </w:r>
      <w:r>
        <w:rPr>
          <w:rFonts w:ascii="宋体" w:eastAsia="宋体" w:hAnsi="宋体" w:hint="eastAsia"/>
          <w:b w:val="0"/>
          <w:bCs w:val="0"/>
          <w:sz w:val="21"/>
          <w:szCs w:val="21"/>
        </w:rPr>
        <w:t>基金份额净值的0.25%时，基金管理人应当通报基金托管人并报中国证监会备案；错误偏差达到</w:t>
      </w:r>
      <w:r w:rsidR="00B9277D">
        <w:rPr>
          <w:rFonts w:ascii="宋体" w:eastAsia="宋体" w:hAnsi="宋体" w:hint="eastAsia"/>
          <w:b w:val="0"/>
          <w:bCs w:val="0"/>
          <w:sz w:val="21"/>
          <w:szCs w:val="21"/>
        </w:rPr>
        <w:t>该类</w:t>
      </w:r>
      <w:r>
        <w:rPr>
          <w:rFonts w:ascii="宋体" w:eastAsia="宋体" w:hAnsi="宋体" w:hint="eastAsia"/>
          <w:b w:val="0"/>
          <w:bCs w:val="0"/>
          <w:sz w:val="21"/>
          <w:szCs w:val="21"/>
        </w:rPr>
        <w:t>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基金托管人不承担任何责任。</w:t>
      </w:r>
      <w:bookmarkEnd w:id="49"/>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0" w:name="_Toc382819108"/>
      <w:r>
        <w:rPr>
          <w:rFonts w:ascii="宋体" w:eastAsia="宋体" w:hAnsi="宋体" w:hint="eastAsia"/>
          <w:b w:val="0"/>
          <w:bCs w:val="0"/>
          <w:sz w:val="21"/>
          <w:szCs w:val="21"/>
        </w:rPr>
        <w:t>2.当因基金管理人和基金托管</w:t>
      </w:r>
      <w:proofErr w:type="gramStart"/>
      <w:r>
        <w:rPr>
          <w:rFonts w:ascii="宋体" w:eastAsia="宋体" w:hAnsi="宋体" w:hint="eastAsia"/>
          <w:b w:val="0"/>
          <w:bCs w:val="0"/>
          <w:sz w:val="21"/>
          <w:szCs w:val="21"/>
        </w:rPr>
        <w:t>人原因</w:t>
      </w:r>
      <w:proofErr w:type="gramEnd"/>
      <w:r>
        <w:rPr>
          <w:rFonts w:ascii="宋体" w:eastAsia="宋体" w:hAnsi="宋体" w:hint="eastAsia"/>
          <w:b w:val="0"/>
          <w:bCs w:val="0"/>
          <w:sz w:val="21"/>
          <w:szCs w:val="21"/>
        </w:rPr>
        <w:t>致使基金份额净值计算差错给基金和基金份额持有人造成损失需要进行赔偿时，基金管理人和基金托管人应根据实际情况界定双方承担的责任，经确认后按以下条款进行赔偿：</w:t>
      </w:r>
      <w:bookmarkEnd w:id="50"/>
    </w:p>
    <w:p w:rsidR="00420A6C" w:rsidRDefault="00420A6C">
      <w:pPr>
        <w:pStyle w:val="2"/>
        <w:keepNext w:val="0"/>
        <w:keepLines w:val="0"/>
        <w:autoSpaceDE w:val="0"/>
        <w:autoSpaceDN w:val="0"/>
        <w:adjustRightInd w:val="0"/>
        <w:spacing w:before="0" w:after="0" w:line="360" w:lineRule="auto"/>
        <w:ind w:leftChars="135" w:left="283"/>
        <w:textAlignment w:val="baseline"/>
        <w:rPr>
          <w:rFonts w:ascii="宋体" w:eastAsia="宋体" w:hAnsi="宋体"/>
          <w:b w:val="0"/>
          <w:bCs w:val="0"/>
          <w:sz w:val="21"/>
          <w:szCs w:val="21"/>
        </w:rPr>
      </w:pPr>
      <w:bookmarkStart w:id="51" w:name="_Toc382819109"/>
      <w:r>
        <w:rPr>
          <w:rFonts w:ascii="宋体" w:eastAsia="宋体" w:hAnsi="宋体" w:hint="eastAsia"/>
          <w:b w:val="0"/>
          <w:bCs w:val="0"/>
          <w:sz w:val="21"/>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rsidR="00420A6C" w:rsidRDefault="00420A6C">
      <w:pPr>
        <w:pStyle w:val="2"/>
        <w:keepNext w:val="0"/>
        <w:keepLines w:val="0"/>
        <w:autoSpaceDE w:val="0"/>
        <w:autoSpaceDN w:val="0"/>
        <w:adjustRightInd w:val="0"/>
        <w:spacing w:before="0" w:after="0" w:line="360" w:lineRule="auto"/>
        <w:ind w:leftChars="135" w:left="283"/>
        <w:textAlignment w:val="baseline"/>
        <w:rPr>
          <w:rFonts w:ascii="宋体" w:eastAsia="宋体" w:hAnsi="宋体"/>
          <w:b w:val="0"/>
          <w:bCs w:val="0"/>
          <w:sz w:val="21"/>
          <w:szCs w:val="21"/>
        </w:rPr>
      </w:pPr>
      <w:r>
        <w:rPr>
          <w:rFonts w:ascii="宋体" w:eastAsia="宋体" w:hAnsi="宋体" w:hint="eastAsia"/>
          <w:b w:val="0"/>
          <w:bCs w:val="0"/>
          <w:sz w:val="21"/>
          <w:szCs w:val="21"/>
        </w:rPr>
        <w:t>（2）</w:t>
      </w:r>
      <w:proofErr w:type="gramStart"/>
      <w:r>
        <w:rPr>
          <w:rFonts w:ascii="宋体" w:eastAsia="宋体" w:hAnsi="宋体" w:hint="eastAsia"/>
          <w:b w:val="0"/>
          <w:bCs w:val="0"/>
          <w:sz w:val="21"/>
          <w:szCs w:val="21"/>
        </w:rPr>
        <w:t>若基金</w:t>
      </w:r>
      <w:proofErr w:type="gramEnd"/>
      <w:r>
        <w:rPr>
          <w:rFonts w:ascii="宋体" w:eastAsia="宋体" w:hAnsi="宋体" w:hint="eastAsia"/>
          <w:b w:val="0"/>
          <w:bCs w:val="0"/>
          <w:sz w:val="21"/>
          <w:szCs w:val="21"/>
        </w:rPr>
        <w:t>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w:t>
      </w:r>
    </w:p>
    <w:p w:rsidR="00420A6C" w:rsidRDefault="00420A6C">
      <w:pPr>
        <w:pStyle w:val="2"/>
        <w:keepNext w:val="0"/>
        <w:keepLines w:val="0"/>
        <w:autoSpaceDE w:val="0"/>
        <w:autoSpaceDN w:val="0"/>
        <w:adjustRightInd w:val="0"/>
        <w:spacing w:before="0" w:after="0" w:line="360" w:lineRule="auto"/>
        <w:ind w:leftChars="135" w:left="283"/>
        <w:textAlignment w:val="baseline"/>
        <w:rPr>
          <w:rFonts w:ascii="宋体" w:eastAsia="宋体" w:hAnsi="宋体"/>
          <w:b w:val="0"/>
          <w:bCs w:val="0"/>
          <w:sz w:val="21"/>
          <w:szCs w:val="21"/>
        </w:rPr>
      </w:pPr>
      <w:r>
        <w:rPr>
          <w:rFonts w:ascii="宋体" w:eastAsia="宋体" w:hAnsi="宋体" w:hint="eastAsia"/>
          <w:b w:val="0"/>
          <w:bCs w:val="0"/>
          <w:sz w:val="21"/>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rsidR="00420A6C" w:rsidRDefault="00420A6C">
      <w:pPr>
        <w:pStyle w:val="2"/>
        <w:keepNext w:val="0"/>
        <w:keepLines w:val="0"/>
        <w:autoSpaceDE w:val="0"/>
        <w:autoSpaceDN w:val="0"/>
        <w:adjustRightInd w:val="0"/>
        <w:spacing w:before="0" w:after="0" w:line="360" w:lineRule="auto"/>
        <w:ind w:leftChars="135" w:left="283"/>
        <w:textAlignment w:val="baseline"/>
        <w:rPr>
          <w:rFonts w:ascii="宋体" w:eastAsia="宋体" w:hAnsi="宋体"/>
          <w:b w:val="0"/>
          <w:bCs w:val="0"/>
          <w:sz w:val="21"/>
          <w:szCs w:val="21"/>
        </w:rPr>
      </w:pPr>
      <w:r>
        <w:rPr>
          <w:rFonts w:ascii="宋体" w:eastAsia="宋体" w:hAnsi="宋体" w:hint="eastAsia"/>
          <w:b w:val="0"/>
          <w:bCs w:val="0"/>
          <w:sz w:val="21"/>
          <w:szCs w:val="21"/>
        </w:rPr>
        <w:t>（4）由于基金管理人提供的信息错误（包括但不限于基金申购或赎回金额等），导致基金份额净值计算错误而引起的基金份额持有人和基金财产的损失，由基金管理人负责赔付。</w:t>
      </w:r>
      <w:bookmarkStart w:id="52" w:name="_Toc382819110"/>
      <w:bookmarkEnd w:id="51"/>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lastRenderedPageBreak/>
        <w:t>3.由于本基金所持有基金的基金管理人披露基金份额净值的数据错误、证券交易所及登记结算公司、证券经纪机构发送的数据错误、第三方估值机构提供的估值数据错误，有关会计制度变化或由于其他不可抗力原因，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bookmarkStart w:id="53" w:name="_Toc382819111"/>
      <w:bookmarkEnd w:id="52"/>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4.基金管理人和基金托管人由于各自技术系统设置而产生的净值计算尾差，以基金管理人计算结果为准。</w:t>
      </w:r>
      <w:bookmarkStart w:id="54" w:name="_Toc382819112"/>
      <w:bookmarkEnd w:id="53"/>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5.前述内容如法律法规或者监管部门另有规定的，从其规定。如果行业另有通行做法，双方当事人应本着平等和保护基金份额持有人利益的原则进行协商。</w:t>
      </w:r>
      <w:bookmarkStart w:id="55" w:name="_Toc382819113"/>
      <w:bookmarkEnd w:id="54"/>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（四）暂停估值与公告基金份额净值的情形</w:t>
      </w:r>
      <w:bookmarkStart w:id="56" w:name="_Toc382819114"/>
      <w:bookmarkEnd w:id="55"/>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1.基金投资所涉及的证券交易市场遇法定节假日或因其他原因暂停营业时；</w:t>
      </w:r>
      <w:bookmarkStart w:id="57" w:name="_Toc382819115"/>
      <w:bookmarkEnd w:id="56"/>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2.因不可抗力致使基金管理人、基金托管人无法准确评估基金资产价值时；</w:t>
      </w:r>
      <w:bookmarkEnd w:id="57"/>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b w:val="0"/>
          <w:bCs w:val="0"/>
          <w:sz w:val="21"/>
          <w:szCs w:val="21"/>
        </w:rPr>
        <w:t>3.</w:t>
      </w:r>
      <w:r>
        <w:rPr>
          <w:rFonts w:ascii="宋体" w:eastAsia="宋体" w:hAnsi="宋体" w:hint="eastAsia"/>
          <w:b w:val="0"/>
          <w:bCs w:val="0"/>
          <w:sz w:val="21"/>
          <w:szCs w:val="21"/>
        </w:rPr>
        <w:t>占本基金相当比例的被投资基金发生暂停估值、暂停公告基金份额净值的情形；</w:t>
      </w:r>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4</w:t>
      </w:r>
      <w:r>
        <w:rPr>
          <w:rFonts w:ascii="宋体" w:eastAsia="宋体" w:hAnsi="宋体"/>
          <w:b w:val="0"/>
          <w:bCs w:val="0"/>
          <w:sz w:val="21"/>
          <w:szCs w:val="21"/>
        </w:rPr>
        <w:t>.</w:t>
      </w:r>
      <w:r w:rsidRPr="00D30E63">
        <w:rPr>
          <w:rFonts w:ascii="宋体" w:eastAsia="宋体" w:hAnsi="宋体" w:hint="eastAsia"/>
          <w:b w:val="0"/>
          <w:bCs w:val="0"/>
          <w:sz w:val="21"/>
          <w:szCs w:val="21"/>
        </w:rPr>
        <w:t>当特定资产占前一估值日基金资产净值50%以上的，经与基金托管人协商确认后，基金管理人应当暂停估值</w:t>
      </w:r>
      <w:r>
        <w:rPr>
          <w:rFonts w:ascii="宋体" w:eastAsia="宋体" w:hAnsi="宋体" w:hint="eastAsia"/>
          <w:b w:val="0"/>
          <w:bCs w:val="0"/>
          <w:sz w:val="21"/>
          <w:szCs w:val="21"/>
        </w:rPr>
        <w:t>；</w:t>
      </w:r>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5</w:t>
      </w:r>
      <w:r>
        <w:rPr>
          <w:rFonts w:ascii="宋体" w:eastAsia="宋体" w:hAnsi="宋体"/>
          <w:b w:val="0"/>
          <w:bCs w:val="0"/>
          <w:sz w:val="21"/>
          <w:szCs w:val="21"/>
        </w:rPr>
        <w:t>.</w:t>
      </w:r>
      <w:r>
        <w:rPr>
          <w:rFonts w:ascii="宋体" w:eastAsia="宋体" w:hAnsi="宋体" w:hint="eastAsia"/>
          <w:b w:val="0"/>
          <w:bCs w:val="0"/>
          <w:sz w:val="21"/>
          <w:szCs w:val="21"/>
        </w:rPr>
        <w:t>中国证监会和《基金合同》认定的其他情形。</w:t>
      </w:r>
      <w:bookmarkStart w:id="58" w:name="_Toc382819116"/>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（五）基金账册的建立</w:t>
      </w:r>
      <w:bookmarkEnd w:id="58"/>
    </w:p>
    <w:p w:rsidR="00420A6C" w:rsidRDefault="00420A6C">
      <w:pPr>
        <w:spacing w:line="360" w:lineRule="auto"/>
        <w:ind w:firstLineChars="200" w:firstLine="420"/>
        <w:rPr>
          <w:rFonts w:ascii="宋体" w:hAnsi="宋体"/>
          <w:szCs w:val="21"/>
        </w:rPr>
      </w:pPr>
      <w:r>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420A6C" w:rsidRDefault="00420A6C">
      <w:pPr>
        <w:spacing w:line="360" w:lineRule="auto"/>
        <w:ind w:firstLineChars="200" w:firstLine="420"/>
        <w:rPr>
          <w:rFonts w:ascii="宋体" w:hAnsi="宋体"/>
          <w:szCs w:val="21"/>
        </w:rPr>
      </w:pPr>
      <w:r>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420A6C" w:rsidRDefault="00420A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9" w:name="_Toc382819117"/>
      <w:r>
        <w:rPr>
          <w:rFonts w:ascii="宋体" w:eastAsia="宋体" w:hAnsi="宋体" w:hint="eastAsia"/>
          <w:b w:val="0"/>
          <w:bCs w:val="0"/>
          <w:sz w:val="21"/>
          <w:szCs w:val="21"/>
        </w:rPr>
        <w:t>（六）基金定期报告的编制和复核</w:t>
      </w:r>
      <w:bookmarkEnd w:id="59"/>
    </w:p>
    <w:p w:rsidR="00420A6C" w:rsidRDefault="00420A6C">
      <w:pPr>
        <w:spacing w:line="360" w:lineRule="auto"/>
        <w:ind w:firstLineChars="200" w:firstLine="420"/>
        <w:rPr>
          <w:rFonts w:ascii="宋体" w:hAnsi="宋体"/>
          <w:szCs w:val="21"/>
        </w:rPr>
      </w:pPr>
      <w:r>
        <w:rPr>
          <w:rFonts w:ascii="宋体" w:hAnsi="宋体" w:hint="eastAsia"/>
          <w:szCs w:val="21"/>
        </w:rPr>
        <w:t>基金财务报表由基金管理人和基金托管人每</w:t>
      </w:r>
      <w:proofErr w:type="gramStart"/>
      <w:r>
        <w:rPr>
          <w:rFonts w:ascii="宋体" w:hAnsi="宋体" w:hint="eastAsia"/>
          <w:szCs w:val="21"/>
        </w:rPr>
        <w:t>月分别独立</w:t>
      </w:r>
      <w:proofErr w:type="gramEnd"/>
      <w:r>
        <w:rPr>
          <w:rFonts w:ascii="宋体" w:hAnsi="宋体" w:hint="eastAsia"/>
          <w:szCs w:val="21"/>
        </w:rPr>
        <w:t>编制。月度报表的编制，应于每月终了后5个工作日内完成。</w:t>
      </w:r>
    </w:p>
    <w:p w:rsidR="00420A6C" w:rsidRDefault="00420A6C">
      <w:pPr>
        <w:spacing w:line="360" w:lineRule="auto"/>
        <w:ind w:firstLineChars="200" w:firstLine="420"/>
        <w:rPr>
          <w:rFonts w:ascii="宋体" w:hAnsi="宋体"/>
          <w:szCs w:val="21"/>
        </w:rPr>
      </w:pPr>
      <w:r>
        <w:rPr>
          <w:rFonts w:ascii="宋体" w:hAnsi="宋体" w:hint="eastAsia"/>
          <w:szCs w:val="21"/>
        </w:rPr>
        <w:t>基金合同生效后，基金招募说明书的信息发生重大变更的，基金管理人应当在三个工作日内，更新基金招募说明书并登载在指定网站上；基金招募说明书其他信息发生变更的，基</w:t>
      </w:r>
      <w:r>
        <w:rPr>
          <w:rFonts w:ascii="宋体" w:hAnsi="宋体" w:hint="eastAsia"/>
          <w:szCs w:val="21"/>
        </w:rPr>
        <w:lastRenderedPageBreak/>
        <w:t>金管理人至少每年更新一次。基金终止运作的，基金管理人不再更新基金招募说明书。基金管理人在每个季度结束之日起15个工作日内完成季度报告编制并公告；在上半年结束之日起两个月内完成中期报告</w:t>
      </w:r>
      <w:proofErr w:type="gramStart"/>
      <w:r>
        <w:rPr>
          <w:rFonts w:ascii="宋体" w:hAnsi="宋体" w:hint="eastAsia"/>
          <w:szCs w:val="21"/>
        </w:rPr>
        <w:t>告</w:t>
      </w:r>
      <w:proofErr w:type="gramEnd"/>
      <w:r>
        <w:rPr>
          <w:rFonts w:ascii="宋体" w:hAnsi="宋体" w:hint="eastAsia"/>
          <w:szCs w:val="21"/>
        </w:rPr>
        <w:t>编制并公告；在每年结束之日起三个月内完成年度报告编制并公告。</w:t>
      </w:r>
    </w:p>
    <w:p w:rsidR="00420A6C" w:rsidRDefault="00420A6C">
      <w:pPr>
        <w:spacing w:line="360" w:lineRule="auto"/>
        <w:ind w:firstLineChars="200" w:firstLine="420"/>
        <w:rPr>
          <w:rFonts w:ascii="宋体" w:hAnsi="宋体"/>
          <w:szCs w:val="21"/>
        </w:rPr>
      </w:pPr>
      <w:r>
        <w:rPr>
          <w:rFonts w:ascii="宋体" w:hAnsi="宋体" w:hint="eastAsia"/>
          <w:szCs w:val="21"/>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420A6C" w:rsidRDefault="00420A6C">
      <w:pPr>
        <w:spacing w:line="360" w:lineRule="auto"/>
        <w:ind w:firstLineChars="200" w:firstLine="420"/>
        <w:rPr>
          <w:rFonts w:ascii="宋体" w:hAnsi="宋体"/>
          <w:szCs w:val="21"/>
        </w:rPr>
      </w:pPr>
      <w:r>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Pr>
          <w:rFonts w:ascii="宋体" w:hAnsi="宋体" w:hint="eastAsia"/>
          <w:kern w:val="44"/>
          <w:szCs w:val="21"/>
        </w:rPr>
        <w:t>如果基金管理人与基金托管人不能</w:t>
      </w:r>
      <w:proofErr w:type="gramStart"/>
      <w:r>
        <w:rPr>
          <w:rFonts w:ascii="宋体" w:hAnsi="宋体" w:hint="eastAsia"/>
          <w:kern w:val="44"/>
          <w:szCs w:val="21"/>
        </w:rPr>
        <w:t>于应当</w:t>
      </w:r>
      <w:proofErr w:type="gramEnd"/>
      <w:r>
        <w:rPr>
          <w:rFonts w:ascii="宋体" w:hAnsi="宋体" w:hint="eastAsia"/>
          <w:kern w:val="44"/>
          <w:szCs w:val="21"/>
        </w:rPr>
        <w:t>发布公告之日之前就相关报表达成一致，基金管理人有权按照其编制的报表对外发布公告，基金托管人有权就相关情况报证监会备案。</w:t>
      </w:r>
    </w:p>
    <w:p w:rsidR="00420A6C" w:rsidRDefault="00420A6C">
      <w:pPr>
        <w:spacing w:line="360" w:lineRule="auto"/>
        <w:ind w:firstLineChars="200" w:firstLine="420"/>
        <w:rPr>
          <w:rFonts w:ascii="宋体" w:hAnsi="宋体"/>
          <w:szCs w:val="21"/>
        </w:rPr>
      </w:pPr>
      <w:r>
        <w:rPr>
          <w:rFonts w:ascii="宋体" w:hAnsi="宋体" w:hint="eastAsia"/>
          <w:szCs w:val="21"/>
        </w:rPr>
        <w:t>基金托管人在对财务会计报告、中期报告或年度报告复核完毕后，需盖章确认或出具相应的复核确认书，以</w:t>
      </w:r>
      <w:proofErr w:type="gramStart"/>
      <w:r>
        <w:rPr>
          <w:rFonts w:ascii="宋体" w:hAnsi="宋体" w:hint="eastAsia"/>
          <w:szCs w:val="21"/>
        </w:rPr>
        <w:t>备有权</w:t>
      </w:r>
      <w:proofErr w:type="gramEnd"/>
      <w:r>
        <w:rPr>
          <w:rFonts w:ascii="宋体" w:hAnsi="宋体" w:hint="eastAsia"/>
          <w:szCs w:val="21"/>
        </w:rPr>
        <w:t>机构对相关文件审核时提示。</w:t>
      </w:r>
    </w:p>
    <w:p w:rsidR="00420A6C" w:rsidRDefault="00420A6C">
      <w:pPr>
        <w:spacing w:line="360" w:lineRule="auto"/>
        <w:ind w:firstLineChars="200" w:firstLine="420"/>
        <w:rPr>
          <w:rFonts w:ascii="宋体" w:hAnsi="宋体"/>
          <w:szCs w:val="21"/>
        </w:rPr>
      </w:pPr>
      <w:r>
        <w:rPr>
          <w:rFonts w:ascii="宋体" w:hAnsi="宋体" w:hint="eastAsia"/>
          <w:szCs w:val="21"/>
        </w:rPr>
        <w:t>基金定期报告应当在公开披露的第2个工作日，分别报中国证监会和基金管理人主要办公场所所在地中国证监会派出机构备案。</w:t>
      </w:r>
    </w:p>
    <w:p w:rsidR="00420A6C" w:rsidRDefault="00420A6C" w:rsidP="00D30E6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D30E63">
        <w:rPr>
          <w:rFonts w:ascii="宋体" w:eastAsia="宋体" w:hAnsi="宋体" w:hint="eastAsia"/>
          <w:b w:val="0"/>
          <w:bCs w:val="0"/>
          <w:sz w:val="21"/>
          <w:szCs w:val="21"/>
        </w:rPr>
        <w:t>（七</w:t>
      </w:r>
      <w:r>
        <w:rPr>
          <w:rFonts w:ascii="宋体" w:eastAsia="宋体" w:hAnsi="宋体" w:hint="eastAsia"/>
          <w:b w:val="0"/>
          <w:bCs w:val="0"/>
          <w:sz w:val="21"/>
          <w:szCs w:val="21"/>
        </w:rPr>
        <w:t>）</w:t>
      </w:r>
      <w:r w:rsidRPr="00D30E63">
        <w:rPr>
          <w:rFonts w:ascii="宋体" w:eastAsia="宋体" w:hAnsi="宋体" w:hint="eastAsia"/>
          <w:b w:val="0"/>
          <w:bCs w:val="0"/>
          <w:sz w:val="21"/>
          <w:szCs w:val="21"/>
        </w:rPr>
        <w:t>实施</w:t>
      </w:r>
      <w:proofErr w:type="gramStart"/>
      <w:r w:rsidRPr="00D30E63">
        <w:rPr>
          <w:rFonts w:ascii="宋体" w:eastAsia="宋体" w:hAnsi="宋体" w:hint="eastAsia"/>
          <w:b w:val="0"/>
          <w:bCs w:val="0"/>
          <w:sz w:val="21"/>
          <w:szCs w:val="21"/>
        </w:rPr>
        <w:t>侧袋机制</w:t>
      </w:r>
      <w:proofErr w:type="gramEnd"/>
      <w:r w:rsidRPr="00D30E63">
        <w:rPr>
          <w:rFonts w:ascii="宋体" w:eastAsia="宋体" w:hAnsi="宋体" w:hint="eastAsia"/>
          <w:b w:val="0"/>
          <w:bCs w:val="0"/>
          <w:sz w:val="21"/>
          <w:szCs w:val="21"/>
        </w:rPr>
        <w:t>期间的基金资产估值</w:t>
      </w:r>
    </w:p>
    <w:p w:rsidR="00420A6C" w:rsidRPr="00D30E63" w:rsidRDefault="00420A6C" w:rsidP="00D30E63">
      <w:pPr>
        <w:spacing w:line="360" w:lineRule="auto"/>
        <w:ind w:firstLineChars="200" w:firstLine="420"/>
        <w:rPr>
          <w:rFonts w:ascii="宋体" w:hAnsi="宋体"/>
          <w:szCs w:val="21"/>
        </w:rPr>
      </w:pPr>
      <w:r w:rsidRPr="00D30E63">
        <w:rPr>
          <w:rFonts w:ascii="宋体" w:hAnsi="宋体" w:hint="eastAsia"/>
          <w:szCs w:val="21"/>
        </w:rPr>
        <w:t>本基金实施</w:t>
      </w:r>
      <w:proofErr w:type="gramStart"/>
      <w:r w:rsidRPr="00D30E63">
        <w:rPr>
          <w:rFonts w:ascii="宋体" w:hAnsi="宋体" w:hint="eastAsia"/>
          <w:szCs w:val="21"/>
        </w:rPr>
        <w:t>侧袋机制</w:t>
      </w:r>
      <w:proofErr w:type="gramEnd"/>
      <w:r w:rsidRPr="00D30E63">
        <w:rPr>
          <w:rFonts w:ascii="宋体" w:hAnsi="宋体" w:hint="eastAsia"/>
          <w:szCs w:val="21"/>
        </w:rPr>
        <w:t>的，应根据本部分的约定</w:t>
      </w:r>
      <w:proofErr w:type="gramStart"/>
      <w:r w:rsidRPr="00D30E63">
        <w:rPr>
          <w:rFonts w:ascii="宋体" w:hAnsi="宋体" w:hint="eastAsia"/>
          <w:szCs w:val="21"/>
        </w:rPr>
        <w:t>对主袋账户</w:t>
      </w:r>
      <w:proofErr w:type="gramEnd"/>
      <w:r w:rsidRPr="00D30E63">
        <w:rPr>
          <w:rFonts w:ascii="宋体" w:hAnsi="宋体" w:hint="eastAsia"/>
          <w:szCs w:val="21"/>
        </w:rPr>
        <w:t>资产进行估值并</w:t>
      </w:r>
      <w:proofErr w:type="gramStart"/>
      <w:r w:rsidRPr="00D30E63">
        <w:rPr>
          <w:rFonts w:ascii="宋体" w:hAnsi="宋体" w:hint="eastAsia"/>
          <w:szCs w:val="21"/>
        </w:rPr>
        <w:t>披露主袋账户</w:t>
      </w:r>
      <w:proofErr w:type="gramEnd"/>
      <w:r w:rsidRPr="00D30E63">
        <w:rPr>
          <w:rFonts w:ascii="宋体" w:hAnsi="宋体" w:hint="eastAsia"/>
          <w:szCs w:val="21"/>
        </w:rPr>
        <w:t>的基金</w:t>
      </w:r>
      <w:r>
        <w:rPr>
          <w:rFonts w:ascii="宋体" w:hAnsi="宋体" w:hint="eastAsia"/>
          <w:szCs w:val="21"/>
        </w:rPr>
        <w:t>净值信息</w:t>
      </w:r>
      <w:r w:rsidRPr="00D30E63">
        <w:rPr>
          <w:rFonts w:ascii="宋体" w:hAnsi="宋体" w:hint="eastAsia"/>
          <w:szCs w:val="21"/>
        </w:rPr>
        <w:t>，暂停</w:t>
      </w:r>
      <w:proofErr w:type="gramStart"/>
      <w:r w:rsidRPr="00D30E63">
        <w:rPr>
          <w:rFonts w:ascii="宋体" w:hAnsi="宋体" w:hint="eastAsia"/>
          <w:szCs w:val="21"/>
        </w:rPr>
        <w:t>披露侧袋账户</w:t>
      </w:r>
      <w:proofErr w:type="gramEnd"/>
      <w:r w:rsidRPr="00D30E63">
        <w:rPr>
          <w:rFonts w:ascii="宋体" w:hAnsi="宋体" w:hint="eastAsia"/>
          <w:szCs w:val="21"/>
        </w:rPr>
        <w:t>份额净值。</w:t>
      </w:r>
    </w:p>
    <w:p w:rsidR="00420A6C" w:rsidRPr="00D30E63" w:rsidRDefault="00420A6C" w:rsidP="00D30E63"/>
    <w:p w:rsidR="00420A6C" w:rsidRDefault="00420A6C">
      <w:pPr>
        <w:pStyle w:val="1"/>
        <w:keepNext w:val="0"/>
        <w:keepLines w:val="0"/>
        <w:numPr>
          <w:ilvl w:val="0"/>
          <w:numId w:val="2"/>
        </w:numPr>
        <w:tabs>
          <w:tab w:val="left" w:pos="420"/>
          <w:tab w:val="left" w:pos="1922"/>
        </w:tabs>
        <w:autoSpaceDE w:val="0"/>
        <w:autoSpaceDN w:val="0"/>
        <w:adjustRightInd w:val="0"/>
        <w:spacing w:before="360" w:after="360"/>
        <w:textAlignment w:val="baseline"/>
        <w:rPr>
          <w:rFonts w:ascii="宋体" w:eastAsia="宋体" w:hAnsi="宋体" w:cs="Arial"/>
          <w:sz w:val="30"/>
          <w:szCs w:val="30"/>
        </w:rPr>
      </w:pPr>
      <w:bookmarkStart w:id="60" w:name="_Toc382819118"/>
      <w:r>
        <w:rPr>
          <w:rFonts w:ascii="宋体" w:eastAsia="宋体" w:hAnsi="宋体" w:cs="Arial" w:hint="eastAsia"/>
          <w:sz w:val="30"/>
          <w:szCs w:val="30"/>
        </w:rPr>
        <w:t>基金收益分配</w:t>
      </w:r>
      <w:bookmarkEnd w:id="60"/>
    </w:p>
    <w:p w:rsidR="00420A6C" w:rsidRDefault="00420A6C" w:rsidP="00D30E63">
      <w:pPr>
        <w:pStyle w:val="2"/>
        <w:keepNext w:val="0"/>
        <w:keepLines w:val="0"/>
        <w:autoSpaceDE w:val="0"/>
        <w:autoSpaceDN w:val="0"/>
        <w:adjustRightInd w:val="0"/>
        <w:snapToGrid w:val="0"/>
        <w:spacing w:before="0" w:after="0" w:line="360" w:lineRule="auto"/>
        <w:ind w:firstLineChars="200" w:firstLine="420"/>
        <w:textAlignment w:val="baseline"/>
        <w:rPr>
          <w:rFonts w:ascii="宋体" w:eastAsia="宋体" w:hAnsi="宋体" w:cs="Arial"/>
          <w:kern w:val="0"/>
          <w:sz w:val="21"/>
          <w:szCs w:val="21"/>
        </w:rPr>
      </w:pPr>
      <w:bookmarkStart w:id="61" w:name="_Toc382819119"/>
      <w:r>
        <w:rPr>
          <w:rFonts w:ascii="宋体" w:eastAsia="宋体" w:hAnsi="宋体" w:hint="eastAsia"/>
          <w:b w:val="0"/>
          <w:bCs w:val="0"/>
          <w:sz w:val="21"/>
          <w:szCs w:val="21"/>
        </w:rPr>
        <w:lastRenderedPageBreak/>
        <w:t>（一）基金收益分配的原则</w:t>
      </w:r>
      <w:bookmarkEnd w:id="61"/>
    </w:p>
    <w:p w:rsidR="00420A6C" w:rsidRDefault="00420A6C" w:rsidP="00D30E63">
      <w:pPr>
        <w:adjustRightInd w:val="0"/>
        <w:snapToGrid w:val="0"/>
        <w:spacing w:line="360" w:lineRule="auto"/>
        <w:ind w:firstLineChars="200" w:firstLine="420"/>
        <w:rPr>
          <w:rFonts w:ascii="宋体" w:hAnsi="宋体"/>
          <w:szCs w:val="21"/>
        </w:rPr>
      </w:pPr>
      <w:r>
        <w:rPr>
          <w:rFonts w:ascii="宋体" w:hAnsi="宋体" w:hint="eastAsia"/>
          <w:szCs w:val="21"/>
        </w:rPr>
        <w:t>基金收益分配是指将该基金可供分配利润</w:t>
      </w:r>
      <w:proofErr w:type="gramStart"/>
      <w:r>
        <w:rPr>
          <w:rFonts w:ascii="宋体" w:hAnsi="宋体" w:hint="eastAsia"/>
          <w:szCs w:val="21"/>
        </w:rPr>
        <w:t>按收益</w:t>
      </w:r>
      <w:proofErr w:type="gramEnd"/>
      <w:r>
        <w:rPr>
          <w:rFonts w:ascii="宋体" w:hAnsi="宋体" w:hint="eastAsia"/>
          <w:szCs w:val="21"/>
        </w:rPr>
        <w:t>分配方案确定的分配金额和比例根据持有该基金份额的数量按比例向该基金份额持有人进行分配。</w:t>
      </w:r>
    </w:p>
    <w:p w:rsidR="00420A6C" w:rsidRDefault="00420A6C" w:rsidP="00D30E63">
      <w:pPr>
        <w:adjustRightInd w:val="0"/>
        <w:snapToGrid w:val="0"/>
        <w:spacing w:line="360" w:lineRule="auto"/>
        <w:ind w:firstLineChars="200" w:firstLine="420"/>
        <w:rPr>
          <w:rFonts w:ascii="宋体" w:hAnsi="宋体"/>
          <w:szCs w:val="21"/>
        </w:rPr>
      </w:pPr>
      <w:r>
        <w:rPr>
          <w:rFonts w:ascii="宋体" w:hAnsi="宋体" w:hint="eastAsia"/>
          <w:szCs w:val="21"/>
        </w:rPr>
        <w:t>收益分配应该符合《基金合同》关于收益分配原则的规定。</w:t>
      </w:r>
      <w:bookmarkStart w:id="62" w:name="_Toc382819120"/>
    </w:p>
    <w:p w:rsidR="00420A6C" w:rsidRDefault="00420A6C" w:rsidP="00D30E63">
      <w:pPr>
        <w:pStyle w:val="2"/>
        <w:keepNext w:val="0"/>
        <w:keepLines w:val="0"/>
        <w:autoSpaceDE w:val="0"/>
        <w:autoSpaceDN w:val="0"/>
        <w:adjustRightInd w:val="0"/>
        <w:snapToGri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（二）基金收益分配方案的制定和实施程序</w:t>
      </w:r>
      <w:bookmarkEnd w:id="62"/>
    </w:p>
    <w:p w:rsidR="00420A6C" w:rsidRDefault="00420A6C" w:rsidP="00D30E63">
      <w:pPr>
        <w:adjustRightInd w:val="0"/>
        <w:snapToGrid w:val="0"/>
        <w:spacing w:line="360" w:lineRule="auto"/>
        <w:ind w:firstLineChars="200" w:firstLine="420"/>
        <w:rPr>
          <w:rFonts w:ascii="宋体" w:hAnsi="宋体"/>
          <w:szCs w:val="21"/>
        </w:rPr>
      </w:pPr>
      <w:r>
        <w:rPr>
          <w:rFonts w:ascii="宋体" w:hAnsi="宋体" w:hint="eastAsia"/>
          <w:szCs w:val="21"/>
        </w:rPr>
        <w:t>基金收益分配方案由基金管理人根据《基金合同》的相关规定制定。</w:t>
      </w:r>
    </w:p>
    <w:p w:rsidR="00420A6C" w:rsidRDefault="00420A6C" w:rsidP="00D30E63">
      <w:pPr>
        <w:adjustRightInd w:val="0"/>
        <w:snapToGrid w:val="0"/>
        <w:spacing w:line="360" w:lineRule="auto"/>
        <w:ind w:firstLineChars="200" w:firstLine="420"/>
        <w:rPr>
          <w:rFonts w:ascii="宋体" w:hAnsi="宋体"/>
          <w:szCs w:val="21"/>
        </w:rPr>
      </w:pPr>
      <w:r>
        <w:rPr>
          <w:rFonts w:ascii="宋体" w:hAnsi="宋体" w:hint="eastAsia"/>
          <w:szCs w:val="21"/>
        </w:rPr>
        <w:t>基金收益分配方案由基金管理人拟定，并由基金托管人复核。复核通过后基金管理人应当将收益分配方案报中国证监会和基金管理人主要办公场所所在地中国证监会派出机构备案，并及时公告；如果基金管理人与基金托管人不能于收益</w:t>
      </w:r>
      <w:proofErr w:type="gramStart"/>
      <w:r>
        <w:rPr>
          <w:rFonts w:ascii="宋体" w:hAnsi="宋体" w:hint="eastAsia"/>
          <w:szCs w:val="21"/>
        </w:rPr>
        <w:t>分配日</w:t>
      </w:r>
      <w:proofErr w:type="gramEnd"/>
      <w:r>
        <w:rPr>
          <w:rFonts w:ascii="宋体" w:hAnsi="宋体" w:hint="eastAsia"/>
          <w:szCs w:val="21"/>
        </w:rPr>
        <w:t>之前就收益分配方案达成一致，基金托管人有义务将收益分配方案及相关情况的说明提交中国证监会备案并书面通知基金管理人，在上述文件提交完毕之日</w:t>
      </w:r>
      <w:proofErr w:type="gramStart"/>
      <w:r>
        <w:rPr>
          <w:rFonts w:ascii="宋体" w:hAnsi="宋体" w:hint="eastAsia"/>
          <w:szCs w:val="21"/>
        </w:rPr>
        <w:t>起基金</w:t>
      </w:r>
      <w:proofErr w:type="gramEnd"/>
      <w:r>
        <w:rPr>
          <w:rFonts w:ascii="宋体" w:hAnsi="宋体" w:hint="eastAsia"/>
          <w:szCs w:val="21"/>
        </w:rPr>
        <w:t>管理人有权利对外公告其拟订的收益分配方案，</w:t>
      </w:r>
      <w:proofErr w:type="gramStart"/>
      <w:r>
        <w:rPr>
          <w:rFonts w:ascii="宋体" w:hAnsi="宋体" w:hint="eastAsia"/>
          <w:szCs w:val="21"/>
        </w:rPr>
        <w:t>且基金</w:t>
      </w:r>
      <w:proofErr w:type="gramEnd"/>
      <w:r>
        <w:rPr>
          <w:rFonts w:ascii="宋体" w:hAnsi="宋体" w:hint="eastAsia"/>
          <w:szCs w:val="21"/>
        </w:rPr>
        <w:t>托管人有义务协助基金管理人实施该收益分配方案，但有证据证明该方案违反法律法规及《基金合同》的除外。</w:t>
      </w:r>
    </w:p>
    <w:p w:rsidR="00420A6C" w:rsidRPr="00D30E63" w:rsidRDefault="00420A6C" w:rsidP="00D30E63">
      <w:pPr>
        <w:pStyle w:val="2"/>
        <w:keepNext w:val="0"/>
        <w:keepLines w:val="0"/>
        <w:autoSpaceDE w:val="0"/>
        <w:autoSpaceDN w:val="0"/>
        <w:adjustRightInd w:val="0"/>
        <w:snapToGri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（三）</w:t>
      </w:r>
      <w:r w:rsidRPr="00D30E63">
        <w:rPr>
          <w:rFonts w:ascii="宋体" w:eastAsia="宋体" w:hAnsi="宋体" w:hint="eastAsia"/>
          <w:b w:val="0"/>
          <w:bCs w:val="0"/>
          <w:sz w:val="21"/>
          <w:szCs w:val="21"/>
        </w:rPr>
        <w:t>实施</w:t>
      </w:r>
      <w:proofErr w:type="gramStart"/>
      <w:r w:rsidRPr="00D30E63">
        <w:rPr>
          <w:rFonts w:ascii="宋体" w:eastAsia="宋体" w:hAnsi="宋体" w:hint="eastAsia"/>
          <w:b w:val="0"/>
          <w:bCs w:val="0"/>
          <w:sz w:val="21"/>
          <w:szCs w:val="21"/>
        </w:rPr>
        <w:t>侧袋机制</w:t>
      </w:r>
      <w:proofErr w:type="gramEnd"/>
      <w:r w:rsidRPr="00D30E63">
        <w:rPr>
          <w:rFonts w:ascii="宋体" w:eastAsia="宋体" w:hAnsi="宋体" w:hint="eastAsia"/>
          <w:b w:val="0"/>
          <w:bCs w:val="0"/>
          <w:sz w:val="21"/>
          <w:szCs w:val="21"/>
        </w:rPr>
        <w:t>期间的收益分配</w:t>
      </w:r>
    </w:p>
    <w:p w:rsidR="00420A6C" w:rsidRPr="00D30E63" w:rsidRDefault="00420A6C" w:rsidP="00D30E63">
      <w:pPr>
        <w:pStyle w:val="2"/>
        <w:keepNext w:val="0"/>
        <w:keepLines w:val="0"/>
        <w:autoSpaceDE w:val="0"/>
        <w:autoSpaceDN w:val="0"/>
        <w:adjustRightInd w:val="0"/>
        <w:snapToGrid w:val="0"/>
        <w:spacing w:before="0" w:after="0" w:line="360" w:lineRule="auto"/>
        <w:ind w:firstLineChars="200" w:firstLine="420"/>
        <w:textAlignment w:val="baseline"/>
        <w:rPr>
          <w:rFonts w:ascii="宋体" w:eastAsia="宋体" w:hAnsi="宋体"/>
          <w:b w:val="0"/>
          <w:bCs w:val="0"/>
          <w:sz w:val="21"/>
          <w:szCs w:val="21"/>
        </w:rPr>
      </w:pPr>
      <w:r w:rsidRPr="00D30E63">
        <w:rPr>
          <w:rFonts w:ascii="宋体" w:eastAsia="宋体" w:hAnsi="宋体" w:hint="eastAsia"/>
          <w:b w:val="0"/>
          <w:bCs w:val="0"/>
          <w:sz w:val="21"/>
          <w:szCs w:val="21"/>
        </w:rPr>
        <w:t>本基金实施</w:t>
      </w:r>
      <w:proofErr w:type="gramStart"/>
      <w:r w:rsidRPr="00D30E63">
        <w:rPr>
          <w:rFonts w:ascii="宋体" w:eastAsia="宋体" w:hAnsi="宋体" w:hint="eastAsia"/>
          <w:b w:val="0"/>
          <w:bCs w:val="0"/>
          <w:sz w:val="21"/>
          <w:szCs w:val="21"/>
        </w:rPr>
        <w:t>侧袋机制</w:t>
      </w:r>
      <w:proofErr w:type="gramEnd"/>
      <w:r w:rsidRPr="00D30E63">
        <w:rPr>
          <w:rFonts w:ascii="宋体" w:eastAsia="宋体" w:hAnsi="宋体" w:hint="eastAsia"/>
          <w:b w:val="0"/>
          <w:bCs w:val="0"/>
          <w:sz w:val="21"/>
          <w:szCs w:val="21"/>
        </w:rPr>
        <w:t>的，</w:t>
      </w:r>
      <w:proofErr w:type="gramStart"/>
      <w:r w:rsidRPr="00D30E63">
        <w:rPr>
          <w:rFonts w:ascii="宋体" w:eastAsia="宋体" w:hAnsi="宋体" w:hint="eastAsia"/>
          <w:b w:val="0"/>
          <w:bCs w:val="0"/>
          <w:sz w:val="21"/>
          <w:szCs w:val="21"/>
        </w:rPr>
        <w:t>侧袋账户</w:t>
      </w:r>
      <w:proofErr w:type="gramEnd"/>
      <w:r w:rsidRPr="00D30E63">
        <w:rPr>
          <w:rFonts w:ascii="宋体" w:eastAsia="宋体" w:hAnsi="宋体" w:hint="eastAsia"/>
          <w:b w:val="0"/>
          <w:bCs w:val="0"/>
          <w:sz w:val="21"/>
          <w:szCs w:val="21"/>
        </w:rPr>
        <w:t>不进行收益分配，详见招募说明书的规定。</w:t>
      </w:r>
    </w:p>
    <w:p w:rsidR="00420A6C" w:rsidRDefault="00420A6C">
      <w:pPr>
        <w:pStyle w:val="1"/>
        <w:keepNext w:val="0"/>
        <w:keepLines w:val="0"/>
        <w:numPr>
          <w:ilvl w:val="0"/>
          <w:numId w:val="2"/>
        </w:numPr>
        <w:tabs>
          <w:tab w:val="left" w:pos="420"/>
          <w:tab w:val="left" w:pos="1922"/>
        </w:tabs>
        <w:autoSpaceDE w:val="0"/>
        <w:autoSpaceDN w:val="0"/>
        <w:adjustRightInd w:val="0"/>
        <w:spacing w:before="360" w:after="360"/>
        <w:textAlignment w:val="baseline"/>
        <w:rPr>
          <w:rFonts w:ascii="宋体" w:eastAsia="宋体" w:hAnsi="宋体" w:cs="Arial"/>
          <w:sz w:val="30"/>
          <w:szCs w:val="30"/>
        </w:rPr>
      </w:pPr>
      <w:bookmarkStart w:id="63" w:name="_Toc382819121"/>
      <w:r>
        <w:rPr>
          <w:rFonts w:ascii="宋体" w:eastAsia="宋体" w:hAnsi="宋体" w:cs="Arial" w:hint="eastAsia"/>
          <w:sz w:val="30"/>
          <w:szCs w:val="30"/>
        </w:rPr>
        <w:t>信息披露</w:t>
      </w:r>
      <w:bookmarkEnd w:id="63"/>
    </w:p>
    <w:p w:rsidR="00420A6C" w:rsidRDefault="00420A6C">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4"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64"/>
    </w:p>
    <w:p w:rsidR="00420A6C" w:rsidRDefault="00420A6C">
      <w:pPr>
        <w:spacing w:line="360" w:lineRule="auto"/>
        <w:ind w:right="28" w:firstLineChars="200" w:firstLine="420"/>
        <w:rPr>
          <w:rFonts w:ascii="宋体" w:hAnsi="宋体"/>
          <w:szCs w:val="21"/>
        </w:rPr>
      </w:pPr>
      <w:r>
        <w:rPr>
          <w:rFonts w:ascii="宋体" w:hAnsi="宋体" w:hint="eastAsia"/>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420A6C" w:rsidRDefault="00420A6C">
      <w:pPr>
        <w:pStyle w:val="a8"/>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rsidR="00420A6C" w:rsidRDefault="00420A6C">
      <w:pPr>
        <w:spacing w:line="360" w:lineRule="auto"/>
        <w:ind w:firstLineChars="200" w:firstLine="420"/>
        <w:rPr>
          <w:rFonts w:ascii="宋体" w:hAnsi="宋体"/>
          <w:szCs w:val="21"/>
        </w:rPr>
      </w:pPr>
      <w:r>
        <w:rPr>
          <w:rFonts w:ascii="宋体" w:hAnsi="宋体" w:hint="eastAsia"/>
          <w:szCs w:val="21"/>
        </w:rPr>
        <w:t>2.基金管理人和基金托管人为遵守和服从法院判决、仲裁裁决或中国证监会等监管机构的命令、决定所做出的信息披露或公开。</w:t>
      </w:r>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（二）信息披露的内容</w:t>
      </w:r>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本基金的信息披露主要包括基金招募说明书、《基金合同》、基金托管协议、基金份额发</w:t>
      </w:r>
      <w:r>
        <w:rPr>
          <w:rFonts w:ascii="宋体" w:hAnsi="宋体" w:hint="eastAsia"/>
          <w:szCs w:val="21"/>
        </w:rPr>
        <w:lastRenderedPageBreak/>
        <w:t>售公告、《基金合同》生效公告、基金产品资料概要、基金清算报告、定期报告、临时公告、</w:t>
      </w:r>
      <w:r w:rsidRPr="00D30E63">
        <w:rPr>
          <w:rFonts w:ascii="宋体" w:hAnsi="宋体" w:hint="eastAsia"/>
          <w:szCs w:val="21"/>
        </w:rPr>
        <w:t>实施</w:t>
      </w:r>
      <w:proofErr w:type="gramStart"/>
      <w:r w:rsidRPr="00D30E63">
        <w:rPr>
          <w:rFonts w:ascii="宋体" w:hAnsi="宋体" w:hint="eastAsia"/>
          <w:szCs w:val="21"/>
        </w:rPr>
        <w:t>侧袋机制</w:t>
      </w:r>
      <w:proofErr w:type="gramEnd"/>
      <w:r w:rsidRPr="00D30E63">
        <w:rPr>
          <w:rFonts w:ascii="宋体" w:hAnsi="宋体" w:hint="eastAsia"/>
          <w:szCs w:val="21"/>
        </w:rPr>
        <w:t>期间的信息披露、</w:t>
      </w:r>
      <w:r>
        <w:rPr>
          <w:rFonts w:ascii="宋体" w:hAnsi="宋体" w:hint="eastAsia"/>
          <w:szCs w:val="21"/>
        </w:rPr>
        <w:t>基金资产净值和基金份额净值等其他必要的公告文件，由基金管理人拟定并负责公布。</w:t>
      </w:r>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基金管理人与基金托管人应严格遵守《基金合同》所规定的信息披露要求。</w:t>
      </w:r>
      <w:r w:rsidR="002D55B8">
        <w:rPr>
          <w:rFonts w:ascii="宋体" w:hAnsi="宋体" w:hint="eastAsia"/>
          <w:szCs w:val="21"/>
        </w:rPr>
        <w:t>各类</w:t>
      </w:r>
      <w:r>
        <w:rPr>
          <w:rFonts w:ascii="宋体" w:hAnsi="宋体" w:hint="eastAsia"/>
          <w:szCs w:val="21"/>
        </w:rPr>
        <w:t>基金资产净值、</w:t>
      </w:r>
      <w:r w:rsidR="002D55B8">
        <w:rPr>
          <w:rFonts w:ascii="宋体" w:hAnsi="宋体" w:hint="eastAsia"/>
          <w:szCs w:val="21"/>
        </w:rPr>
        <w:t>各类</w:t>
      </w:r>
      <w:r>
        <w:rPr>
          <w:rFonts w:ascii="宋体" w:hAnsi="宋体" w:hint="eastAsia"/>
          <w:szCs w:val="21"/>
        </w:rPr>
        <w:t>基金份额净值、基金业绩表现数据、基金定期报告和更新的招募说明书等公开披露的相关基金信息按有关规定需经基金托管人复核的，须由基金托管人进行复核、审查，并向基金管理人出具书面文件或者盖章确认。相关信息经基金托管人复核无误后方可公布。其他不需经基金托管人复核的信息披露内容，应及时告知基金托管人。</w:t>
      </w:r>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年度报告中的财务报告部分，需经有证券业务从业资格的会计师事务所审计后，方可披露。</w:t>
      </w:r>
    </w:p>
    <w:p w:rsidR="00420A6C" w:rsidRDefault="00420A6C">
      <w:pPr>
        <w:pStyle w:val="2"/>
        <w:keepNext w:val="0"/>
        <w:keepLines w:val="0"/>
        <w:tabs>
          <w:tab w:val="left"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5" w:name="_Toc382819123"/>
      <w:r>
        <w:rPr>
          <w:rFonts w:ascii="宋体" w:eastAsia="宋体" w:hAnsi="宋体" w:hint="eastAsia"/>
          <w:b w:val="0"/>
          <w:bCs w:val="0"/>
          <w:sz w:val="21"/>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bookmarkEnd w:id="65"/>
    </w:p>
    <w:p w:rsidR="00420A6C" w:rsidRDefault="00420A6C">
      <w:pPr>
        <w:pStyle w:val="2"/>
        <w:keepNext w:val="0"/>
        <w:keepLines w:val="0"/>
        <w:tabs>
          <w:tab w:val="left"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6" w:name="_Toc382819124"/>
      <w:r>
        <w:rPr>
          <w:rFonts w:ascii="宋体" w:eastAsia="宋体" w:hAnsi="宋体" w:hint="eastAsia"/>
          <w:b w:val="0"/>
          <w:bCs w:val="0"/>
          <w:sz w:val="21"/>
          <w:szCs w:val="21"/>
        </w:rPr>
        <w:t>（三）基金管理人和基金托管人在信息披露中的职责和信息披露程序</w:t>
      </w:r>
      <w:bookmarkEnd w:id="66"/>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1、职责</w:t>
      </w:r>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2、程序</w:t>
      </w:r>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rsidR="00420A6C" w:rsidRDefault="00420A6C">
      <w:pPr>
        <w:tabs>
          <w:tab w:val="left" w:pos="4680"/>
        </w:tabs>
        <w:spacing w:line="360" w:lineRule="auto"/>
        <w:ind w:firstLineChars="200" w:firstLine="420"/>
        <w:rPr>
          <w:rFonts w:ascii="宋体" w:hAnsi="宋体"/>
          <w:szCs w:val="21"/>
        </w:rPr>
      </w:pPr>
      <w:r>
        <w:rPr>
          <w:rFonts w:ascii="宋体" w:hAnsi="宋体" w:hint="eastAsia"/>
          <w:szCs w:val="21"/>
        </w:rPr>
        <w:t>3、信息文本的存放</w:t>
      </w:r>
    </w:p>
    <w:p w:rsidR="00420A6C" w:rsidRDefault="00420A6C">
      <w:pPr>
        <w:autoSpaceDE w:val="0"/>
        <w:autoSpaceDN w:val="0"/>
        <w:adjustRightInd w:val="0"/>
        <w:spacing w:line="360" w:lineRule="auto"/>
        <w:ind w:firstLineChars="200" w:firstLine="420"/>
        <w:rPr>
          <w:rFonts w:ascii="宋体" w:hAnsi="宋体"/>
          <w:szCs w:val="21"/>
        </w:rPr>
      </w:pPr>
      <w:r>
        <w:rPr>
          <w:rFonts w:ascii="宋体" w:hAnsi="宋体" w:hint="eastAsia"/>
          <w:szCs w:val="21"/>
        </w:rPr>
        <w:t>予以披露的信息文本，存放在基金管理人、基金托管人和基金销售代理人的办公场所、营业场所，基金份额持有人和公众投资者可以免费查阅。在支付工本费后可以获得上述文件的复制件或复印件。</w:t>
      </w:r>
    </w:p>
    <w:p w:rsidR="00420A6C" w:rsidRDefault="00420A6C">
      <w:pPr>
        <w:autoSpaceDE w:val="0"/>
        <w:autoSpaceDN w:val="0"/>
        <w:adjustRightInd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rsidR="00420A6C" w:rsidRDefault="00420A6C">
      <w:pPr>
        <w:spacing w:line="360" w:lineRule="auto"/>
        <w:ind w:firstLineChars="200" w:firstLine="420"/>
        <w:rPr>
          <w:rFonts w:ascii="宋体" w:hAnsi="宋体"/>
          <w:szCs w:val="21"/>
        </w:rPr>
      </w:pPr>
      <w:r>
        <w:rPr>
          <w:rFonts w:ascii="宋体" w:hAnsi="宋体" w:hint="eastAsia"/>
          <w:szCs w:val="21"/>
        </w:rPr>
        <w:t>4、暂停</w:t>
      </w:r>
      <w:r>
        <w:rPr>
          <w:rFonts w:ascii="宋体" w:hAnsi="宋体" w:cs="Arial" w:hint="eastAsia"/>
          <w:szCs w:val="21"/>
        </w:rPr>
        <w:t>或延迟披露基金相关信息</w:t>
      </w:r>
      <w:r>
        <w:rPr>
          <w:rFonts w:ascii="宋体" w:hAnsi="宋体" w:hint="eastAsia"/>
          <w:szCs w:val="21"/>
        </w:rPr>
        <w:t>的情形</w:t>
      </w:r>
    </w:p>
    <w:p w:rsidR="00420A6C" w:rsidRDefault="00420A6C">
      <w:pPr>
        <w:spacing w:line="360" w:lineRule="auto"/>
        <w:ind w:firstLineChars="200" w:firstLine="420"/>
        <w:rPr>
          <w:rFonts w:ascii="宋体" w:hAnsi="宋体"/>
          <w:szCs w:val="21"/>
        </w:rPr>
      </w:pPr>
      <w:r>
        <w:rPr>
          <w:rFonts w:ascii="宋体" w:hAnsi="宋体" w:hint="eastAsia"/>
          <w:szCs w:val="21"/>
        </w:rPr>
        <w:t>（1）基金投资涉及的证券交易市场遇法定节假日或因其他原因停市时；</w:t>
      </w:r>
    </w:p>
    <w:p w:rsidR="00420A6C" w:rsidRDefault="00420A6C">
      <w:pPr>
        <w:pStyle w:val="ac"/>
        <w:spacing w:after="78"/>
        <w:ind w:firstLine="420"/>
        <w:rPr>
          <w:rFonts w:ascii="宋体" w:hAnsi="宋体"/>
          <w:sz w:val="21"/>
          <w:szCs w:val="21"/>
        </w:rPr>
      </w:pPr>
      <w:r>
        <w:rPr>
          <w:rFonts w:ascii="宋体" w:hAnsi="宋体" w:hint="eastAsia"/>
          <w:sz w:val="21"/>
          <w:szCs w:val="21"/>
        </w:rPr>
        <w:lastRenderedPageBreak/>
        <w:t>（2）因不可抗力或其他情形致使基金管理人、基金托管人无法准确评估基金资产价值时；</w:t>
      </w:r>
    </w:p>
    <w:p w:rsidR="00420A6C" w:rsidRDefault="00420A6C">
      <w:pPr>
        <w:spacing w:line="360" w:lineRule="auto"/>
        <w:ind w:right="28" w:firstLineChars="200" w:firstLine="420"/>
        <w:rPr>
          <w:rFonts w:ascii="宋体" w:hAnsi="宋体"/>
          <w:szCs w:val="21"/>
        </w:rPr>
      </w:pPr>
      <w:r>
        <w:rPr>
          <w:rFonts w:ascii="宋体" w:hAnsi="宋体" w:hint="eastAsia"/>
          <w:szCs w:val="21"/>
        </w:rPr>
        <w:t>（3）中国证监会和《基金合同》认定的其他情形。</w:t>
      </w:r>
    </w:p>
    <w:p w:rsidR="00420A6C" w:rsidRDefault="00420A6C">
      <w:pPr>
        <w:spacing w:line="360" w:lineRule="auto"/>
        <w:ind w:right="28" w:firstLineChars="200" w:firstLine="420"/>
        <w:rPr>
          <w:rFonts w:ascii="宋体" w:hAnsi="宋体"/>
          <w:szCs w:val="21"/>
        </w:rPr>
      </w:pPr>
      <w:r>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420A6C" w:rsidRDefault="00420A6C">
      <w:pPr>
        <w:spacing w:line="360" w:lineRule="auto"/>
        <w:ind w:firstLineChars="200" w:firstLine="420"/>
        <w:rPr>
          <w:rFonts w:ascii="宋体" w:hAnsi="宋体"/>
          <w:szCs w:val="21"/>
        </w:rPr>
      </w:pPr>
      <w:r>
        <w:rPr>
          <w:rFonts w:ascii="宋体" w:hAnsi="宋体" w:hint="eastAsia"/>
          <w:szCs w:val="21"/>
        </w:rPr>
        <w:t>根据《信息披露办法》的要求，本基金信息披露的文件包括基金招募说明书、《基金合同》、基金托管协议、基金份额发售公告、《基金合同》生效公告、定期报告、临时报告、基金资产净值和基金份额净值等其他必要的公告文件，由基金管理人拟定并负责公布。</w:t>
      </w:r>
    </w:p>
    <w:p w:rsidR="00420A6C" w:rsidRDefault="00420A6C">
      <w:pPr>
        <w:spacing w:line="360" w:lineRule="auto"/>
        <w:ind w:firstLineChars="200" w:firstLine="420"/>
        <w:rPr>
          <w:rFonts w:ascii="宋体" w:hAnsi="宋体"/>
          <w:szCs w:val="21"/>
        </w:rPr>
      </w:pPr>
      <w:r>
        <w:rPr>
          <w:rFonts w:ascii="宋体" w:hAnsi="宋体" w:hint="eastAsia"/>
          <w:szCs w:val="21"/>
        </w:rPr>
        <w:t>基金托管人应当按照相关法律、行政法规、中国证监会的规定和《基金合同》的约定，对基金管理人编制的基金资产净值、基金份额净值、基金业绩表现数据、基金定期报告和更新的招募说明书等公开披露的相关基金信息进行复核、审查，并向基金管理人出具书面文件或者盖章确认。</w:t>
      </w:r>
    </w:p>
    <w:p w:rsidR="00420A6C" w:rsidRDefault="00420A6C">
      <w:pPr>
        <w:spacing w:line="360" w:lineRule="auto"/>
        <w:ind w:firstLineChars="200" w:firstLine="420"/>
        <w:rPr>
          <w:rFonts w:ascii="宋体" w:hAnsi="宋体"/>
          <w:szCs w:val="21"/>
        </w:rPr>
      </w:pPr>
      <w:r>
        <w:rPr>
          <w:rFonts w:ascii="宋体" w:hAnsi="宋体" w:hint="eastAsia"/>
          <w:szCs w:val="21"/>
        </w:rPr>
        <w:t>基金年度报告中的财务报告部分，经有证券、</w:t>
      </w:r>
      <w:r>
        <w:rPr>
          <w:rFonts w:ascii="宋体" w:hAnsi="宋体"/>
          <w:szCs w:val="21"/>
        </w:rPr>
        <w:t>期货</w:t>
      </w:r>
      <w:r>
        <w:rPr>
          <w:rFonts w:ascii="宋体" w:hAnsi="宋体" w:hint="eastAsia"/>
          <w:szCs w:val="21"/>
        </w:rPr>
        <w:t>相关业务资格的会计师事务所审计后，方可披露。</w:t>
      </w:r>
    </w:p>
    <w:p w:rsidR="00420A6C" w:rsidRDefault="00420A6C">
      <w:pPr>
        <w:spacing w:line="360" w:lineRule="auto"/>
        <w:ind w:firstLineChars="200" w:firstLine="420"/>
        <w:rPr>
          <w:rFonts w:ascii="宋体" w:hAnsi="宋体" w:cs="Arial"/>
          <w:szCs w:val="21"/>
        </w:rPr>
      </w:pPr>
      <w:r>
        <w:rPr>
          <w:rFonts w:ascii="宋体" w:hAnsi="宋体" w:cs="Arial" w:hint="eastAsia"/>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420A6C" w:rsidRDefault="00420A6C">
      <w:pPr>
        <w:spacing w:line="360" w:lineRule="auto"/>
        <w:ind w:firstLineChars="200" w:firstLine="420"/>
        <w:rPr>
          <w:rFonts w:ascii="宋体" w:hAnsi="宋体" w:cs="Arial"/>
          <w:szCs w:val="21"/>
        </w:rPr>
      </w:pPr>
      <w:r>
        <w:rPr>
          <w:rFonts w:ascii="宋体" w:hAnsi="宋体" w:cs="Arial" w:hint="eastAsia"/>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420A6C" w:rsidRDefault="00420A6C" w:rsidP="00D30E63">
      <w:pPr>
        <w:pStyle w:val="2"/>
        <w:keepNext w:val="0"/>
        <w:keepLines w:val="0"/>
        <w:tabs>
          <w:tab w:val="left"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D30E63">
        <w:rPr>
          <w:rFonts w:ascii="宋体" w:eastAsia="宋体" w:hAnsi="宋体" w:hint="eastAsia"/>
          <w:b w:val="0"/>
          <w:bCs w:val="0"/>
          <w:sz w:val="21"/>
          <w:szCs w:val="21"/>
        </w:rPr>
        <w:t>（四）实施</w:t>
      </w:r>
      <w:proofErr w:type="gramStart"/>
      <w:r w:rsidRPr="00D30E63">
        <w:rPr>
          <w:rFonts w:ascii="宋体" w:eastAsia="宋体" w:hAnsi="宋体" w:hint="eastAsia"/>
          <w:b w:val="0"/>
          <w:bCs w:val="0"/>
          <w:sz w:val="21"/>
          <w:szCs w:val="21"/>
        </w:rPr>
        <w:t>侧袋机制</w:t>
      </w:r>
      <w:proofErr w:type="gramEnd"/>
      <w:r w:rsidRPr="00D30E63">
        <w:rPr>
          <w:rFonts w:ascii="宋体" w:eastAsia="宋体" w:hAnsi="宋体" w:hint="eastAsia"/>
          <w:b w:val="0"/>
          <w:bCs w:val="0"/>
          <w:sz w:val="21"/>
          <w:szCs w:val="21"/>
        </w:rPr>
        <w:t>期间的信息披露</w:t>
      </w:r>
    </w:p>
    <w:p w:rsidR="00420A6C" w:rsidRPr="00C91D19" w:rsidRDefault="00420A6C" w:rsidP="00C91D19">
      <w:pPr>
        <w:spacing w:line="360" w:lineRule="auto"/>
        <w:ind w:firstLineChars="200" w:firstLine="420"/>
        <w:rPr>
          <w:rFonts w:ascii="宋体" w:hAnsi="宋体" w:cs="Arial"/>
          <w:szCs w:val="21"/>
        </w:rPr>
      </w:pPr>
      <w:r w:rsidRPr="00D30E63">
        <w:rPr>
          <w:rFonts w:ascii="宋体" w:hAnsi="宋体" w:cs="Arial" w:hint="eastAsia"/>
          <w:szCs w:val="21"/>
        </w:rPr>
        <w:t>本基金实施</w:t>
      </w:r>
      <w:proofErr w:type="gramStart"/>
      <w:r w:rsidRPr="00D30E63">
        <w:rPr>
          <w:rFonts w:ascii="宋体" w:hAnsi="宋体" w:cs="Arial" w:hint="eastAsia"/>
          <w:szCs w:val="21"/>
        </w:rPr>
        <w:t>侧袋机制</w:t>
      </w:r>
      <w:proofErr w:type="gramEnd"/>
      <w:r w:rsidRPr="00D30E63">
        <w:rPr>
          <w:rFonts w:ascii="宋体" w:hAnsi="宋体" w:cs="Arial" w:hint="eastAsia"/>
          <w:szCs w:val="21"/>
        </w:rPr>
        <w:t>的，相关信息披露义务人应当根据法律法规、基金合同和招募说明书的规定进行信息披露，详见招募说明书的规定。</w:t>
      </w:r>
    </w:p>
    <w:p w:rsidR="00420A6C" w:rsidRPr="00D30E63" w:rsidRDefault="00420A6C" w:rsidP="00D30E63">
      <w:pPr>
        <w:pStyle w:val="2"/>
        <w:keepNext w:val="0"/>
        <w:keepLines w:val="0"/>
        <w:tabs>
          <w:tab w:val="left"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D30E63">
        <w:rPr>
          <w:rFonts w:ascii="宋体" w:eastAsia="宋体" w:hAnsi="宋体" w:hint="eastAsia"/>
          <w:b w:val="0"/>
          <w:bCs w:val="0"/>
          <w:sz w:val="21"/>
          <w:szCs w:val="21"/>
        </w:rPr>
        <w:t>（五）暂停或延迟信息披露的情形</w:t>
      </w:r>
    </w:p>
    <w:p w:rsidR="00420A6C" w:rsidRDefault="00420A6C">
      <w:pPr>
        <w:spacing w:line="360" w:lineRule="auto"/>
        <w:ind w:firstLine="480"/>
        <w:rPr>
          <w:rFonts w:ascii="宋体" w:hAnsi="宋体"/>
          <w:szCs w:val="21"/>
        </w:rPr>
      </w:pPr>
      <w:r>
        <w:rPr>
          <w:rFonts w:ascii="宋体" w:hAnsi="宋体" w:hint="eastAsia"/>
          <w:szCs w:val="21"/>
        </w:rPr>
        <w:t>1.基金投资所涉及的证券交易所遇法定节假日或因其他原因暂停营业时；</w:t>
      </w:r>
    </w:p>
    <w:p w:rsidR="00420A6C" w:rsidRDefault="00420A6C">
      <w:pPr>
        <w:spacing w:line="360" w:lineRule="auto"/>
        <w:ind w:firstLine="480"/>
        <w:rPr>
          <w:rFonts w:ascii="宋体" w:hAnsi="宋体"/>
          <w:szCs w:val="21"/>
        </w:rPr>
      </w:pPr>
      <w:r>
        <w:rPr>
          <w:rFonts w:ascii="宋体" w:hAnsi="宋体" w:hint="eastAsia"/>
          <w:szCs w:val="21"/>
        </w:rPr>
        <w:t>2.发生暂停估值的情形；</w:t>
      </w:r>
    </w:p>
    <w:p w:rsidR="00420A6C" w:rsidRDefault="00420A6C">
      <w:pPr>
        <w:spacing w:line="360" w:lineRule="auto"/>
        <w:ind w:firstLine="480"/>
        <w:rPr>
          <w:rFonts w:ascii="宋体" w:hAnsi="宋体"/>
          <w:szCs w:val="21"/>
        </w:rPr>
      </w:pPr>
      <w:r>
        <w:rPr>
          <w:rFonts w:ascii="宋体" w:hAnsi="宋体" w:hint="eastAsia"/>
          <w:szCs w:val="21"/>
        </w:rPr>
        <w:t>3.不可抗力；</w:t>
      </w:r>
    </w:p>
    <w:p w:rsidR="00420A6C" w:rsidRDefault="00420A6C">
      <w:pPr>
        <w:spacing w:line="360" w:lineRule="auto"/>
        <w:ind w:firstLine="480"/>
        <w:rPr>
          <w:rFonts w:ascii="宋体" w:hAnsi="宋体"/>
          <w:szCs w:val="21"/>
        </w:rPr>
      </w:pPr>
      <w:r>
        <w:rPr>
          <w:rFonts w:ascii="宋体" w:hAnsi="宋体" w:hint="eastAsia"/>
          <w:szCs w:val="21"/>
        </w:rPr>
        <w:t>4.法律法规规定、中国证监会或《基金合同》认定的其他情形。</w:t>
      </w:r>
    </w:p>
    <w:p w:rsidR="00420A6C" w:rsidRDefault="00420A6C">
      <w:pPr>
        <w:pStyle w:val="1"/>
        <w:keepNext w:val="0"/>
        <w:keepLines w:val="0"/>
        <w:numPr>
          <w:ilvl w:val="0"/>
          <w:numId w:val="2"/>
        </w:numPr>
        <w:tabs>
          <w:tab w:val="left" w:pos="420"/>
          <w:tab w:val="left" w:pos="1922"/>
        </w:tabs>
        <w:autoSpaceDE w:val="0"/>
        <w:autoSpaceDN w:val="0"/>
        <w:adjustRightInd w:val="0"/>
        <w:spacing w:before="360" w:after="360"/>
        <w:textAlignment w:val="baseline"/>
        <w:rPr>
          <w:rFonts w:ascii="宋体" w:eastAsia="宋体" w:hAnsi="宋体" w:cs="Arial"/>
          <w:sz w:val="30"/>
          <w:szCs w:val="30"/>
        </w:rPr>
      </w:pPr>
      <w:bookmarkStart w:id="67" w:name="_Toc382819125"/>
      <w:r>
        <w:rPr>
          <w:rFonts w:ascii="宋体" w:eastAsia="宋体" w:hAnsi="宋体" w:cs="Arial" w:hint="eastAsia"/>
          <w:sz w:val="30"/>
          <w:szCs w:val="30"/>
        </w:rPr>
        <w:lastRenderedPageBreak/>
        <w:t>基金费用</w:t>
      </w:r>
      <w:bookmarkEnd w:id="67"/>
    </w:p>
    <w:p w:rsidR="00420A6C" w:rsidRDefault="00420A6C">
      <w:pPr>
        <w:pStyle w:val="1"/>
        <w:keepNext w:val="0"/>
        <w:keepLines w:val="0"/>
        <w:numPr>
          <w:ilvl w:val="0"/>
          <w:numId w:val="0"/>
        </w:numPr>
        <w:tabs>
          <w:tab w:val="left" w:pos="420"/>
          <w:tab w:val="left" w:pos="1922"/>
        </w:tabs>
        <w:autoSpaceDE w:val="0"/>
        <w:autoSpaceDN w:val="0"/>
        <w:adjustRightInd w:val="0"/>
        <w:spacing w:before="360" w:after="360"/>
        <w:ind w:left="288"/>
        <w:jc w:val="both"/>
        <w:textAlignment w:val="baseline"/>
        <w:rPr>
          <w:rFonts w:ascii="宋体" w:eastAsia="宋体" w:hAnsi="宋体"/>
          <w:b w:val="0"/>
          <w:kern w:val="2"/>
          <w:sz w:val="21"/>
          <w:szCs w:val="21"/>
          <w:lang w:val="en-US"/>
        </w:rPr>
      </w:pPr>
      <w:r>
        <w:rPr>
          <w:rFonts w:ascii="宋体" w:eastAsia="宋体" w:hAnsi="宋体" w:hint="eastAsia"/>
          <w:b w:val="0"/>
          <w:kern w:val="2"/>
          <w:sz w:val="21"/>
          <w:szCs w:val="21"/>
          <w:lang w:val="en-US"/>
        </w:rPr>
        <w:t>基金费用按照《基金合同》的约定计提和支付。</w:t>
      </w:r>
      <w:bookmarkStart w:id="68" w:name="_Toc382819126"/>
    </w:p>
    <w:p w:rsidR="00420A6C" w:rsidRDefault="00420A6C">
      <w:pPr>
        <w:pStyle w:val="1"/>
        <w:keepNext w:val="0"/>
        <w:keepLines w:val="0"/>
        <w:numPr>
          <w:ilvl w:val="0"/>
          <w:numId w:val="2"/>
        </w:numPr>
        <w:tabs>
          <w:tab w:val="left" w:pos="420"/>
          <w:tab w:val="left" w:pos="1922"/>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hint="eastAsia"/>
          <w:sz w:val="30"/>
          <w:szCs w:val="30"/>
        </w:rPr>
        <w:t>基金份额持有人名册的保管</w:t>
      </w:r>
      <w:bookmarkEnd w:id="68"/>
    </w:p>
    <w:p w:rsidR="00420A6C" w:rsidRDefault="00420A6C">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420A6C" w:rsidRDefault="00420A6C">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基金登记机构根据基金管理人的指令编制和保管</w:t>
      </w:r>
      <w:r>
        <w:rPr>
          <w:rFonts w:ascii="宋体" w:hAnsi="宋体" w:hint="eastAsia"/>
          <w:szCs w:val="21"/>
        </w:rPr>
        <w:t>，基金管理人应按照目前相关规则保管基金份额持有人名册。保管方式可以采用电子或文档的形式。保管期限为15年，法律法规或监管部门另有规定的除外。</w:t>
      </w:r>
    </w:p>
    <w:p w:rsidR="00420A6C" w:rsidRDefault="00420A6C">
      <w:pPr>
        <w:spacing w:line="360" w:lineRule="auto"/>
        <w:ind w:firstLineChars="200" w:firstLine="420"/>
        <w:rPr>
          <w:rFonts w:ascii="宋体" w:hAnsi="宋体" w:cs="Arial"/>
          <w:szCs w:val="21"/>
        </w:rPr>
      </w:pPr>
      <w:r>
        <w:rPr>
          <w:rFonts w:ascii="宋体" w:hAnsi="宋体" w:hint="eastAsia"/>
          <w:szCs w:val="21"/>
        </w:rPr>
        <w:t>在基金托管人编制中期报告和年度报告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rsidR="00420A6C" w:rsidRDefault="00420A6C">
      <w:pPr>
        <w:pStyle w:val="1"/>
        <w:keepNext w:val="0"/>
        <w:keepLines w:val="0"/>
        <w:numPr>
          <w:ilvl w:val="0"/>
          <w:numId w:val="2"/>
        </w:numPr>
        <w:tabs>
          <w:tab w:val="left" w:pos="420"/>
          <w:tab w:val="left" w:pos="1922"/>
        </w:tabs>
        <w:autoSpaceDE w:val="0"/>
        <w:autoSpaceDN w:val="0"/>
        <w:adjustRightInd w:val="0"/>
        <w:spacing w:before="360" w:after="360"/>
        <w:textAlignment w:val="baseline"/>
        <w:rPr>
          <w:rFonts w:ascii="宋体" w:eastAsia="宋体" w:hAnsi="宋体" w:cs="Arial"/>
          <w:sz w:val="30"/>
          <w:szCs w:val="30"/>
        </w:rPr>
      </w:pPr>
      <w:bookmarkStart w:id="69" w:name="_Toc382819127"/>
      <w:r>
        <w:rPr>
          <w:rFonts w:ascii="宋体" w:eastAsia="宋体" w:hAnsi="宋体" w:cs="Arial" w:hint="eastAsia"/>
          <w:sz w:val="30"/>
          <w:szCs w:val="30"/>
        </w:rPr>
        <w:t>基金有关文件和档案的保存</w:t>
      </w:r>
      <w:bookmarkEnd w:id="69"/>
    </w:p>
    <w:p w:rsidR="00420A6C" w:rsidRDefault="00420A6C">
      <w:pPr>
        <w:spacing w:line="360" w:lineRule="auto"/>
        <w:ind w:firstLineChars="200" w:firstLine="420"/>
        <w:rPr>
          <w:rFonts w:ascii="宋体" w:hAnsi="宋体" w:cs="Arial"/>
          <w:szCs w:val="21"/>
        </w:rPr>
      </w:pPr>
      <w:r>
        <w:rPr>
          <w:rFonts w:ascii="宋体" w:hAnsi="宋体" w:cs="Arial" w:hint="eastAsia"/>
          <w:szCs w:val="21"/>
        </w:rPr>
        <w:t>（一）档案保存</w:t>
      </w:r>
    </w:p>
    <w:p w:rsidR="00420A6C" w:rsidRDefault="00420A6C">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存期限不少于15年，法律法规或监管部门另有规定的除外。</w:t>
      </w:r>
    </w:p>
    <w:p w:rsidR="00420A6C" w:rsidRDefault="00420A6C">
      <w:pPr>
        <w:spacing w:line="360" w:lineRule="auto"/>
        <w:ind w:firstLineChars="200" w:firstLine="420"/>
        <w:rPr>
          <w:rFonts w:ascii="宋体" w:hAnsi="宋体" w:cs="Arial"/>
          <w:szCs w:val="21"/>
        </w:rPr>
      </w:pPr>
      <w:r>
        <w:rPr>
          <w:rFonts w:ascii="宋体" w:hAnsi="宋体" w:cs="Arial" w:hint="eastAsia"/>
          <w:szCs w:val="21"/>
        </w:rPr>
        <w:t>（二）合同档案的建立</w:t>
      </w:r>
    </w:p>
    <w:p w:rsidR="00420A6C" w:rsidRDefault="00420A6C">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1、基金管理人或基金托管人在签署与本基金有关的合同文本后，应及时按相关法律法规及本托管协议的规定将合同正本或副本提交对方。</w:t>
      </w:r>
    </w:p>
    <w:p w:rsidR="00420A6C" w:rsidRDefault="00420A6C">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rsidR="00420A6C" w:rsidRDefault="00420A6C">
      <w:pPr>
        <w:spacing w:line="360" w:lineRule="auto"/>
        <w:ind w:firstLineChars="200" w:firstLine="420"/>
        <w:rPr>
          <w:rFonts w:ascii="宋体" w:hAnsi="宋体" w:cs="Arial"/>
          <w:szCs w:val="21"/>
        </w:rPr>
      </w:pPr>
      <w:r>
        <w:rPr>
          <w:rFonts w:ascii="宋体" w:hAnsi="宋体" w:cs="Arial" w:hint="eastAsia"/>
          <w:szCs w:val="21"/>
        </w:rPr>
        <w:t>（三）变更与协助</w:t>
      </w:r>
    </w:p>
    <w:p w:rsidR="00420A6C" w:rsidRDefault="00420A6C">
      <w:pPr>
        <w:spacing w:line="360" w:lineRule="auto"/>
        <w:ind w:firstLineChars="200" w:firstLine="420"/>
        <w:rPr>
          <w:rFonts w:ascii="宋体" w:hAnsi="宋体"/>
          <w:szCs w:val="21"/>
        </w:rPr>
      </w:pPr>
      <w:proofErr w:type="gramStart"/>
      <w:r>
        <w:rPr>
          <w:rFonts w:ascii="宋体" w:hAnsi="宋体" w:cs="Arial" w:hint="eastAsia"/>
          <w:szCs w:val="21"/>
        </w:rPr>
        <w:lastRenderedPageBreak/>
        <w:t>若基金</w:t>
      </w:r>
      <w:proofErr w:type="gramEnd"/>
      <w:r>
        <w:rPr>
          <w:rFonts w:ascii="宋体" w:hAnsi="宋体" w:cs="Arial" w:hint="eastAsia"/>
          <w:szCs w:val="21"/>
        </w:rPr>
        <w:t>管理人和基金托管人发生变更，未变更的一方有义务协助变更后的接任人接收相应文件。</w:t>
      </w:r>
    </w:p>
    <w:p w:rsidR="00420A6C" w:rsidRDefault="00420A6C">
      <w:pPr>
        <w:pStyle w:val="1"/>
        <w:keepNext w:val="0"/>
        <w:keepLines w:val="0"/>
        <w:numPr>
          <w:ilvl w:val="0"/>
          <w:numId w:val="2"/>
        </w:numPr>
        <w:tabs>
          <w:tab w:val="left" w:pos="420"/>
          <w:tab w:val="left" w:pos="1922"/>
        </w:tabs>
        <w:autoSpaceDE w:val="0"/>
        <w:autoSpaceDN w:val="0"/>
        <w:adjustRightInd w:val="0"/>
        <w:spacing w:before="360" w:after="360"/>
        <w:textAlignment w:val="baseline"/>
        <w:rPr>
          <w:rFonts w:ascii="宋体" w:eastAsia="宋体" w:hAnsi="宋体" w:cs="Arial"/>
          <w:sz w:val="30"/>
          <w:szCs w:val="30"/>
        </w:rPr>
      </w:pPr>
      <w:bookmarkStart w:id="70" w:name="_Toc382819128"/>
      <w:r>
        <w:rPr>
          <w:rFonts w:ascii="宋体" w:eastAsia="宋体" w:hAnsi="宋体" w:cs="Arial" w:hint="eastAsia"/>
          <w:sz w:val="30"/>
          <w:szCs w:val="30"/>
        </w:rPr>
        <w:t>基金管理人和基金托管人的更换</w:t>
      </w:r>
      <w:bookmarkEnd w:id="70"/>
    </w:p>
    <w:p w:rsidR="00420A6C" w:rsidRDefault="00420A6C">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1" w:name="_Toc382819129"/>
      <w:r>
        <w:rPr>
          <w:rFonts w:ascii="宋体" w:eastAsia="宋体" w:hAnsi="宋体" w:cs="Arial" w:hint="eastAsia"/>
          <w:b w:val="0"/>
          <w:bCs w:val="0"/>
          <w:kern w:val="0"/>
          <w:sz w:val="21"/>
          <w:szCs w:val="21"/>
        </w:rPr>
        <w:t>（一）基金管理人的更换</w:t>
      </w:r>
      <w:bookmarkEnd w:id="71"/>
    </w:p>
    <w:p w:rsidR="00420A6C" w:rsidRDefault="00420A6C">
      <w:pPr>
        <w:spacing w:line="360" w:lineRule="auto"/>
        <w:ind w:firstLineChars="200" w:firstLine="420"/>
        <w:rPr>
          <w:rFonts w:ascii="宋体" w:hAnsi="宋体"/>
          <w:szCs w:val="21"/>
        </w:rPr>
      </w:pPr>
      <w:r>
        <w:rPr>
          <w:rFonts w:ascii="宋体" w:hAnsi="宋体" w:hint="eastAsia"/>
          <w:szCs w:val="21"/>
        </w:rPr>
        <w:t>1.基金管理人的更换条件</w:t>
      </w:r>
    </w:p>
    <w:p w:rsidR="00420A6C" w:rsidRDefault="00420A6C">
      <w:pPr>
        <w:spacing w:line="360" w:lineRule="auto"/>
        <w:ind w:firstLineChars="200" w:firstLine="420"/>
        <w:rPr>
          <w:rFonts w:ascii="宋体" w:hAnsi="宋体"/>
          <w:bCs/>
          <w:szCs w:val="21"/>
        </w:rPr>
      </w:pPr>
      <w:r>
        <w:rPr>
          <w:rFonts w:ascii="宋体" w:hAnsi="宋体"/>
          <w:bCs/>
          <w:szCs w:val="21"/>
        </w:rPr>
        <w:t>有下列情形之一的，基金管理人职责终止：</w:t>
      </w:r>
    </w:p>
    <w:p w:rsidR="00420A6C" w:rsidRDefault="00420A6C">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被依法取消基金管理资格；</w:t>
      </w:r>
    </w:p>
    <w:p w:rsidR="00420A6C" w:rsidRDefault="00420A6C">
      <w:pPr>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被基金份额持有人大会解任；</w:t>
      </w:r>
    </w:p>
    <w:p w:rsidR="00420A6C" w:rsidRDefault="00420A6C">
      <w:pPr>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依法解散、被依法撤销或被依法宣告破产；</w:t>
      </w:r>
    </w:p>
    <w:p w:rsidR="00420A6C" w:rsidRDefault="00420A6C">
      <w:pPr>
        <w:spacing w:line="360" w:lineRule="auto"/>
        <w:ind w:firstLineChars="200" w:firstLine="420"/>
        <w:rPr>
          <w:rFonts w:ascii="宋体" w:hAnsi="宋体"/>
          <w:bCs/>
          <w:szCs w:val="21"/>
        </w:rPr>
      </w:pPr>
      <w:r>
        <w:rPr>
          <w:rFonts w:ascii="宋体" w:hAnsi="宋体" w:hint="eastAsia"/>
          <w:bCs/>
          <w:szCs w:val="21"/>
        </w:rPr>
        <w:t>（4）法律法规及中国证监会规定的和《基金合同》约定的其他</w:t>
      </w:r>
      <w:r>
        <w:rPr>
          <w:rFonts w:ascii="宋体" w:hAnsi="宋体"/>
          <w:bCs/>
          <w:szCs w:val="21"/>
        </w:rPr>
        <w:t>情形。</w:t>
      </w:r>
    </w:p>
    <w:p w:rsidR="00420A6C" w:rsidRDefault="00420A6C">
      <w:pPr>
        <w:spacing w:line="360" w:lineRule="auto"/>
        <w:ind w:firstLineChars="200" w:firstLine="420"/>
        <w:rPr>
          <w:rFonts w:ascii="宋体" w:hAnsi="宋体"/>
          <w:szCs w:val="21"/>
        </w:rPr>
      </w:pPr>
      <w:r>
        <w:rPr>
          <w:rFonts w:ascii="宋体" w:hAnsi="宋体" w:hint="eastAsia"/>
          <w:szCs w:val="21"/>
        </w:rPr>
        <w:t>2.更换基金管理人的程序</w:t>
      </w:r>
    </w:p>
    <w:p w:rsidR="00420A6C" w:rsidRDefault="00420A6C">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提名：</w:t>
      </w:r>
      <w:proofErr w:type="gramStart"/>
      <w:r>
        <w:rPr>
          <w:rFonts w:ascii="宋体" w:hAnsi="宋体"/>
          <w:bCs/>
          <w:szCs w:val="21"/>
        </w:rPr>
        <w:t>新任基金</w:t>
      </w:r>
      <w:proofErr w:type="gramEnd"/>
      <w:r>
        <w:rPr>
          <w:rFonts w:ascii="宋体" w:hAnsi="宋体"/>
          <w:bCs/>
          <w:szCs w:val="21"/>
        </w:rPr>
        <w:t>管理人由基金托管人或由单独或合计持有</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）基金份额的基金份额持有人提名；</w:t>
      </w:r>
    </w:p>
    <w:p w:rsidR="00420A6C" w:rsidRDefault="00420A6C">
      <w:pPr>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决议：基金份额持有人大会在</w:t>
      </w:r>
      <w:proofErr w:type="gramStart"/>
      <w:r>
        <w:rPr>
          <w:rFonts w:ascii="宋体" w:hAnsi="宋体" w:hint="eastAsia"/>
          <w:bCs/>
          <w:szCs w:val="21"/>
        </w:rPr>
        <w:t>原</w:t>
      </w:r>
      <w:r>
        <w:rPr>
          <w:rFonts w:ascii="宋体" w:hAnsi="宋体"/>
          <w:bCs/>
          <w:szCs w:val="21"/>
        </w:rPr>
        <w:t>基金</w:t>
      </w:r>
      <w:proofErr w:type="gramEnd"/>
      <w:r>
        <w:rPr>
          <w:rFonts w:ascii="宋体" w:hAnsi="宋体"/>
          <w:bCs/>
          <w:szCs w:val="21"/>
        </w:rPr>
        <w:t>管理人职责终止后</w:t>
      </w:r>
      <w:r>
        <w:rPr>
          <w:rFonts w:ascii="宋体" w:hAnsi="宋体" w:hint="eastAsia"/>
          <w:bCs/>
          <w:szCs w:val="21"/>
        </w:rPr>
        <w:t>6</w:t>
      </w:r>
      <w:r>
        <w:rPr>
          <w:rFonts w:ascii="宋体" w:hAnsi="宋体"/>
          <w:bCs/>
          <w:szCs w:val="21"/>
        </w:rPr>
        <w:t>个月内对被提名的</w:t>
      </w:r>
      <w:proofErr w:type="gramStart"/>
      <w:r>
        <w:rPr>
          <w:rFonts w:ascii="宋体" w:hAnsi="宋体" w:hint="eastAsia"/>
          <w:bCs/>
          <w:szCs w:val="21"/>
        </w:rPr>
        <w:t>新任</w:t>
      </w:r>
      <w:r>
        <w:rPr>
          <w:rFonts w:ascii="宋体" w:hAnsi="宋体"/>
          <w:bCs/>
          <w:szCs w:val="21"/>
        </w:rPr>
        <w:t>基金</w:t>
      </w:r>
      <w:proofErr w:type="gramEnd"/>
      <w:r>
        <w:rPr>
          <w:rFonts w:ascii="宋体" w:hAnsi="宋体"/>
          <w:bCs/>
          <w:szCs w:val="21"/>
        </w:rPr>
        <w:t>管理人形成决议，该决议需经参加大会的基金份额持有人所持表决权的</w:t>
      </w:r>
      <w:r>
        <w:rPr>
          <w:rFonts w:ascii="宋体" w:hAnsi="宋体" w:hint="eastAsia"/>
          <w:bCs/>
          <w:szCs w:val="21"/>
        </w:rPr>
        <w:t>2/3</w:t>
      </w:r>
      <w:r>
        <w:rPr>
          <w:rFonts w:ascii="宋体" w:hAnsi="宋体"/>
          <w:bCs/>
          <w:szCs w:val="21"/>
        </w:rPr>
        <w:t>以上（含</w:t>
      </w:r>
      <w:r>
        <w:rPr>
          <w:rFonts w:ascii="宋体" w:hAnsi="宋体" w:hint="eastAsia"/>
          <w:bCs/>
          <w:szCs w:val="21"/>
        </w:rPr>
        <w:t>2/3</w:t>
      </w:r>
      <w:r>
        <w:rPr>
          <w:rFonts w:ascii="宋体" w:hAnsi="宋体"/>
          <w:bCs/>
          <w:szCs w:val="21"/>
        </w:rPr>
        <w:t>）表决通过</w:t>
      </w:r>
      <w:r>
        <w:rPr>
          <w:rFonts w:ascii="宋体" w:hAnsi="宋体" w:hint="eastAsia"/>
          <w:bCs/>
          <w:szCs w:val="21"/>
        </w:rPr>
        <w:t>，自表决通过之日起生效，</w:t>
      </w:r>
      <w:proofErr w:type="gramStart"/>
      <w:r>
        <w:rPr>
          <w:rFonts w:ascii="宋体" w:hAnsi="宋体" w:hint="eastAsia"/>
          <w:bCs/>
          <w:szCs w:val="21"/>
        </w:rPr>
        <w:t>新任基金</w:t>
      </w:r>
      <w:proofErr w:type="gramEnd"/>
      <w:r>
        <w:rPr>
          <w:rFonts w:ascii="宋体" w:hAnsi="宋体" w:hint="eastAsia"/>
          <w:bCs/>
          <w:szCs w:val="21"/>
        </w:rPr>
        <w:t>管理人应当符合法律法规及中国证监会规定的资格条件</w:t>
      </w:r>
      <w:r>
        <w:rPr>
          <w:rFonts w:ascii="宋体" w:hAnsi="宋体"/>
          <w:bCs/>
          <w:szCs w:val="21"/>
        </w:rPr>
        <w:t>；</w:t>
      </w:r>
    </w:p>
    <w:p w:rsidR="00420A6C" w:rsidRDefault="00420A6C">
      <w:pPr>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临时基金管理人：</w:t>
      </w:r>
      <w:proofErr w:type="gramStart"/>
      <w:r>
        <w:rPr>
          <w:rFonts w:ascii="宋体" w:hAnsi="宋体"/>
          <w:bCs/>
          <w:szCs w:val="21"/>
        </w:rPr>
        <w:t>新任基金</w:t>
      </w:r>
      <w:proofErr w:type="gramEnd"/>
      <w:r>
        <w:rPr>
          <w:rFonts w:ascii="宋体" w:hAnsi="宋体"/>
          <w:bCs/>
          <w:szCs w:val="21"/>
        </w:rPr>
        <w:t>管理人产生之前，由中国证监会指定临时基金管理人；</w:t>
      </w:r>
    </w:p>
    <w:p w:rsidR="00420A6C" w:rsidRDefault="00420A6C">
      <w:pPr>
        <w:spacing w:line="360" w:lineRule="auto"/>
        <w:ind w:firstLineChars="200" w:firstLine="420"/>
        <w:rPr>
          <w:rFonts w:ascii="宋体" w:hAnsi="宋体"/>
          <w:bCs/>
          <w:szCs w:val="21"/>
        </w:rPr>
      </w:pPr>
      <w:r>
        <w:rPr>
          <w:rFonts w:ascii="宋体" w:hAnsi="宋体" w:hint="eastAsia"/>
          <w:bCs/>
          <w:szCs w:val="21"/>
        </w:rPr>
        <w:t>（4）备案</w:t>
      </w:r>
      <w:r>
        <w:rPr>
          <w:rFonts w:ascii="宋体" w:hAnsi="宋体"/>
          <w:bCs/>
          <w:szCs w:val="21"/>
        </w:rPr>
        <w:t>：基金份额持有人大会选任</w:t>
      </w:r>
      <w:proofErr w:type="gramStart"/>
      <w:r>
        <w:rPr>
          <w:rFonts w:ascii="宋体" w:hAnsi="宋体" w:hint="eastAsia"/>
          <w:bCs/>
          <w:szCs w:val="21"/>
        </w:rPr>
        <w:t>新任</w:t>
      </w:r>
      <w:r>
        <w:rPr>
          <w:rFonts w:ascii="宋体" w:hAnsi="宋体"/>
          <w:bCs/>
          <w:szCs w:val="21"/>
        </w:rPr>
        <w:t>基金</w:t>
      </w:r>
      <w:proofErr w:type="gramEnd"/>
      <w:r>
        <w:rPr>
          <w:rFonts w:ascii="宋体" w:hAnsi="宋体"/>
          <w:bCs/>
          <w:szCs w:val="21"/>
        </w:rPr>
        <w:t>管理人的决议须</w:t>
      </w:r>
      <w:r>
        <w:rPr>
          <w:rFonts w:ascii="宋体" w:hAnsi="宋体" w:hint="eastAsia"/>
          <w:bCs/>
          <w:szCs w:val="21"/>
        </w:rPr>
        <w:t>报</w:t>
      </w:r>
      <w:r>
        <w:rPr>
          <w:rFonts w:ascii="宋体" w:hAnsi="宋体"/>
          <w:bCs/>
          <w:szCs w:val="21"/>
        </w:rPr>
        <w:t>中国证监会</w:t>
      </w:r>
      <w:r>
        <w:rPr>
          <w:rFonts w:ascii="宋体" w:hAnsi="宋体" w:hint="eastAsia"/>
          <w:bCs/>
          <w:szCs w:val="21"/>
        </w:rPr>
        <w:t>备案</w:t>
      </w:r>
      <w:r>
        <w:rPr>
          <w:rFonts w:ascii="宋体" w:hAnsi="宋体"/>
          <w:bCs/>
          <w:szCs w:val="21"/>
        </w:rPr>
        <w:t>；</w:t>
      </w:r>
    </w:p>
    <w:p w:rsidR="00420A6C" w:rsidRDefault="00420A6C">
      <w:pPr>
        <w:spacing w:line="360" w:lineRule="auto"/>
        <w:ind w:firstLineChars="200" w:firstLine="420"/>
        <w:rPr>
          <w:rFonts w:ascii="宋体" w:hAnsi="宋体"/>
          <w:bCs/>
          <w:szCs w:val="21"/>
        </w:rPr>
      </w:pPr>
      <w:r>
        <w:rPr>
          <w:rFonts w:ascii="宋体" w:hAnsi="宋体" w:hint="eastAsia"/>
          <w:bCs/>
          <w:szCs w:val="21"/>
        </w:rPr>
        <w:t>（5）</w:t>
      </w:r>
      <w:r>
        <w:rPr>
          <w:rFonts w:ascii="宋体" w:hAnsi="宋体"/>
          <w:bCs/>
          <w:szCs w:val="21"/>
        </w:rPr>
        <w:t>公告：基金管理人更换后，由基金托管人在</w:t>
      </w:r>
      <w:r>
        <w:rPr>
          <w:rFonts w:ascii="宋体" w:hAnsi="宋体" w:hint="eastAsia"/>
          <w:bCs/>
          <w:szCs w:val="21"/>
        </w:rPr>
        <w:t>更换基金管理人的基金份额持有人大会决议生效后依照《信息披露办法》的有关规定</w:t>
      </w:r>
      <w:r>
        <w:rPr>
          <w:rFonts w:ascii="宋体" w:hAnsi="宋体"/>
          <w:bCs/>
          <w:szCs w:val="21"/>
        </w:rPr>
        <w:t>在</w:t>
      </w:r>
      <w:r>
        <w:rPr>
          <w:rFonts w:ascii="宋体" w:hAnsi="宋体" w:hint="eastAsia"/>
          <w:bCs/>
          <w:szCs w:val="21"/>
        </w:rPr>
        <w:t>指定媒介</w:t>
      </w:r>
      <w:r>
        <w:rPr>
          <w:rFonts w:ascii="宋体" w:hAnsi="宋体"/>
          <w:bCs/>
          <w:szCs w:val="21"/>
        </w:rPr>
        <w:t>公告</w:t>
      </w:r>
      <w:r>
        <w:rPr>
          <w:rFonts w:ascii="宋体" w:hAnsi="宋体" w:hint="eastAsia"/>
          <w:bCs/>
          <w:szCs w:val="21"/>
        </w:rPr>
        <w:t>；</w:t>
      </w:r>
    </w:p>
    <w:p w:rsidR="00420A6C" w:rsidRDefault="00420A6C">
      <w:pPr>
        <w:spacing w:line="360" w:lineRule="auto"/>
        <w:ind w:firstLineChars="200" w:firstLine="420"/>
        <w:rPr>
          <w:rFonts w:ascii="宋体" w:hAnsi="宋体"/>
          <w:bCs/>
          <w:szCs w:val="21"/>
        </w:rPr>
      </w:pPr>
      <w:r>
        <w:rPr>
          <w:rFonts w:ascii="宋体" w:hAnsi="宋体" w:hint="eastAsia"/>
          <w:bCs/>
          <w:szCs w:val="21"/>
        </w:rPr>
        <w:t>（6）</w:t>
      </w:r>
      <w:r>
        <w:rPr>
          <w:rFonts w:ascii="宋体" w:hAnsi="宋体"/>
          <w:bCs/>
          <w:szCs w:val="21"/>
        </w:rPr>
        <w:t>交接：</w:t>
      </w:r>
      <w:proofErr w:type="gramStart"/>
      <w:r>
        <w:rPr>
          <w:rFonts w:ascii="宋体" w:hAnsi="宋体" w:hint="eastAsia"/>
          <w:bCs/>
          <w:szCs w:val="21"/>
        </w:rPr>
        <w:t>原</w:t>
      </w:r>
      <w:r>
        <w:rPr>
          <w:rFonts w:ascii="宋体" w:hAnsi="宋体"/>
          <w:bCs/>
          <w:szCs w:val="21"/>
        </w:rPr>
        <w:t>基金</w:t>
      </w:r>
      <w:proofErr w:type="gramEnd"/>
      <w:r>
        <w:rPr>
          <w:rFonts w:ascii="宋体" w:hAnsi="宋体"/>
          <w:bCs/>
          <w:szCs w:val="21"/>
        </w:rPr>
        <w:t>管理人职责终止的，应妥善保管基金管理业务资料，及时向临时基金管理人或</w:t>
      </w:r>
      <w:proofErr w:type="gramStart"/>
      <w:r>
        <w:rPr>
          <w:rFonts w:ascii="宋体" w:hAnsi="宋体"/>
          <w:bCs/>
          <w:szCs w:val="21"/>
        </w:rPr>
        <w:t>新任基金</w:t>
      </w:r>
      <w:proofErr w:type="gramEnd"/>
      <w:r>
        <w:rPr>
          <w:rFonts w:ascii="宋体" w:hAnsi="宋体"/>
          <w:bCs/>
          <w:szCs w:val="21"/>
        </w:rPr>
        <w:t>管理人办理基金管理业务的移交手续，临时基金管理人或</w:t>
      </w:r>
      <w:proofErr w:type="gramStart"/>
      <w:r>
        <w:rPr>
          <w:rFonts w:ascii="宋体" w:hAnsi="宋体"/>
          <w:bCs/>
          <w:szCs w:val="21"/>
        </w:rPr>
        <w:t>新任基金</w:t>
      </w:r>
      <w:proofErr w:type="gramEnd"/>
      <w:r>
        <w:rPr>
          <w:rFonts w:ascii="宋体" w:hAnsi="宋体"/>
          <w:bCs/>
          <w:szCs w:val="21"/>
        </w:rPr>
        <w:t>管理人应及时接收。</w:t>
      </w:r>
      <w:r>
        <w:rPr>
          <w:rFonts w:ascii="宋体" w:hAnsi="宋体" w:hint="eastAsia"/>
          <w:bCs/>
          <w:szCs w:val="21"/>
        </w:rPr>
        <w:t>临时基金管理人或</w:t>
      </w:r>
      <w:proofErr w:type="gramStart"/>
      <w:r>
        <w:rPr>
          <w:rFonts w:ascii="宋体" w:hAnsi="宋体"/>
          <w:bCs/>
          <w:szCs w:val="21"/>
        </w:rPr>
        <w:t>新任基金</w:t>
      </w:r>
      <w:proofErr w:type="gramEnd"/>
      <w:r>
        <w:rPr>
          <w:rFonts w:ascii="宋体" w:hAnsi="宋体"/>
          <w:bCs/>
          <w:szCs w:val="21"/>
        </w:rPr>
        <w:t>管理人应与基金托管人核对基金资产总值</w:t>
      </w:r>
      <w:r>
        <w:rPr>
          <w:rFonts w:ascii="宋体" w:hAnsi="宋体" w:hint="eastAsia"/>
          <w:bCs/>
          <w:szCs w:val="21"/>
        </w:rPr>
        <w:t>和净值</w:t>
      </w:r>
      <w:r>
        <w:rPr>
          <w:rFonts w:ascii="宋体" w:hAnsi="宋体"/>
          <w:bCs/>
          <w:szCs w:val="21"/>
        </w:rPr>
        <w:t>；</w:t>
      </w:r>
    </w:p>
    <w:p w:rsidR="00420A6C" w:rsidRDefault="00420A6C">
      <w:pPr>
        <w:spacing w:line="360" w:lineRule="auto"/>
        <w:ind w:firstLineChars="200" w:firstLine="420"/>
        <w:rPr>
          <w:rFonts w:ascii="宋体" w:hAnsi="宋体"/>
          <w:bCs/>
          <w:szCs w:val="21"/>
        </w:rPr>
      </w:pPr>
      <w:r>
        <w:rPr>
          <w:rFonts w:ascii="宋体" w:hAnsi="宋体" w:hint="eastAsia"/>
          <w:bCs/>
          <w:szCs w:val="21"/>
        </w:rPr>
        <w:t>（7）</w:t>
      </w:r>
      <w:r>
        <w:rPr>
          <w:rFonts w:ascii="宋体" w:hAnsi="宋体"/>
          <w:bCs/>
          <w:szCs w:val="21"/>
        </w:rPr>
        <w:t>审计：</w:t>
      </w:r>
      <w:proofErr w:type="gramStart"/>
      <w:r>
        <w:rPr>
          <w:rFonts w:ascii="宋体" w:hAnsi="宋体" w:hint="eastAsia"/>
          <w:bCs/>
          <w:szCs w:val="21"/>
        </w:rPr>
        <w:t>原</w:t>
      </w:r>
      <w:r>
        <w:rPr>
          <w:rFonts w:ascii="宋体" w:hAnsi="宋体"/>
          <w:bCs/>
          <w:szCs w:val="21"/>
        </w:rPr>
        <w:t>基金</w:t>
      </w:r>
      <w:proofErr w:type="gramEnd"/>
      <w:r>
        <w:rPr>
          <w:rFonts w:ascii="宋体" w:hAnsi="宋体"/>
          <w:bCs/>
          <w:szCs w:val="21"/>
        </w:rPr>
        <w:t>管理人职责终止的，应当按照法律法规规定聘请会计师事务所对基金财产进行审计，并将审计结果予以公告，同时报中国证监会备案</w:t>
      </w:r>
      <w:r>
        <w:rPr>
          <w:rFonts w:ascii="宋体" w:hAnsi="宋体" w:hint="eastAsia"/>
          <w:bCs/>
          <w:szCs w:val="21"/>
        </w:rPr>
        <w:t>；审计费用由基金资产承担；</w:t>
      </w:r>
    </w:p>
    <w:p w:rsidR="00420A6C" w:rsidRDefault="00420A6C">
      <w:pPr>
        <w:spacing w:line="360" w:lineRule="auto"/>
        <w:ind w:firstLineChars="200" w:firstLine="420"/>
        <w:rPr>
          <w:rFonts w:ascii="宋体" w:hAnsi="宋体"/>
          <w:bCs/>
          <w:szCs w:val="21"/>
        </w:rPr>
      </w:pPr>
      <w:r>
        <w:rPr>
          <w:rFonts w:ascii="宋体" w:hAnsi="宋体" w:hint="eastAsia"/>
          <w:bCs/>
          <w:szCs w:val="21"/>
        </w:rPr>
        <w:lastRenderedPageBreak/>
        <w:t>（8）</w:t>
      </w:r>
      <w:r>
        <w:rPr>
          <w:rFonts w:ascii="宋体" w:hAnsi="宋体"/>
          <w:bCs/>
          <w:szCs w:val="21"/>
        </w:rPr>
        <w:t>基金名称变更：基金管理人更换后，如果原任或</w:t>
      </w:r>
      <w:proofErr w:type="gramStart"/>
      <w:r>
        <w:rPr>
          <w:rFonts w:ascii="宋体" w:hAnsi="宋体"/>
          <w:bCs/>
          <w:szCs w:val="21"/>
        </w:rPr>
        <w:t>新任基金</w:t>
      </w:r>
      <w:proofErr w:type="gramEnd"/>
      <w:r>
        <w:rPr>
          <w:rFonts w:ascii="宋体" w:hAnsi="宋体"/>
          <w:bCs/>
          <w:szCs w:val="21"/>
        </w:rPr>
        <w:t>管理人要求，应按其要求替换或删除基金名称中与</w:t>
      </w:r>
      <w:proofErr w:type="gramStart"/>
      <w:r>
        <w:rPr>
          <w:rFonts w:ascii="宋体" w:hAnsi="宋体"/>
          <w:bCs/>
          <w:szCs w:val="21"/>
        </w:rPr>
        <w:t>原基金</w:t>
      </w:r>
      <w:proofErr w:type="gramEnd"/>
      <w:r>
        <w:rPr>
          <w:rFonts w:ascii="宋体" w:hAnsi="宋体"/>
          <w:bCs/>
          <w:szCs w:val="21"/>
        </w:rPr>
        <w:t>管理人有关的名称字样。</w:t>
      </w:r>
    </w:p>
    <w:p w:rsidR="00420A6C" w:rsidRDefault="00420A6C">
      <w:pPr>
        <w:spacing w:line="360" w:lineRule="auto"/>
        <w:ind w:firstLineChars="200" w:firstLine="420"/>
        <w:rPr>
          <w:rFonts w:ascii="宋体" w:hAnsi="宋体"/>
          <w:szCs w:val="21"/>
        </w:rPr>
      </w:pPr>
      <w:r>
        <w:rPr>
          <w:rFonts w:ascii="宋体" w:hAnsi="宋体" w:hint="eastAsia"/>
          <w:szCs w:val="21"/>
        </w:rPr>
        <w:t>3.原任基金管理人职责终止后，</w:t>
      </w:r>
      <w:r>
        <w:rPr>
          <w:rFonts w:ascii="宋体" w:hAnsi="宋体" w:hint="eastAsia"/>
          <w:bCs/>
          <w:szCs w:val="21"/>
        </w:rPr>
        <w:t>新任或临时基金管理人接收基金管理业务或新任或临时基金托管人接收基金财产和基金托管业务前，</w:t>
      </w:r>
      <w:proofErr w:type="gramStart"/>
      <w:r>
        <w:rPr>
          <w:rFonts w:ascii="宋体" w:hAnsi="宋体" w:hint="eastAsia"/>
          <w:bCs/>
          <w:szCs w:val="21"/>
        </w:rPr>
        <w:t>原基金</w:t>
      </w:r>
      <w:proofErr w:type="gramEnd"/>
      <w:r>
        <w:rPr>
          <w:rFonts w:ascii="宋体" w:hAnsi="宋体" w:hint="eastAsia"/>
          <w:bCs/>
          <w:szCs w:val="21"/>
        </w:rPr>
        <w:t>管理人应依据法律法规和基金合同的规定继续履行相关职责，并保证不做出对基金份额持有人的利益造成损害的行为。</w:t>
      </w:r>
      <w:proofErr w:type="gramStart"/>
      <w:r>
        <w:rPr>
          <w:rFonts w:ascii="宋体" w:hAnsi="宋体" w:hint="eastAsia"/>
          <w:szCs w:val="21"/>
        </w:rPr>
        <w:t>原基金</w:t>
      </w:r>
      <w:proofErr w:type="gramEnd"/>
      <w:r>
        <w:rPr>
          <w:rFonts w:ascii="宋体" w:hAnsi="宋体" w:hint="eastAsia"/>
          <w:szCs w:val="21"/>
        </w:rPr>
        <w:t>管理人在继续履行相关职责期间，仍有权按照</w:t>
      </w:r>
      <w:r>
        <w:rPr>
          <w:rFonts w:ascii="宋体" w:hAnsi="宋体" w:hint="eastAsia"/>
          <w:bCs/>
          <w:szCs w:val="21"/>
        </w:rPr>
        <w:t>基金</w:t>
      </w:r>
      <w:r>
        <w:rPr>
          <w:rFonts w:ascii="宋体" w:hAnsi="宋体" w:hint="eastAsia"/>
          <w:szCs w:val="21"/>
        </w:rPr>
        <w:t>合同的规定收取基金管理费。</w:t>
      </w:r>
    </w:p>
    <w:p w:rsidR="00420A6C" w:rsidRDefault="00420A6C">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2" w:name="_Toc382819130"/>
      <w:r>
        <w:rPr>
          <w:rFonts w:ascii="宋体" w:eastAsia="宋体" w:hAnsi="宋体" w:cs="Arial" w:hint="eastAsia"/>
          <w:b w:val="0"/>
          <w:bCs w:val="0"/>
          <w:kern w:val="0"/>
          <w:sz w:val="21"/>
          <w:szCs w:val="21"/>
        </w:rPr>
        <w:t>（二）基金托管人的更换</w:t>
      </w:r>
      <w:bookmarkEnd w:id="72"/>
    </w:p>
    <w:p w:rsidR="00420A6C" w:rsidRDefault="00420A6C">
      <w:pPr>
        <w:spacing w:line="360" w:lineRule="auto"/>
        <w:ind w:firstLineChars="200" w:firstLine="420"/>
        <w:rPr>
          <w:rFonts w:ascii="宋体" w:hAnsi="宋体"/>
          <w:szCs w:val="21"/>
        </w:rPr>
      </w:pPr>
      <w:r>
        <w:rPr>
          <w:rFonts w:ascii="宋体" w:hAnsi="宋体" w:hint="eastAsia"/>
          <w:szCs w:val="21"/>
        </w:rPr>
        <w:t>1.基金托管人的更换条件</w:t>
      </w:r>
    </w:p>
    <w:p w:rsidR="00420A6C" w:rsidRDefault="00420A6C">
      <w:pPr>
        <w:spacing w:line="360" w:lineRule="auto"/>
        <w:ind w:firstLineChars="200" w:firstLine="420"/>
        <w:rPr>
          <w:rFonts w:ascii="宋体" w:hAnsi="宋体"/>
          <w:bCs/>
          <w:szCs w:val="21"/>
        </w:rPr>
      </w:pPr>
      <w:r>
        <w:rPr>
          <w:rFonts w:ascii="宋体" w:hAnsi="宋体"/>
          <w:bCs/>
          <w:szCs w:val="21"/>
        </w:rPr>
        <w:t>有下列情形之一的，基金托管人职责终止：</w:t>
      </w:r>
    </w:p>
    <w:p w:rsidR="00420A6C" w:rsidRDefault="00420A6C">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被依法取消基金托管资格；</w:t>
      </w:r>
    </w:p>
    <w:p w:rsidR="00420A6C" w:rsidRDefault="00420A6C">
      <w:pPr>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被基金份额持有人大会解任；</w:t>
      </w:r>
    </w:p>
    <w:p w:rsidR="00420A6C" w:rsidRDefault="00420A6C">
      <w:pPr>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依法解散、被依法撤销或被依法宣告破产；</w:t>
      </w:r>
    </w:p>
    <w:p w:rsidR="00420A6C" w:rsidRDefault="00420A6C">
      <w:pPr>
        <w:spacing w:line="360" w:lineRule="auto"/>
        <w:ind w:firstLineChars="200" w:firstLine="420"/>
        <w:rPr>
          <w:rFonts w:ascii="宋体" w:hAnsi="宋体"/>
          <w:bCs/>
          <w:szCs w:val="21"/>
        </w:rPr>
      </w:pPr>
      <w:r>
        <w:rPr>
          <w:rFonts w:ascii="宋体" w:hAnsi="宋体" w:hint="eastAsia"/>
          <w:bCs/>
          <w:szCs w:val="21"/>
        </w:rPr>
        <w:t>（4）法律法规及中国证监会规定的和《基金合同》约定的其他</w:t>
      </w:r>
      <w:r>
        <w:rPr>
          <w:rFonts w:ascii="宋体" w:hAnsi="宋体"/>
          <w:bCs/>
          <w:szCs w:val="21"/>
        </w:rPr>
        <w:t>情形。</w:t>
      </w:r>
    </w:p>
    <w:p w:rsidR="00420A6C" w:rsidRDefault="00420A6C">
      <w:pPr>
        <w:spacing w:line="360" w:lineRule="auto"/>
        <w:ind w:firstLineChars="200" w:firstLine="420"/>
        <w:rPr>
          <w:rFonts w:ascii="宋体" w:hAnsi="宋体"/>
          <w:szCs w:val="21"/>
        </w:rPr>
      </w:pPr>
      <w:r>
        <w:rPr>
          <w:rFonts w:ascii="宋体" w:hAnsi="宋体" w:hint="eastAsia"/>
          <w:szCs w:val="21"/>
        </w:rPr>
        <w:t>2.更换基金托管人的程序</w:t>
      </w:r>
    </w:p>
    <w:p w:rsidR="00420A6C" w:rsidRDefault="00420A6C">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提名：</w:t>
      </w:r>
      <w:proofErr w:type="gramStart"/>
      <w:r>
        <w:rPr>
          <w:rFonts w:ascii="宋体" w:hAnsi="宋体"/>
          <w:bCs/>
          <w:szCs w:val="21"/>
        </w:rPr>
        <w:t>新任基金</w:t>
      </w:r>
      <w:proofErr w:type="gramEnd"/>
      <w:r>
        <w:rPr>
          <w:rFonts w:ascii="宋体" w:hAnsi="宋体"/>
          <w:bCs/>
          <w:szCs w:val="21"/>
        </w:rPr>
        <w:t>托管人由基金管理人或由单独或合计持有</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）基金份额的基金</w:t>
      </w:r>
      <w:r>
        <w:rPr>
          <w:rFonts w:ascii="宋体" w:hAnsi="宋体" w:hint="eastAsia"/>
          <w:bCs/>
          <w:szCs w:val="21"/>
        </w:rPr>
        <w:t>份额</w:t>
      </w:r>
      <w:r>
        <w:rPr>
          <w:rFonts w:ascii="宋体" w:hAnsi="宋体"/>
          <w:bCs/>
          <w:szCs w:val="21"/>
        </w:rPr>
        <w:t>持有人提名；</w:t>
      </w:r>
    </w:p>
    <w:p w:rsidR="00420A6C" w:rsidRDefault="00420A6C">
      <w:pPr>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决议：基金份额持有人大会在</w:t>
      </w:r>
      <w:proofErr w:type="gramStart"/>
      <w:r>
        <w:rPr>
          <w:rFonts w:ascii="宋体" w:hAnsi="宋体" w:hint="eastAsia"/>
          <w:bCs/>
          <w:szCs w:val="21"/>
        </w:rPr>
        <w:t>原</w:t>
      </w:r>
      <w:r>
        <w:rPr>
          <w:rFonts w:ascii="宋体" w:hAnsi="宋体"/>
          <w:bCs/>
          <w:szCs w:val="21"/>
        </w:rPr>
        <w:t>基金</w:t>
      </w:r>
      <w:proofErr w:type="gramEnd"/>
      <w:r>
        <w:rPr>
          <w:rFonts w:ascii="宋体" w:hAnsi="宋体"/>
          <w:bCs/>
          <w:szCs w:val="21"/>
        </w:rPr>
        <w:t>托管人职责终止后</w:t>
      </w:r>
      <w:r>
        <w:rPr>
          <w:rFonts w:ascii="宋体" w:hAnsi="宋体" w:hint="eastAsia"/>
          <w:bCs/>
          <w:szCs w:val="21"/>
        </w:rPr>
        <w:t>六</w:t>
      </w:r>
      <w:r>
        <w:rPr>
          <w:rFonts w:ascii="宋体" w:hAnsi="宋体"/>
          <w:bCs/>
          <w:szCs w:val="21"/>
        </w:rPr>
        <w:t>个月内对被提名的</w:t>
      </w:r>
      <w:proofErr w:type="gramStart"/>
      <w:r>
        <w:rPr>
          <w:rFonts w:ascii="宋体" w:hAnsi="宋体" w:hint="eastAsia"/>
          <w:bCs/>
          <w:szCs w:val="21"/>
        </w:rPr>
        <w:t>新任</w:t>
      </w:r>
      <w:r>
        <w:rPr>
          <w:rFonts w:ascii="宋体" w:hAnsi="宋体"/>
          <w:bCs/>
          <w:szCs w:val="21"/>
        </w:rPr>
        <w:t>基金</w:t>
      </w:r>
      <w:proofErr w:type="gramEnd"/>
      <w:r>
        <w:rPr>
          <w:rFonts w:ascii="宋体" w:hAnsi="宋体"/>
          <w:bCs/>
          <w:szCs w:val="21"/>
        </w:rPr>
        <w:t>托管人形成决议，该决议需经参加大会的基金份额持有人所持表决权的</w:t>
      </w:r>
      <w:r>
        <w:rPr>
          <w:rFonts w:ascii="宋体" w:hAnsi="宋体" w:hint="eastAsia"/>
          <w:bCs/>
          <w:szCs w:val="21"/>
        </w:rPr>
        <w:t>2/3</w:t>
      </w:r>
      <w:r>
        <w:rPr>
          <w:rFonts w:ascii="宋体" w:hAnsi="宋体"/>
          <w:bCs/>
          <w:szCs w:val="21"/>
        </w:rPr>
        <w:t>以上（含</w:t>
      </w:r>
      <w:r>
        <w:rPr>
          <w:rFonts w:ascii="宋体" w:hAnsi="宋体" w:hint="eastAsia"/>
          <w:bCs/>
          <w:szCs w:val="21"/>
        </w:rPr>
        <w:t>2/3</w:t>
      </w:r>
      <w:r>
        <w:rPr>
          <w:rFonts w:ascii="宋体" w:hAnsi="宋体"/>
          <w:bCs/>
          <w:szCs w:val="21"/>
        </w:rPr>
        <w:t>）表决通过</w:t>
      </w:r>
      <w:r>
        <w:rPr>
          <w:rFonts w:ascii="宋体" w:hAnsi="宋体" w:hint="eastAsia"/>
          <w:bCs/>
          <w:szCs w:val="21"/>
        </w:rPr>
        <w:t>，自表决通过之日起生效，</w:t>
      </w:r>
      <w:proofErr w:type="gramStart"/>
      <w:r>
        <w:rPr>
          <w:rFonts w:ascii="宋体" w:hAnsi="宋体" w:hint="eastAsia"/>
          <w:bCs/>
          <w:szCs w:val="21"/>
        </w:rPr>
        <w:t>新任基金</w:t>
      </w:r>
      <w:proofErr w:type="gramEnd"/>
      <w:r>
        <w:rPr>
          <w:rFonts w:ascii="宋体" w:hAnsi="宋体" w:hint="eastAsia"/>
          <w:bCs/>
          <w:szCs w:val="21"/>
        </w:rPr>
        <w:t>托管人应当符合法律法规及中国证监会规定的资格条件</w:t>
      </w:r>
      <w:r>
        <w:rPr>
          <w:rFonts w:ascii="宋体" w:hAnsi="宋体"/>
          <w:bCs/>
          <w:szCs w:val="21"/>
        </w:rPr>
        <w:t>；</w:t>
      </w:r>
    </w:p>
    <w:p w:rsidR="00420A6C" w:rsidRDefault="00420A6C">
      <w:pPr>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临时基金托管人：</w:t>
      </w:r>
      <w:proofErr w:type="gramStart"/>
      <w:r>
        <w:rPr>
          <w:rFonts w:ascii="宋体" w:hAnsi="宋体"/>
          <w:bCs/>
          <w:szCs w:val="21"/>
        </w:rPr>
        <w:t>新任基金</w:t>
      </w:r>
      <w:proofErr w:type="gramEnd"/>
      <w:r>
        <w:rPr>
          <w:rFonts w:ascii="宋体" w:hAnsi="宋体"/>
          <w:bCs/>
          <w:szCs w:val="21"/>
        </w:rPr>
        <w:t>托管人产生之前，由中国证监会指定临时基金托管人；</w:t>
      </w:r>
    </w:p>
    <w:p w:rsidR="00420A6C" w:rsidRDefault="00420A6C">
      <w:pPr>
        <w:spacing w:line="360" w:lineRule="auto"/>
        <w:ind w:firstLineChars="200" w:firstLine="420"/>
        <w:rPr>
          <w:rFonts w:ascii="宋体" w:hAnsi="宋体"/>
          <w:bCs/>
          <w:szCs w:val="21"/>
        </w:rPr>
      </w:pPr>
      <w:r>
        <w:rPr>
          <w:rFonts w:ascii="宋体" w:hAnsi="宋体" w:hint="eastAsia"/>
          <w:bCs/>
          <w:szCs w:val="21"/>
        </w:rPr>
        <w:t>（4）备案</w:t>
      </w:r>
      <w:r>
        <w:rPr>
          <w:rFonts w:ascii="宋体" w:hAnsi="宋体"/>
          <w:bCs/>
          <w:szCs w:val="21"/>
        </w:rPr>
        <w:t>：基金份额持有人大会</w:t>
      </w:r>
      <w:r>
        <w:rPr>
          <w:rFonts w:ascii="宋体" w:hAnsi="宋体" w:hint="eastAsia"/>
          <w:bCs/>
          <w:szCs w:val="21"/>
        </w:rPr>
        <w:t>选任</w:t>
      </w:r>
      <w:proofErr w:type="gramStart"/>
      <w:r>
        <w:rPr>
          <w:rFonts w:ascii="宋体" w:hAnsi="宋体" w:hint="eastAsia"/>
          <w:bCs/>
          <w:szCs w:val="21"/>
        </w:rPr>
        <w:t>新任</w:t>
      </w:r>
      <w:r>
        <w:rPr>
          <w:rFonts w:ascii="宋体" w:hAnsi="宋体"/>
          <w:bCs/>
          <w:szCs w:val="21"/>
        </w:rPr>
        <w:t>基金</w:t>
      </w:r>
      <w:proofErr w:type="gramEnd"/>
      <w:r>
        <w:rPr>
          <w:rFonts w:ascii="宋体" w:hAnsi="宋体"/>
          <w:bCs/>
          <w:szCs w:val="21"/>
        </w:rPr>
        <w:t>托管人的决议须</w:t>
      </w:r>
      <w:r>
        <w:rPr>
          <w:rFonts w:ascii="宋体" w:hAnsi="宋体" w:hint="eastAsia"/>
          <w:bCs/>
          <w:szCs w:val="21"/>
        </w:rPr>
        <w:t>报</w:t>
      </w:r>
      <w:r>
        <w:rPr>
          <w:rFonts w:ascii="宋体" w:hAnsi="宋体"/>
          <w:bCs/>
          <w:szCs w:val="21"/>
        </w:rPr>
        <w:t>中国证监会</w:t>
      </w:r>
      <w:r>
        <w:rPr>
          <w:rFonts w:ascii="宋体" w:hAnsi="宋体" w:hint="eastAsia"/>
          <w:bCs/>
          <w:szCs w:val="21"/>
        </w:rPr>
        <w:t>备案</w:t>
      </w:r>
      <w:r>
        <w:rPr>
          <w:rFonts w:ascii="宋体" w:hAnsi="宋体"/>
          <w:bCs/>
          <w:szCs w:val="21"/>
        </w:rPr>
        <w:t>；</w:t>
      </w:r>
    </w:p>
    <w:p w:rsidR="00420A6C" w:rsidRDefault="00420A6C">
      <w:pPr>
        <w:spacing w:line="360" w:lineRule="auto"/>
        <w:ind w:firstLineChars="200" w:firstLine="420"/>
        <w:rPr>
          <w:rFonts w:ascii="宋体" w:hAnsi="宋体"/>
          <w:bCs/>
          <w:szCs w:val="21"/>
        </w:rPr>
      </w:pPr>
      <w:r>
        <w:rPr>
          <w:rFonts w:ascii="宋体" w:hAnsi="宋体" w:hint="eastAsia"/>
          <w:bCs/>
          <w:szCs w:val="21"/>
        </w:rPr>
        <w:t>（5）</w:t>
      </w:r>
      <w:r>
        <w:rPr>
          <w:rFonts w:ascii="宋体" w:hAnsi="宋体"/>
          <w:bCs/>
          <w:szCs w:val="21"/>
        </w:rPr>
        <w:t>公告：基金托管人更换后，由基金管理人在</w:t>
      </w:r>
      <w:r>
        <w:rPr>
          <w:rFonts w:ascii="宋体" w:hAnsi="宋体" w:hint="eastAsia"/>
          <w:bCs/>
          <w:szCs w:val="21"/>
        </w:rPr>
        <w:t>更换基金托管人的基金份额持有人大会决议生效后依照《信息披露办法》的有关规定</w:t>
      </w:r>
      <w:r>
        <w:rPr>
          <w:rFonts w:ascii="宋体" w:hAnsi="宋体"/>
          <w:bCs/>
          <w:szCs w:val="21"/>
        </w:rPr>
        <w:t>在</w:t>
      </w:r>
      <w:r>
        <w:rPr>
          <w:rFonts w:ascii="宋体" w:hAnsi="宋体" w:hint="eastAsia"/>
          <w:bCs/>
          <w:szCs w:val="21"/>
        </w:rPr>
        <w:t>指定媒介</w:t>
      </w:r>
      <w:r>
        <w:rPr>
          <w:rFonts w:ascii="宋体" w:hAnsi="宋体"/>
          <w:bCs/>
          <w:szCs w:val="21"/>
        </w:rPr>
        <w:t>公告</w:t>
      </w:r>
      <w:r>
        <w:rPr>
          <w:rFonts w:ascii="宋体" w:hAnsi="宋体" w:hint="eastAsia"/>
          <w:bCs/>
          <w:szCs w:val="21"/>
        </w:rPr>
        <w:t>；</w:t>
      </w:r>
    </w:p>
    <w:p w:rsidR="00420A6C" w:rsidRDefault="00420A6C">
      <w:pPr>
        <w:spacing w:line="360" w:lineRule="auto"/>
        <w:ind w:firstLineChars="200" w:firstLine="420"/>
        <w:rPr>
          <w:rFonts w:ascii="宋体" w:hAnsi="宋体"/>
          <w:bCs/>
          <w:szCs w:val="21"/>
        </w:rPr>
      </w:pPr>
      <w:r>
        <w:rPr>
          <w:rFonts w:ascii="宋体" w:hAnsi="宋体" w:hint="eastAsia"/>
          <w:bCs/>
          <w:szCs w:val="21"/>
        </w:rPr>
        <w:t>（6）</w:t>
      </w:r>
      <w:r>
        <w:rPr>
          <w:rFonts w:ascii="宋体" w:hAnsi="宋体"/>
          <w:bCs/>
          <w:szCs w:val="21"/>
        </w:rPr>
        <w:t>交接：</w:t>
      </w:r>
      <w:proofErr w:type="gramStart"/>
      <w:r>
        <w:rPr>
          <w:rFonts w:ascii="宋体" w:hAnsi="宋体" w:hint="eastAsia"/>
          <w:bCs/>
          <w:szCs w:val="21"/>
        </w:rPr>
        <w:t>原</w:t>
      </w:r>
      <w:r>
        <w:rPr>
          <w:rFonts w:ascii="宋体" w:hAnsi="宋体"/>
          <w:bCs/>
          <w:szCs w:val="21"/>
        </w:rPr>
        <w:t>基金</w:t>
      </w:r>
      <w:proofErr w:type="gramEnd"/>
      <w:r>
        <w:rPr>
          <w:rFonts w:ascii="宋体" w:hAnsi="宋体"/>
          <w:bCs/>
          <w:szCs w:val="21"/>
        </w:rPr>
        <w:t>托管人职责终止的，应当妥善保管基金财产和基金托管业务资料，及时办理基金财产和基金托管业务的移交手续，</w:t>
      </w:r>
      <w:proofErr w:type="gramStart"/>
      <w:r>
        <w:rPr>
          <w:rFonts w:ascii="宋体" w:hAnsi="宋体"/>
          <w:bCs/>
          <w:szCs w:val="21"/>
        </w:rPr>
        <w:t>新任基金</w:t>
      </w:r>
      <w:proofErr w:type="gramEnd"/>
      <w:r>
        <w:rPr>
          <w:rFonts w:ascii="宋体" w:hAnsi="宋体"/>
          <w:bCs/>
          <w:szCs w:val="21"/>
        </w:rPr>
        <w:t>托管人或者临时基金托管人应当及时接收。</w:t>
      </w:r>
      <w:r>
        <w:rPr>
          <w:rFonts w:ascii="宋体" w:hAnsi="宋体" w:hint="eastAsia"/>
          <w:bCs/>
          <w:szCs w:val="21"/>
        </w:rPr>
        <w:t>临时基金托管人或</w:t>
      </w:r>
      <w:proofErr w:type="gramStart"/>
      <w:r>
        <w:rPr>
          <w:rFonts w:ascii="宋体" w:hAnsi="宋体"/>
          <w:bCs/>
          <w:szCs w:val="21"/>
        </w:rPr>
        <w:t>新任基金</w:t>
      </w:r>
      <w:proofErr w:type="gramEnd"/>
      <w:r>
        <w:rPr>
          <w:rFonts w:ascii="宋体" w:hAnsi="宋体"/>
          <w:bCs/>
          <w:szCs w:val="21"/>
        </w:rPr>
        <w:t>托管人与基金管理人核对基金资产总值</w:t>
      </w:r>
      <w:r>
        <w:rPr>
          <w:rFonts w:ascii="宋体" w:hAnsi="宋体" w:hint="eastAsia"/>
          <w:szCs w:val="21"/>
        </w:rPr>
        <w:t>和净值</w:t>
      </w:r>
      <w:r>
        <w:rPr>
          <w:rFonts w:ascii="宋体" w:hAnsi="宋体"/>
          <w:bCs/>
          <w:szCs w:val="21"/>
        </w:rPr>
        <w:t>；</w:t>
      </w:r>
    </w:p>
    <w:p w:rsidR="00420A6C" w:rsidRDefault="00420A6C">
      <w:pPr>
        <w:spacing w:line="360" w:lineRule="auto"/>
        <w:ind w:firstLineChars="200" w:firstLine="420"/>
        <w:rPr>
          <w:rFonts w:ascii="宋体" w:hAnsi="宋体"/>
          <w:bCs/>
          <w:szCs w:val="21"/>
        </w:rPr>
      </w:pPr>
      <w:r>
        <w:rPr>
          <w:rFonts w:ascii="宋体" w:hAnsi="宋体" w:hint="eastAsia"/>
          <w:bCs/>
          <w:szCs w:val="21"/>
        </w:rPr>
        <w:t>（7）</w:t>
      </w:r>
      <w:r>
        <w:rPr>
          <w:rFonts w:ascii="宋体" w:hAnsi="宋体"/>
          <w:bCs/>
          <w:szCs w:val="21"/>
        </w:rPr>
        <w:t>审计：</w:t>
      </w:r>
      <w:proofErr w:type="gramStart"/>
      <w:r>
        <w:rPr>
          <w:rFonts w:ascii="宋体" w:hAnsi="宋体" w:hint="eastAsia"/>
          <w:bCs/>
          <w:szCs w:val="21"/>
        </w:rPr>
        <w:t>原</w:t>
      </w:r>
      <w:r>
        <w:rPr>
          <w:rFonts w:ascii="宋体" w:hAnsi="宋体"/>
          <w:bCs/>
          <w:szCs w:val="21"/>
        </w:rPr>
        <w:t>基金</w:t>
      </w:r>
      <w:proofErr w:type="gramEnd"/>
      <w:r>
        <w:rPr>
          <w:rFonts w:ascii="宋体" w:hAnsi="宋体"/>
          <w:bCs/>
          <w:szCs w:val="21"/>
        </w:rPr>
        <w:t>托管人职责终止的，应当按照法律法规规定聘请会计师事务所对基金财产进行审计，并将审计结果予以公告，同时报中国证监会备案。</w:t>
      </w:r>
      <w:r>
        <w:rPr>
          <w:rFonts w:ascii="宋体" w:hAnsi="宋体" w:hint="eastAsia"/>
          <w:bCs/>
          <w:szCs w:val="21"/>
        </w:rPr>
        <w:t>审计费用</w:t>
      </w:r>
      <w:r>
        <w:rPr>
          <w:rFonts w:ascii="宋体" w:hAnsi="宋体" w:hint="eastAsia"/>
          <w:szCs w:val="21"/>
        </w:rPr>
        <w:t>由基金</w:t>
      </w:r>
      <w:r>
        <w:rPr>
          <w:rFonts w:ascii="宋体" w:hAnsi="宋体" w:hint="eastAsia"/>
          <w:bCs/>
          <w:szCs w:val="21"/>
        </w:rPr>
        <w:t>资产承担。</w:t>
      </w:r>
    </w:p>
    <w:p w:rsidR="00420A6C" w:rsidRDefault="00420A6C">
      <w:pPr>
        <w:spacing w:line="360" w:lineRule="auto"/>
        <w:ind w:firstLineChars="225" w:firstLine="473"/>
        <w:rPr>
          <w:rFonts w:ascii="宋体" w:hAnsi="宋体"/>
          <w:szCs w:val="21"/>
        </w:rPr>
      </w:pPr>
      <w:r>
        <w:rPr>
          <w:rFonts w:ascii="宋体" w:hAnsi="宋体" w:hint="eastAsia"/>
          <w:szCs w:val="21"/>
        </w:rPr>
        <w:lastRenderedPageBreak/>
        <w:t>3.</w:t>
      </w:r>
      <w:proofErr w:type="gramStart"/>
      <w:r>
        <w:rPr>
          <w:rFonts w:ascii="宋体" w:hAnsi="宋体" w:hint="eastAsia"/>
          <w:szCs w:val="21"/>
        </w:rPr>
        <w:t>原基金</w:t>
      </w:r>
      <w:proofErr w:type="gramEnd"/>
      <w:r>
        <w:rPr>
          <w:rFonts w:ascii="宋体" w:hAnsi="宋体" w:hint="eastAsia"/>
          <w:szCs w:val="21"/>
        </w:rPr>
        <w:t>托管人职责终止后，</w:t>
      </w:r>
      <w:r>
        <w:rPr>
          <w:rFonts w:ascii="宋体" w:hAnsi="宋体" w:hint="eastAsia"/>
          <w:bCs/>
          <w:szCs w:val="21"/>
        </w:rPr>
        <w:t>新任或临时基金管理人接收基金管理业务或新任或临时基金托管人接收基金财产和基金托管业务前，</w:t>
      </w:r>
      <w:proofErr w:type="gramStart"/>
      <w:r>
        <w:rPr>
          <w:rFonts w:ascii="宋体" w:hAnsi="宋体" w:hint="eastAsia"/>
          <w:bCs/>
          <w:szCs w:val="21"/>
        </w:rPr>
        <w:t>原基金</w:t>
      </w:r>
      <w:proofErr w:type="gramEnd"/>
      <w:r>
        <w:rPr>
          <w:rFonts w:ascii="宋体" w:hAnsi="宋体" w:hint="eastAsia"/>
          <w:bCs/>
          <w:szCs w:val="21"/>
        </w:rPr>
        <w:t>托管人应依据法律法规和基金合同的规定继续履行相关职责，并保证不做出对基金份额持有人的利益造成损害的行为。</w:t>
      </w:r>
      <w:proofErr w:type="gramStart"/>
      <w:r>
        <w:rPr>
          <w:rFonts w:ascii="宋体" w:hAnsi="宋体" w:hint="eastAsia"/>
          <w:szCs w:val="21"/>
        </w:rPr>
        <w:t>原基金</w:t>
      </w:r>
      <w:proofErr w:type="gramEnd"/>
      <w:r>
        <w:rPr>
          <w:rFonts w:ascii="宋体" w:hAnsi="宋体" w:hint="eastAsia"/>
          <w:szCs w:val="21"/>
        </w:rPr>
        <w:t>托管人在继续履行相关职责期间，仍有权按照</w:t>
      </w:r>
      <w:r>
        <w:rPr>
          <w:rFonts w:ascii="宋体" w:hAnsi="宋体" w:hint="eastAsia"/>
          <w:bCs/>
          <w:szCs w:val="21"/>
        </w:rPr>
        <w:t>基金</w:t>
      </w:r>
      <w:r>
        <w:rPr>
          <w:rFonts w:ascii="宋体" w:hAnsi="宋体" w:hint="eastAsia"/>
          <w:szCs w:val="21"/>
        </w:rPr>
        <w:t>合同的规定收取基金托管费。</w:t>
      </w:r>
    </w:p>
    <w:p w:rsidR="00420A6C" w:rsidRDefault="00420A6C">
      <w:pPr>
        <w:spacing w:line="360" w:lineRule="auto"/>
        <w:ind w:firstLineChars="225" w:firstLine="473"/>
        <w:rPr>
          <w:rFonts w:ascii="宋体" w:hAnsi="宋体"/>
          <w:bCs/>
          <w:szCs w:val="21"/>
        </w:rPr>
      </w:pPr>
      <w:r>
        <w:rPr>
          <w:rFonts w:ascii="宋体" w:hAnsi="宋体" w:hint="eastAsia"/>
          <w:bCs/>
          <w:szCs w:val="21"/>
        </w:rPr>
        <w:t>（三）基金管理人和基金托管人的同时更换程序</w:t>
      </w:r>
    </w:p>
    <w:p w:rsidR="00420A6C" w:rsidRDefault="00420A6C">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、提名：如果基金管理人和基金托管人同时更换，由单独或合计持有基金总份额</w:t>
      </w:r>
      <w:r>
        <w:rPr>
          <w:rFonts w:ascii="宋体" w:hAnsi="宋体"/>
          <w:szCs w:val="21"/>
        </w:rPr>
        <w:t>10%</w:t>
      </w:r>
      <w:r>
        <w:rPr>
          <w:rFonts w:ascii="宋体" w:hAnsi="宋体" w:hint="eastAsia"/>
          <w:szCs w:val="21"/>
        </w:rPr>
        <w:t>以上（含</w:t>
      </w:r>
      <w:r>
        <w:rPr>
          <w:rFonts w:ascii="宋体" w:hAnsi="宋体"/>
          <w:szCs w:val="21"/>
        </w:rPr>
        <w:t>10%</w:t>
      </w:r>
      <w:r>
        <w:rPr>
          <w:rFonts w:ascii="宋体" w:hAnsi="宋体" w:hint="eastAsia"/>
          <w:szCs w:val="21"/>
        </w:rPr>
        <w:t>）的基金份额持有人提名新的基金管理人和基金托管人；</w:t>
      </w:r>
    </w:p>
    <w:p w:rsidR="00420A6C" w:rsidRDefault="00420A6C">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、基金管理人和基金托管人的更换分别按上述程序进行；</w:t>
      </w:r>
    </w:p>
    <w:p w:rsidR="00420A6C" w:rsidRDefault="00420A6C">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、公告：</w:t>
      </w:r>
      <w:proofErr w:type="gramStart"/>
      <w:r>
        <w:rPr>
          <w:rFonts w:ascii="宋体" w:hAnsi="宋体" w:hint="eastAsia"/>
          <w:szCs w:val="21"/>
        </w:rPr>
        <w:t>新任基金</w:t>
      </w:r>
      <w:proofErr w:type="gramEnd"/>
      <w:r>
        <w:rPr>
          <w:rFonts w:ascii="宋体" w:hAnsi="宋体" w:hint="eastAsia"/>
          <w:szCs w:val="21"/>
        </w:rPr>
        <w:t>管理人和</w:t>
      </w:r>
      <w:proofErr w:type="gramStart"/>
      <w:r>
        <w:rPr>
          <w:rFonts w:ascii="宋体" w:hAnsi="宋体" w:hint="eastAsia"/>
          <w:szCs w:val="21"/>
        </w:rPr>
        <w:t>新任基金</w:t>
      </w:r>
      <w:proofErr w:type="gramEnd"/>
      <w:r>
        <w:rPr>
          <w:rFonts w:ascii="宋体" w:hAnsi="宋体" w:hint="eastAsia"/>
          <w:szCs w:val="21"/>
        </w:rPr>
        <w:t>托管人应在更换基金管理人和基金托管人的基金份额持有人大会决议生效后依照《信息披露办法》的有关规定</w:t>
      </w:r>
      <w:r>
        <w:rPr>
          <w:rFonts w:ascii="宋体" w:hAnsi="宋体"/>
          <w:szCs w:val="21"/>
        </w:rPr>
        <w:t>在指定媒介上联合公告。</w:t>
      </w:r>
    </w:p>
    <w:p w:rsidR="00420A6C" w:rsidRDefault="00420A6C">
      <w:pPr>
        <w:pStyle w:val="1"/>
        <w:keepNext w:val="0"/>
        <w:keepLines w:val="0"/>
        <w:numPr>
          <w:ilvl w:val="0"/>
          <w:numId w:val="2"/>
        </w:numPr>
        <w:tabs>
          <w:tab w:val="left" w:pos="420"/>
          <w:tab w:val="left" w:pos="1922"/>
        </w:tabs>
        <w:autoSpaceDE w:val="0"/>
        <w:autoSpaceDN w:val="0"/>
        <w:adjustRightInd w:val="0"/>
        <w:spacing w:before="360" w:after="360"/>
        <w:textAlignment w:val="baseline"/>
        <w:rPr>
          <w:rFonts w:ascii="宋体" w:eastAsia="宋体" w:hAnsi="宋体" w:cs="Arial"/>
          <w:sz w:val="30"/>
          <w:szCs w:val="30"/>
        </w:rPr>
      </w:pPr>
      <w:bookmarkStart w:id="73" w:name="_Toc382819131"/>
      <w:r>
        <w:rPr>
          <w:rFonts w:ascii="宋体" w:eastAsia="宋体" w:hAnsi="宋体" w:cs="Arial" w:hint="eastAsia"/>
          <w:sz w:val="30"/>
          <w:szCs w:val="30"/>
        </w:rPr>
        <w:t>禁止行为</w:t>
      </w:r>
      <w:bookmarkEnd w:id="73"/>
    </w:p>
    <w:p w:rsidR="00420A6C" w:rsidRDefault="00420A6C">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rsidR="00420A6C" w:rsidRDefault="00420A6C">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rsidR="00420A6C" w:rsidRDefault="00420A6C">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rsidR="00420A6C" w:rsidRDefault="00420A6C">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rsidR="00420A6C" w:rsidRDefault="00420A6C">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rsidR="00420A6C" w:rsidRDefault="00420A6C">
      <w:pPr>
        <w:spacing w:line="360" w:lineRule="auto"/>
        <w:ind w:firstLineChars="225" w:firstLine="473"/>
        <w:rPr>
          <w:rFonts w:ascii="宋体" w:hAnsi="宋体"/>
          <w:szCs w:val="21"/>
        </w:rPr>
      </w:pPr>
      <w:r>
        <w:rPr>
          <w:rFonts w:ascii="宋体" w:hAnsi="宋体" w:hint="eastAsia"/>
          <w:szCs w:val="21"/>
        </w:rPr>
        <w:t>（五）基金管理人、基金托管人对他人泄漏基金经营过程中任何尚未按法律法规规定的方式公开披露的信息。</w:t>
      </w:r>
    </w:p>
    <w:p w:rsidR="00420A6C" w:rsidRDefault="00420A6C">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rsidR="00420A6C" w:rsidRDefault="00420A6C">
      <w:pPr>
        <w:spacing w:line="360" w:lineRule="auto"/>
        <w:ind w:firstLineChars="225" w:firstLine="473"/>
        <w:rPr>
          <w:rFonts w:ascii="宋体" w:hAnsi="宋体"/>
          <w:szCs w:val="21"/>
        </w:rPr>
      </w:pPr>
      <w:r>
        <w:rPr>
          <w:rFonts w:ascii="宋体" w:hAnsi="宋体" w:hint="eastAsia"/>
          <w:szCs w:val="21"/>
        </w:rPr>
        <w:t>（七）基金托管人对基金管理人的符合本托管协议约定的有效指令拖延或拒绝执行。</w:t>
      </w:r>
    </w:p>
    <w:p w:rsidR="00420A6C" w:rsidRDefault="00420A6C">
      <w:pPr>
        <w:spacing w:line="360" w:lineRule="auto"/>
        <w:ind w:firstLineChars="225" w:firstLine="473"/>
        <w:rPr>
          <w:rFonts w:ascii="宋体" w:hAnsi="宋体"/>
          <w:szCs w:val="21"/>
        </w:rPr>
      </w:pPr>
      <w:r>
        <w:rPr>
          <w:rFonts w:ascii="宋体" w:hAnsi="宋体" w:hint="eastAsia"/>
          <w:szCs w:val="21"/>
        </w:rPr>
        <w:t>（八）基金管理人、基金托管人在行政上、财务上不独立，其高级基金管理人员相互兼职。</w:t>
      </w:r>
    </w:p>
    <w:p w:rsidR="00420A6C" w:rsidRDefault="00420A6C">
      <w:pPr>
        <w:spacing w:line="360" w:lineRule="auto"/>
        <w:ind w:firstLineChars="225" w:firstLine="473"/>
        <w:rPr>
          <w:rFonts w:ascii="宋体" w:hAnsi="宋体"/>
          <w:szCs w:val="21"/>
        </w:rPr>
      </w:pPr>
      <w:r>
        <w:rPr>
          <w:rFonts w:ascii="宋体" w:hAnsi="宋体" w:hint="eastAsia"/>
          <w:szCs w:val="21"/>
        </w:rPr>
        <w:t>（九）基金托管人私自动用或处分基金资产，根据基金管理人的合法指令、基金合同或托管协议的规定进行处分的除外。</w:t>
      </w:r>
    </w:p>
    <w:p w:rsidR="00420A6C" w:rsidRDefault="00420A6C">
      <w:pPr>
        <w:spacing w:line="360" w:lineRule="auto"/>
        <w:ind w:firstLineChars="225" w:firstLine="473"/>
        <w:rPr>
          <w:rFonts w:ascii="宋体" w:hAnsi="宋体"/>
          <w:szCs w:val="21"/>
        </w:rPr>
      </w:pPr>
      <w:r>
        <w:rPr>
          <w:rFonts w:ascii="宋体" w:hAnsi="宋体" w:hint="eastAsia"/>
          <w:szCs w:val="21"/>
        </w:rPr>
        <w:t>（十）法律法规和基金合同禁止的其他行为，以及依照法律法规有关规定，由中国证监</w:t>
      </w:r>
      <w:r>
        <w:rPr>
          <w:rFonts w:ascii="宋体" w:hAnsi="宋体" w:hint="eastAsia"/>
          <w:szCs w:val="21"/>
        </w:rPr>
        <w:lastRenderedPageBreak/>
        <w:t>会规定禁止基金管理人、基金托管人从事的其他行为。</w:t>
      </w:r>
    </w:p>
    <w:p w:rsidR="00420A6C" w:rsidRDefault="00420A6C">
      <w:pPr>
        <w:spacing w:line="360" w:lineRule="auto"/>
        <w:ind w:firstLineChars="202" w:firstLine="424"/>
        <w:rPr>
          <w:rFonts w:cs="Arial"/>
        </w:rPr>
      </w:pPr>
      <w:r>
        <w:rPr>
          <w:rFonts w:ascii="宋体" w:hAnsi="宋体" w:hint="eastAsia"/>
          <w:szCs w:val="21"/>
        </w:rPr>
        <w:t>（十一）</w:t>
      </w:r>
      <w:r>
        <w:rPr>
          <w:rFonts w:hint="eastAsia"/>
        </w:rPr>
        <w:t>法律、行政法规或监管部门取消或变更上述禁止性规定，如适用于本基金，基金管理人有权在履行适当程序后按照法律法规或监管部门调整或修改后的规定执行，并应向投资者履行信息披露义务。</w:t>
      </w:r>
      <w:bookmarkStart w:id="74" w:name="_Toc382819132"/>
    </w:p>
    <w:p w:rsidR="00420A6C" w:rsidRDefault="00420A6C">
      <w:pPr>
        <w:pStyle w:val="1"/>
        <w:keepNext w:val="0"/>
        <w:keepLines w:val="0"/>
        <w:numPr>
          <w:ilvl w:val="0"/>
          <w:numId w:val="2"/>
        </w:numPr>
        <w:tabs>
          <w:tab w:val="left" w:pos="420"/>
          <w:tab w:val="left" w:pos="1922"/>
        </w:tabs>
        <w:autoSpaceDE w:val="0"/>
        <w:autoSpaceDN w:val="0"/>
        <w:adjustRightInd w:val="0"/>
        <w:spacing w:before="360" w:after="360"/>
        <w:textAlignment w:val="baseline"/>
        <w:rPr>
          <w:rFonts w:ascii="宋体" w:eastAsia="宋体" w:hAnsi="宋体" w:cs="Arial"/>
          <w:sz w:val="30"/>
          <w:szCs w:val="30"/>
        </w:rPr>
      </w:pPr>
      <w:r>
        <w:rPr>
          <w:rFonts w:ascii="宋体" w:eastAsia="宋体" w:hAnsi="宋体" w:cs="Arial" w:hint="eastAsia"/>
          <w:sz w:val="30"/>
          <w:szCs w:val="30"/>
        </w:rPr>
        <w:t>基金托管协议的变更、终止与基金财产的清算</w:t>
      </w:r>
      <w:bookmarkEnd w:id="74"/>
    </w:p>
    <w:p w:rsidR="00420A6C" w:rsidRDefault="00420A6C">
      <w:pPr>
        <w:spacing w:line="360" w:lineRule="auto"/>
        <w:ind w:firstLineChars="200" w:firstLine="420"/>
        <w:rPr>
          <w:rFonts w:ascii="宋体" w:hAnsi="宋体"/>
          <w:szCs w:val="21"/>
        </w:rPr>
      </w:pPr>
      <w:r>
        <w:rPr>
          <w:rFonts w:ascii="宋体" w:hAnsi="宋体" w:hint="eastAsia"/>
          <w:szCs w:val="21"/>
        </w:rPr>
        <w:t>（一）托管协议的变更与终止</w:t>
      </w:r>
    </w:p>
    <w:p w:rsidR="00420A6C" w:rsidRDefault="00420A6C">
      <w:pPr>
        <w:spacing w:line="360" w:lineRule="auto"/>
        <w:ind w:firstLineChars="200" w:firstLine="420"/>
        <w:rPr>
          <w:rFonts w:ascii="宋体" w:hAnsi="宋体"/>
          <w:szCs w:val="21"/>
        </w:rPr>
      </w:pPr>
      <w:r>
        <w:rPr>
          <w:rFonts w:ascii="宋体" w:hAnsi="宋体" w:hint="eastAsia"/>
          <w:szCs w:val="21"/>
        </w:rPr>
        <w:t>1.托管协议的变更程序</w:t>
      </w:r>
    </w:p>
    <w:p w:rsidR="00420A6C" w:rsidRDefault="00420A6C">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本托管协议双方当事人经协商一致，可以对协议的内容进行变更。变更后的托管协议，其内容不得与《基金合同》的规定有任何冲突，并需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Pr>
          <w:rFonts w:ascii="宋体" w:hAnsi="宋体" w:hint="eastAsia"/>
          <w:spacing w:val="6"/>
          <w:szCs w:val="21"/>
        </w:rPr>
        <w:t>。基金托管协议的变更报中国证监会备案。</w:t>
      </w:r>
    </w:p>
    <w:p w:rsidR="00420A6C" w:rsidRDefault="00420A6C">
      <w:pPr>
        <w:spacing w:line="360" w:lineRule="auto"/>
        <w:ind w:firstLineChars="200" w:firstLine="420"/>
        <w:rPr>
          <w:rFonts w:ascii="宋体" w:hAnsi="宋体"/>
          <w:szCs w:val="21"/>
        </w:rPr>
      </w:pPr>
      <w:r>
        <w:rPr>
          <w:rFonts w:ascii="宋体" w:hAnsi="宋体" w:hint="eastAsia"/>
          <w:szCs w:val="21"/>
        </w:rPr>
        <w:t>2.基金托管协议终止的情形</w:t>
      </w:r>
    </w:p>
    <w:p w:rsidR="00420A6C" w:rsidRDefault="00420A6C">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rsidR="00420A6C" w:rsidRDefault="00420A6C">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rsidR="00420A6C" w:rsidRDefault="00420A6C">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rsidR="00420A6C" w:rsidRDefault="00420A6C">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rsidR="00420A6C" w:rsidRDefault="00420A6C">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rsidR="00420A6C" w:rsidRDefault="00420A6C">
      <w:pPr>
        <w:spacing w:line="360" w:lineRule="auto"/>
        <w:ind w:firstLineChars="200" w:firstLine="420"/>
        <w:rPr>
          <w:rFonts w:ascii="宋体" w:hAnsi="宋体"/>
          <w:szCs w:val="21"/>
        </w:rPr>
      </w:pPr>
      <w:r>
        <w:rPr>
          <w:rFonts w:ascii="宋体" w:hAnsi="宋体" w:hint="eastAsia"/>
          <w:szCs w:val="21"/>
        </w:rPr>
        <w:t>（二）基金财产的清算</w:t>
      </w:r>
    </w:p>
    <w:p w:rsidR="00420A6C" w:rsidRDefault="00420A6C">
      <w:pPr>
        <w:spacing w:line="360" w:lineRule="auto"/>
        <w:ind w:firstLineChars="200" w:firstLine="420"/>
        <w:rPr>
          <w:rFonts w:ascii="宋体" w:hAnsi="宋体"/>
          <w:bCs/>
          <w:szCs w:val="21"/>
        </w:rPr>
      </w:pPr>
      <w:r>
        <w:rPr>
          <w:rFonts w:ascii="宋体" w:hAnsi="宋体"/>
          <w:bCs/>
          <w:szCs w:val="21"/>
        </w:rPr>
        <w:t>1、基金财产清算小组：《基金合同》终止事由</w:t>
      </w:r>
      <w:r>
        <w:rPr>
          <w:rFonts w:ascii="宋体" w:hAnsi="宋体" w:hint="eastAsia"/>
          <w:bCs/>
          <w:szCs w:val="21"/>
        </w:rPr>
        <w:t>出现后</w:t>
      </w:r>
      <w:r>
        <w:rPr>
          <w:rFonts w:ascii="宋体" w:hAnsi="宋体"/>
          <w:bCs/>
          <w:szCs w:val="21"/>
        </w:rPr>
        <w:t>，基金管理人组织基金财产清算小组并在中国证监会的监督下进行基金清算。</w:t>
      </w:r>
    </w:p>
    <w:p w:rsidR="00420A6C" w:rsidRDefault="00420A6C">
      <w:pPr>
        <w:spacing w:line="360" w:lineRule="auto"/>
        <w:ind w:firstLineChars="200" w:firstLine="420"/>
        <w:rPr>
          <w:rFonts w:ascii="宋体" w:hAnsi="宋体"/>
          <w:bCs/>
          <w:szCs w:val="21"/>
        </w:rPr>
      </w:pPr>
      <w:r>
        <w:rPr>
          <w:rFonts w:ascii="宋体" w:hAnsi="宋体"/>
          <w:bCs/>
          <w:szCs w:val="21"/>
        </w:rPr>
        <w:t>2、基金财产清算小组组成：基金财产清算小组成员由基金管理人、基金托管人、具有证券</w:t>
      </w:r>
      <w:r>
        <w:rPr>
          <w:rFonts w:ascii="宋体" w:hAnsi="宋体" w:hint="eastAsia"/>
          <w:bCs/>
          <w:szCs w:val="21"/>
        </w:rPr>
        <w:t>、</w:t>
      </w:r>
      <w:r>
        <w:rPr>
          <w:rFonts w:ascii="宋体" w:hAnsi="宋体"/>
          <w:bCs/>
          <w:szCs w:val="21"/>
        </w:rPr>
        <w:t>期货相关业务资格的注册会计师、律师以及中国证监会指定的人员组成。基金财产清算小组可以聘用必要的工作人员。</w:t>
      </w:r>
    </w:p>
    <w:p w:rsidR="00420A6C" w:rsidRDefault="00420A6C">
      <w:pPr>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在基金财产清算过程中，基金管理人和基金托管人应各自履行职责，继续忠实、勤勉、尽责地履行基金合同和托管协议规定的义务，维护基金份额持有人的合法权益。</w:t>
      </w:r>
    </w:p>
    <w:p w:rsidR="00420A6C" w:rsidRDefault="00420A6C">
      <w:pPr>
        <w:spacing w:line="360" w:lineRule="auto"/>
        <w:ind w:firstLineChars="200" w:firstLine="420"/>
        <w:rPr>
          <w:rFonts w:ascii="宋体" w:hAnsi="宋体"/>
          <w:bCs/>
          <w:szCs w:val="21"/>
        </w:rPr>
      </w:pPr>
      <w:r>
        <w:rPr>
          <w:rFonts w:ascii="宋体" w:hAnsi="宋体" w:hint="eastAsia"/>
          <w:bCs/>
          <w:szCs w:val="21"/>
        </w:rPr>
        <w:t>4</w:t>
      </w:r>
      <w:r>
        <w:rPr>
          <w:rFonts w:ascii="宋体" w:hAnsi="宋体"/>
          <w:bCs/>
          <w:szCs w:val="21"/>
        </w:rPr>
        <w:t>、基金财产清算小组职责：基金财产清算小组负责基金财产的保管、清理、估价、变现和分配。基金财产清算小组可以依法进行必要的民事活动。</w:t>
      </w:r>
    </w:p>
    <w:p w:rsidR="00420A6C" w:rsidRDefault="00420A6C">
      <w:pPr>
        <w:spacing w:line="360" w:lineRule="auto"/>
        <w:ind w:firstLineChars="200" w:firstLine="420"/>
        <w:rPr>
          <w:rFonts w:ascii="宋体" w:hAnsi="宋体"/>
          <w:bCs/>
          <w:szCs w:val="21"/>
        </w:rPr>
      </w:pPr>
      <w:r>
        <w:rPr>
          <w:rFonts w:ascii="宋体" w:hAnsi="宋体" w:hint="eastAsia"/>
          <w:bCs/>
          <w:szCs w:val="21"/>
        </w:rPr>
        <w:lastRenderedPageBreak/>
        <w:t>5</w:t>
      </w:r>
      <w:r>
        <w:rPr>
          <w:rFonts w:ascii="宋体" w:hAnsi="宋体"/>
          <w:bCs/>
          <w:szCs w:val="21"/>
        </w:rPr>
        <w:t>、基金财产清算程序：</w:t>
      </w:r>
    </w:p>
    <w:p w:rsidR="00420A6C" w:rsidRDefault="00420A6C">
      <w:pPr>
        <w:spacing w:line="360" w:lineRule="auto"/>
        <w:ind w:firstLineChars="200" w:firstLine="420"/>
        <w:rPr>
          <w:rFonts w:ascii="宋体" w:hAnsi="宋体"/>
          <w:bCs/>
          <w:szCs w:val="21"/>
        </w:rPr>
      </w:pPr>
      <w:r>
        <w:rPr>
          <w:rFonts w:ascii="宋体" w:hAnsi="宋体"/>
          <w:bCs/>
          <w:szCs w:val="21"/>
        </w:rPr>
        <w:t>（1）《基金合同》终止情形出现时，由基金财产清算小组统一接管基金；</w:t>
      </w:r>
    </w:p>
    <w:p w:rsidR="00420A6C" w:rsidRDefault="00420A6C">
      <w:pPr>
        <w:spacing w:line="360" w:lineRule="auto"/>
        <w:ind w:firstLineChars="200" w:firstLine="420"/>
        <w:rPr>
          <w:rFonts w:ascii="宋体" w:hAnsi="宋体"/>
          <w:bCs/>
          <w:szCs w:val="21"/>
        </w:rPr>
      </w:pPr>
      <w:r>
        <w:rPr>
          <w:rFonts w:ascii="宋体" w:hAnsi="宋体"/>
          <w:bCs/>
          <w:szCs w:val="21"/>
        </w:rPr>
        <w:t>（2）对基金财产和债权债务进行清理和确认；</w:t>
      </w:r>
    </w:p>
    <w:p w:rsidR="00420A6C" w:rsidRDefault="00420A6C">
      <w:pPr>
        <w:spacing w:line="360" w:lineRule="auto"/>
        <w:ind w:firstLineChars="200" w:firstLine="420"/>
        <w:rPr>
          <w:rFonts w:ascii="宋体" w:hAnsi="宋体"/>
          <w:bCs/>
          <w:szCs w:val="21"/>
        </w:rPr>
      </w:pPr>
      <w:r>
        <w:rPr>
          <w:rFonts w:ascii="宋体" w:hAnsi="宋体"/>
          <w:bCs/>
          <w:szCs w:val="21"/>
        </w:rPr>
        <w:t>（3）对基金财产进行估值和变现；</w:t>
      </w:r>
    </w:p>
    <w:p w:rsidR="00420A6C" w:rsidRDefault="00420A6C">
      <w:pPr>
        <w:spacing w:line="360" w:lineRule="auto"/>
        <w:ind w:firstLineChars="200" w:firstLine="420"/>
        <w:rPr>
          <w:rFonts w:ascii="宋体" w:hAnsi="宋体"/>
          <w:bCs/>
          <w:szCs w:val="21"/>
        </w:rPr>
      </w:pPr>
      <w:r>
        <w:rPr>
          <w:rFonts w:ascii="宋体" w:hAnsi="宋体"/>
          <w:bCs/>
          <w:szCs w:val="21"/>
        </w:rPr>
        <w:t>（4）制作清算报告；</w:t>
      </w:r>
    </w:p>
    <w:p w:rsidR="00420A6C" w:rsidRDefault="00420A6C">
      <w:pPr>
        <w:spacing w:line="360" w:lineRule="auto"/>
        <w:ind w:firstLineChars="200" w:firstLine="420"/>
        <w:rPr>
          <w:rFonts w:ascii="宋体" w:hAnsi="宋体"/>
          <w:bCs/>
          <w:szCs w:val="21"/>
        </w:rPr>
      </w:pPr>
      <w:r>
        <w:rPr>
          <w:rFonts w:ascii="宋体" w:hAnsi="宋体"/>
          <w:bCs/>
          <w:szCs w:val="21"/>
        </w:rPr>
        <w:t>（5）聘请会计师事务所对清算报告进行外部审计，聘请律师事务所对清算报告出具法律意见书；</w:t>
      </w:r>
    </w:p>
    <w:p w:rsidR="00420A6C" w:rsidRDefault="00420A6C">
      <w:pPr>
        <w:spacing w:line="360" w:lineRule="auto"/>
        <w:ind w:firstLineChars="200" w:firstLine="420"/>
        <w:rPr>
          <w:rFonts w:ascii="宋体" w:hAnsi="宋体"/>
          <w:bCs/>
          <w:szCs w:val="21"/>
        </w:rPr>
      </w:pPr>
      <w:r>
        <w:rPr>
          <w:rFonts w:ascii="宋体" w:hAnsi="宋体"/>
          <w:bCs/>
          <w:szCs w:val="21"/>
        </w:rPr>
        <w:t>（6）将清算报告报中国证监会备案并公告</w:t>
      </w:r>
      <w:r>
        <w:rPr>
          <w:rFonts w:ascii="宋体" w:hAnsi="宋体" w:hint="eastAsia"/>
          <w:bCs/>
          <w:szCs w:val="21"/>
        </w:rPr>
        <w:t>；</w:t>
      </w:r>
    </w:p>
    <w:p w:rsidR="00420A6C" w:rsidRDefault="00420A6C">
      <w:pPr>
        <w:spacing w:line="360" w:lineRule="auto"/>
        <w:ind w:firstLineChars="200" w:firstLine="420"/>
        <w:rPr>
          <w:rFonts w:ascii="宋体" w:hAnsi="宋体"/>
          <w:bCs/>
          <w:szCs w:val="21"/>
        </w:rPr>
      </w:pPr>
      <w:r>
        <w:rPr>
          <w:rFonts w:ascii="宋体" w:hAnsi="宋体"/>
          <w:bCs/>
          <w:szCs w:val="21"/>
        </w:rPr>
        <w:t>（7）对基金</w:t>
      </w:r>
      <w:r>
        <w:rPr>
          <w:rFonts w:ascii="宋体" w:hAnsi="宋体" w:hint="eastAsia"/>
          <w:bCs/>
          <w:szCs w:val="21"/>
        </w:rPr>
        <w:t>剩余</w:t>
      </w:r>
      <w:r>
        <w:rPr>
          <w:rFonts w:ascii="宋体" w:hAnsi="宋体"/>
          <w:bCs/>
          <w:szCs w:val="21"/>
        </w:rPr>
        <w:t>财产进行分配</w:t>
      </w:r>
      <w:r>
        <w:rPr>
          <w:rFonts w:ascii="宋体" w:hAnsi="宋体" w:hint="eastAsia"/>
          <w:bCs/>
          <w:szCs w:val="21"/>
        </w:rPr>
        <w:t>。</w:t>
      </w:r>
    </w:p>
    <w:p w:rsidR="00420A6C" w:rsidRDefault="00420A6C">
      <w:pPr>
        <w:adjustRightInd w:val="0"/>
        <w:snapToGrid w:val="0"/>
        <w:spacing w:line="360" w:lineRule="auto"/>
        <w:ind w:firstLineChars="200" w:firstLine="420"/>
        <w:rPr>
          <w:rFonts w:ascii="宋体" w:hAnsi="宋体" w:cs="Arial"/>
          <w:szCs w:val="21"/>
        </w:rPr>
      </w:pPr>
      <w:r>
        <w:rPr>
          <w:rFonts w:ascii="宋体" w:hAnsi="宋体" w:cs="Arial" w:hint="eastAsia"/>
          <w:szCs w:val="21"/>
        </w:rPr>
        <w:t>6.清算费用</w:t>
      </w:r>
    </w:p>
    <w:p w:rsidR="00420A6C" w:rsidRDefault="00420A6C">
      <w:pPr>
        <w:adjustRightInd w:val="0"/>
        <w:snapToGrid w:val="0"/>
        <w:spacing w:line="360" w:lineRule="auto"/>
        <w:ind w:firstLineChars="200" w:firstLine="420"/>
        <w:rPr>
          <w:rFonts w:ascii="宋体" w:hAnsi="宋体" w:cs="Arial"/>
          <w:bCs/>
          <w:szCs w:val="21"/>
        </w:rPr>
      </w:pPr>
      <w:r>
        <w:rPr>
          <w:rFonts w:ascii="宋体" w:hAnsi="宋体" w:cs="Arial"/>
          <w:bCs/>
          <w:szCs w:val="21"/>
        </w:rPr>
        <w:t>清算费用是指基金财产清算小组在进行基金清算过程中发生的所有合理费用，清算费用由基金财产清算小组优先从基金</w:t>
      </w:r>
      <w:r>
        <w:rPr>
          <w:rFonts w:ascii="宋体" w:hAnsi="宋体" w:cs="Arial" w:hint="eastAsia"/>
          <w:bCs/>
          <w:szCs w:val="21"/>
        </w:rPr>
        <w:t>剩余</w:t>
      </w:r>
      <w:r>
        <w:rPr>
          <w:rFonts w:ascii="宋体" w:hAnsi="宋体" w:cs="Arial"/>
          <w:bCs/>
          <w:szCs w:val="21"/>
        </w:rPr>
        <w:t>财产中支付。</w:t>
      </w:r>
    </w:p>
    <w:p w:rsidR="00420A6C" w:rsidRDefault="00420A6C">
      <w:pPr>
        <w:adjustRightInd w:val="0"/>
        <w:snapToGrid w:val="0"/>
        <w:spacing w:line="360" w:lineRule="auto"/>
        <w:ind w:firstLineChars="200" w:firstLine="420"/>
        <w:rPr>
          <w:rFonts w:ascii="宋体" w:hAnsi="宋体" w:cs="Arial"/>
          <w:szCs w:val="21"/>
        </w:rPr>
      </w:pPr>
      <w:r>
        <w:rPr>
          <w:rFonts w:ascii="宋体" w:hAnsi="宋体" w:cs="Arial" w:hint="eastAsia"/>
          <w:szCs w:val="21"/>
        </w:rPr>
        <w:t>7.基金财产按下列顺序清偿：</w:t>
      </w:r>
    </w:p>
    <w:p w:rsidR="00420A6C" w:rsidRDefault="00420A6C">
      <w:pPr>
        <w:adjustRightInd w:val="0"/>
        <w:snapToGrid w:val="0"/>
        <w:spacing w:line="360" w:lineRule="auto"/>
        <w:ind w:firstLineChars="270" w:firstLine="567"/>
        <w:rPr>
          <w:rFonts w:ascii="宋体" w:hAnsi="宋体" w:cs="Arial"/>
          <w:szCs w:val="21"/>
        </w:rPr>
      </w:pPr>
      <w:r>
        <w:rPr>
          <w:rFonts w:ascii="宋体" w:hAnsi="宋体" w:cs="Arial" w:hint="eastAsia"/>
          <w:szCs w:val="21"/>
        </w:rPr>
        <w:t>（1）支付清算费用；</w:t>
      </w:r>
    </w:p>
    <w:p w:rsidR="00420A6C" w:rsidRDefault="00420A6C">
      <w:pPr>
        <w:adjustRightInd w:val="0"/>
        <w:snapToGrid w:val="0"/>
        <w:spacing w:line="360" w:lineRule="auto"/>
        <w:ind w:firstLineChars="270" w:firstLine="567"/>
        <w:rPr>
          <w:rFonts w:ascii="宋体" w:hAnsi="宋体" w:cs="Arial"/>
          <w:szCs w:val="21"/>
        </w:rPr>
      </w:pPr>
      <w:r>
        <w:rPr>
          <w:rFonts w:ascii="宋体" w:hAnsi="宋体" w:cs="Arial" w:hint="eastAsia"/>
          <w:szCs w:val="21"/>
        </w:rPr>
        <w:t>（2）交纳所欠税款；</w:t>
      </w:r>
    </w:p>
    <w:p w:rsidR="00420A6C" w:rsidRDefault="00420A6C">
      <w:pPr>
        <w:adjustRightInd w:val="0"/>
        <w:snapToGrid w:val="0"/>
        <w:spacing w:line="360" w:lineRule="auto"/>
        <w:ind w:firstLineChars="270" w:firstLine="567"/>
        <w:rPr>
          <w:rFonts w:ascii="宋体" w:hAnsi="宋体" w:cs="Arial"/>
          <w:szCs w:val="21"/>
        </w:rPr>
      </w:pPr>
      <w:r>
        <w:rPr>
          <w:rFonts w:ascii="宋体" w:hAnsi="宋体" w:cs="Arial" w:hint="eastAsia"/>
          <w:szCs w:val="21"/>
        </w:rPr>
        <w:t>（3）清偿基金债务；</w:t>
      </w:r>
    </w:p>
    <w:p w:rsidR="00420A6C" w:rsidRDefault="00420A6C">
      <w:pPr>
        <w:adjustRightInd w:val="0"/>
        <w:snapToGrid w:val="0"/>
        <w:spacing w:line="360" w:lineRule="auto"/>
        <w:ind w:firstLineChars="270" w:firstLine="567"/>
        <w:rPr>
          <w:rFonts w:ascii="宋体" w:hAnsi="宋体" w:cs="Arial"/>
          <w:szCs w:val="21"/>
        </w:rPr>
      </w:pPr>
      <w:r>
        <w:rPr>
          <w:rFonts w:ascii="宋体" w:hAnsi="宋体" w:cs="Arial" w:hint="eastAsia"/>
          <w:szCs w:val="21"/>
        </w:rPr>
        <w:t>（4）按基金份额持有人持有的基金份额比例进行分配。</w:t>
      </w:r>
    </w:p>
    <w:p w:rsidR="00420A6C" w:rsidRDefault="00420A6C">
      <w:pPr>
        <w:spacing w:line="360" w:lineRule="auto"/>
        <w:ind w:firstLine="200"/>
        <w:rPr>
          <w:rFonts w:ascii="宋体" w:hAnsi="宋体" w:cs="Arial"/>
          <w:szCs w:val="21"/>
        </w:rPr>
      </w:pPr>
      <w:r>
        <w:rPr>
          <w:rFonts w:ascii="宋体" w:hAnsi="宋体" w:cs="Arial" w:hint="eastAsia"/>
          <w:szCs w:val="21"/>
        </w:rPr>
        <w:t>基金财产未按前款（1）－（3）项规定清偿前，不分配给基金份额持有人。</w:t>
      </w:r>
    </w:p>
    <w:p w:rsidR="00420A6C" w:rsidRDefault="00420A6C">
      <w:pPr>
        <w:spacing w:line="360" w:lineRule="auto"/>
        <w:ind w:firstLine="426"/>
        <w:rPr>
          <w:rFonts w:ascii="宋体" w:hAnsi="宋体" w:cs="Arial"/>
          <w:bCs/>
          <w:szCs w:val="21"/>
        </w:rPr>
      </w:pPr>
      <w:r>
        <w:rPr>
          <w:rFonts w:ascii="宋体" w:hAnsi="宋体" w:cs="Arial" w:hint="eastAsia"/>
          <w:bCs/>
          <w:szCs w:val="21"/>
        </w:rPr>
        <w:t>8.</w:t>
      </w:r>
      <w:r>
        <w:rPr>
          <w:rFonts w:ascii="宋体" w:hAnsi="宋体" w:cs="Arial"/>
          <w:bCs/>
          <w:szCs w:val="21"/>
        </w:rPr>
        <w:t>基金财产清算的期限</w:t>
      </w:r>
    </w:p>
    <w:p w:rsidR="00420A6C" w:rsidRDefault="00420A6C">
      <w:pPr>
        <w:spacing w:line="360" w:lineRule="auto"/>
        <w:ind w:firstLine="426"/>
        <w:rPr>
          <w:rFonts w:ascii="宋体" w:hAnsi="宋体" w:cs="Arial"/>
          <w:bCs/>
          <w:szCs w:val="21"/>
        </w:rPr>
      </w:pPr>
      <w:r>
        <w:rPr>
          <w:rFonts w:ascii="宋体" w:hAnsi="宋体" w:cs="Arial" w:hint="eastAsia"/>
          <w:bCs/>
          <w:szCs w:val="21"/>
        </w:rPr>
        <w:t>基金财产清算的期限为6个月，但因本基金所持证券的流动性受到限制而不能及时变现的，清算期限相应顺延。</w:t>
      </w:r>
    </w:p>
    <w:p w:rsidR="00420A6C" w:rsidRDefault="00420A6C">
      <w:pPr>
        <w:spacing w:line="360" w:lineRule="auto"/>
        <w:ind w:firstLine="426"/>
        <w:rPr>
          <w:rFonts w:ascii="宋体" w:hAnsi="宋体" w:cs="Arial"/>
          <w:bCs/>
          <w:szCs w:val="21"/>
        </w:rPr>
      </w:pPr>
      <w:r>
        <w:rPr>
          <w:rFonts w:ascii="宋体" w:hAnsi="宋体" w:cs="Arial" w:hint="eastAsia"/>
          <w:bCs/>
          <w:szCs w:val="21"/>
        </w:rPr>
        <w:t>9.</w:t>
      </w:r>
      <w:r>
        <w:rPr>
          <w:rFonts w:ascii="宋体" w:hAnsi="宋体" w:cs="Arial"/>
          <w:bCs/>
          <w:szCs w:val="21"/>
        </w:rPr>
        <w:t>基金财产清算剩余资产的分配</w:t>
      </w:r>
    </w:p>
    <w:p w:rsidR="00420A6C" w:rsidRDefault="00420A6C">
      <w:pPr>
        <w:spacing w:line="360" w:lineRule="auto"/>
        <w:ind w:firstLine="426"/>
        <w:rPr>
          <w:rFonts w:ascii="宋体" w:hAnsi="宋体" w:cs="Arial"/>
          <w:bCs/>
          <w:szCs w:val="21"/>
        </w:rPr>
      </w:pPr>
      <w:r>
        <w:rPr>
          <w:rFonts w:ascii="宋体" w:hAnsi="宋体" w:cs="Arial"/>
          <w:bCs/>
          <w:szCs w:val="21"/>
        </w:rPr>
        <w:t>依据基金财产清算的分配方案，将基金财产清算后的全部剩余资产扣除基金财产清算费用、交纳所欠税款并清偿基金债务后，按基金份额持有人持有的基金份额比例进行分配。</w:t>
      </w:r>
    </w:p>
    <w:p w:rsidR="00420A6C" w:rsidRDefault="00420A6C">
      <w:pPr>
        <w:spacing w:line="360" w:lineRule="auto"/>
        <w:ind w:firstLine="426"/>
        <w:rPr>
          <w:rFonts w:ascii="宋体" w:hAnsi="宋体" w:cs="Arial"/>
          <w:bCs/>
          <w:szCs w:val="21"/>
        </w:rPr>
      </w:pPr>
      <w:r>
        <w:rPr>
          <w:rFonts w:ascii="宋体" w:hAnsi="宋体" w:cs="Arial" w:hint="eastAsia"/>
          <w:bCs/>
          <w:szCs w:val="21"/>
        </w:rPr>
        <w:t>（三）基金财产清算的公告</w:t>
      </w:r>
    </w:p>
    <w:p w:rsidR="00420A6C" w:rsidRDefault="00420A6C">
      <w:pPr>
        <w:spacing w:line="360" w:lineRule="auto"/>
        <w:ind w:firstLine="426"/>
        <w:rPr>
          <w:rFonts w:ascii="宋体" w:hAnsi="宋体" w:cs="Arial"/>
          <w:bCs/>
          <w:szCs w:val="21"/>
        </w:rPr>
      </w:pPr>
      <w:r>
        <w:rPr>
          <w:rFonts w:ascii="宋体" w:hAnsi="宋体" w:cs="Arial" w:hint="eastAsia"/>
          <w:bCs/>
          <w:szCs w:val="21"/>
        </w:rPr>
        <w:t>清算过程中的有关重大事项须及时公告；基金财产清算报告经具有证券、期货相关业务资格的会计师事务所审计，律师事务所出具法律意见书后，由基金财产清算小组报中国证监会备案并公告，基金财产清算小组应当将清算报告登载在指定网站上，并将清算报告提示性公告登载在指定报刊上。</w:t>
      </w:r>
    </w:p>
    <w:p w:rsidR="00420A6C" w:rsidRDefault="00420A6C">
      <w:pPr>
        <w:spacing w:line="360" w:lineRule="auto"/>
        <w:ind w:firstLineChars="200" w:firstLine="420"/>
        <w:rPr>
          <w:rFonts w:ascii="宋体" w:hAnsi="宋体"/>
          <w:szCs w:val="21"/>
        </w:rPr>
      </w:pPr>
      <w:r>
        <w:rPr>
          <w:rFonts w:ascii="宋体" w:hAnsi="宋体" w:hint="eastAsia"/>
          <w:szCs w:val="21"/>
        </w:rPr>
        <w:t>（四）基金财产清算账册及文件的保存</w:t>
      </w:r>
    </w:p>
    <w:p w:rsidR="00420A6C" w:rsidRDefault="00420A6C">
      <w:pPr>
        <w:spacing w:line="360" w:lineRule="auto"/>
        <w:ind w:firstLine="200"/>
        <w:rPr>
          <w:rFonts w:ascii="宋体" w:hAnsi="宋体"/>
          <w:szCs w:val="21"/>
        </w:rPr>
      </w:pPr>
      <w:r>
        <w:rPr>
          <w:rFonts w:ascii="宋体" w:hAnsi="宋体" w:hint="eastAsia"/>
          <w:szCs w:val="21"/>
        </w:rPr>
        <w:t>基金财产清算账册及有关文件由基金托管人保存15年以上，法律法规或监管部门另有规</w:t>
      </w:r>
      <w:r>
        <w:rPr>
          <w:rFonts w:ascii="宋体" w:hAnsi="宋体" w:hint="eastAsia"/>
          <w:szCs w:val="21"/>
        </w:rPr>
        <w:lastRenderedPageBreak/>
        <w:t>定的除外。</w:t>
      </w:r>
    </w:p>
    <w:p w:rsidR="00420A6C" w:rsidRDefault="00420A6C">
      <w:pPr>
        <w:pStyle w:val="1"/>
        <w:keepNext w:val="0"/>
        <w:keepLines w:val="0"/>
        <w:numPr>
          <w:ilvl w:val="0"/>
          <w:numId w:val="2"/>
        </w:numPr>
        <w:tabs>
          <w:tab w:val="left" w:pos="420"/>
          <w:tab w:val="left" w:pos="1922"/>
        </w:tabs>
        <w:autoSpaceDE w:val="0"/>
        <w:autoSpaceDN w:val="0"/>
        <w:adjustRightInd w:val="0"/>
        <w:spacing w:before="360" w:after="360"/>
        <w:textAlignment w:val="baseline"/>
        <w:rPr>
          <w:rFonts w:ascii="宋体" w:eastAsia="宋体" w:hAnsi="宋体" w:cs="Arial"/>
          <w:sz w:val="30"/>
          <w:szCs w:val="30"/>
        </w:rPr>
      </w:pPr>
      <w:bookmarkStart w:id="75" w:name="_Toc382819133"/>
      <w:r>
        <w:rPr>
          <w:rFonts w:ascii="宋体" w:eastAsia="宋体" w:hAnsi="宋体" w:cs="Arial" w:hint="eastAsia"/>
          <w:sz w:val="30"/>
          <w:szCs w:val="30"/>
        </w:rPr>
        <w:t>违约责任</w:t>
      </w:r>
      <w:bookmarkEnd w:id="75"/>
    </w:p>
    <w:p w:rsidR="00420A6C" w:rsidRDefault="00420A6C">
      <w:pPr>
        <w:spacing w:line="360" w:lineRule="auto"/>
        <w:ind w:firstLineChars="200" w:firstLine="420"/>
        <w:rPr>
          <w:rFonts w:ascii="宋体" w:hAnsi="宋体"/>
          <w:szCs w:val="21"/>
        </w:rPr>
      </w:pPr>
      <w:r>
        <w:rPr>
          <w:rFonts w:ascii="宋体" w:hAnsi="宋体" w:hint="eastAsia"/>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rsidR="00420A6C" w:rsidRDefault="00420A6C">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不可抗力；</w:t>
      </w:r>
    </w:p>
    <w:p w:rsidR="00420A6C" w:rsidRDefault="00420A6C">
      <w:pPr>
        <w:spacing w:line="360" w:lineRule="auto"/>
        <w:ind w:firstLineChars="200" w:firstLine="420"/>
        <w:rPr>
          <w:rFonts w:ascii="宋体" w:hAnsi="宋体"/>
          <w:szCs w:val="21"/>
        </w:rPr>
      </w:pPr>
      <w:r>
        <w:rPr>
          <w:rFonts w:ascii="宋体" w:hAnsi="宋体" w:hint="eastAsia"/>
          <w:szCs w:val="21"/>
        </w:rPr>
        <w:t>2.基金管理人和</w:t>
      </w:r>
      <w:r>
        <w:rPr>
          <w:rFonts w:ascii="宋体" w:hAnsi="宋体"/>
          <w:szCs w:val="21"/>
        </w:rPr>
        <w:t>/</w:t>
      </w:r>
      <w:r>
        <w:rPr>
          <w:rFonts w:ascii="宋体" w:hAnsi="宋体" w:hint="eastAsia"/>
          <w:szCs w:val="21"/>
        </w:rPr>
        <w:t>或基金托管人按照当时有效的法律法规或中国证监会、中国银监会等监管机构的规定作为或不作为而造成的损失等；</w:t>
      </w:r>
    </w:p>
    <w:p w:rsidR="00420A6C" w:rsidRDefault="00420A6C">
      <w:pPr>
        <w:spacing w:line="360" w:lineRule="auto"/>
        <w:ind w:firstLineChars="200" w:firstLine="420"/>
        <w:rPr>
          <w:rFonts w:ascii="宋体" w:hAnsi="宋体"/>
          <w:szCs w:val="21"/>
        </w:rPr>
      </w:pPr>
      <w:r>
        <w:rPr>
          <w:rFonts w:ascii="宋体" w:hAnsi="宋体" w:hint="eastAsia"/>
          <w:szCs w:val="21"/>
        </w:rPr>
        <w:t>3.基金管理人由于按照基金合同规定的投资原则行使或不行使其投资权而造成的损失等；</w:t>
      </w:r>
    </w:p>
    <w:p w:rsidR="00420A6C" w:rsidRDefault="00420A6C">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非因基金管理人、基金托管人的故意或重大过失造成的计算机系统故障、网络故障、通讯故障、电力故障、计算机病毒攻击及其他意外事故，所导致的损失等。</w:t>
      </w:r>
    </w:p>
    <w:p w:rsidR="00420A6C" w:rsidRDefault="00420A6C">
      <w:pPr>
        <w:spacing w:line="360" w:lineRule="auto"/>
        <w:ind w:firstLineChars="200" w:firstLine="420"/>
        <w:rPr>
          <w:rFonts w:ascii="宋体" w:hAnsi="宋体"/>
          <w:szCs w:val="21"/>
        </w:rPr>
      </w:pPr>
      <w:r>
        <w:rPr>
          <w:rFonts w:ascii="宋体" w:hAnsi="宋体" w:hint="eastAsia"/>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420A6C" w:rsidRDefault="00420A6C">
      <w:pPr>
        <w:spacing w:line="360" w:lineRule="auto"/>
        <w:ind w:firstLineChars="200" w:firstLine="420"/>
        <w:rPr>
          <w:rFonts w:ascii="宋体" w:hAnsi="宋体"/>
          <w:szCs w:val="21"/>
        </w:rPr>
      </w:pPr>
      <w:r>
        <w:rPr>
          <w:rFonts w:ascii="宋体" w:hAnsi="宋体" w:hint="eastAsia"/>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420A6C" w:rsidRDefault="00420A6C">
      <w:pPr>
        <w:spacing w:line="360" w:lineRule="auto"/>
        <w:ind w:firstLineChars="200" w:firstLine="420"/>
        <w:rPr>
          <w:rFonts w:ascii="宋体" w:hAnsi="宋体"/>
          <w:szCs w:val="21"/>
        </w:rPr>
      </w:pPr>
      <w:r>
        <w:rPr>
          <w:rFonts w:ascii="宋体" w:hAnsi="宋体" w:hint="eastAsia"/>
          <w:szCs w:val="21"/>
        </w:rPr>
        <w:t>（四）本托管协议所指损失均为直接损失。</w:t>
      </w:r>
    </w:p>
    <w:p w:rsidR="00420A6C" w:rsidRDefault="00420A6C">
      <w:pPr>
        <w:pStyle w:val="1"/>
        <w:keepNext w:val="0"/>
        <w:keepLines w:val="0"/>
        <w:numPr>
          <w:ilvl w:val="0"/>
          <w:numId w:val="2"/>
        </w:numPr>
        <w:tabs>
          <w:tab w:val="left" w:pos="420"/>
          <w:tab w:val="left" w:pos="1922"/>
        </w:tabs>
        <w:autoSpaceDE w:val="0"/>
        <w:autoSpaceDN w:val="0"/>
        <w:adjustRightInd w:val="0"/>
        <w:spacing w:before="360" w:after="360"/>
        <w:textAlignment w:val="baseline"/>
        <w:rPr>
          <w:rFonts w:ascii="宋体" w:eastAsia="宋体" w:hAnsi="宋体" w:cs="Arial"/>
          <w:sz w:val="30"/>
          <w:szCs w:val="30"/>
        </w:rPr>
      </w:pPr>
      <w:bookmarkStart w:id="76" w:name="_Toc382819134"/>
      <w:r>
        <w:rPr>
          <w:rFonts w:ascii="宋体" w:eastAsia="宋体" w:hAnsi="宋体" w:cs="Arial" w:hint="eastAsia"/>
          <w:sz w:val="30"/>
          <w:szCs w:val="30"/>
        </w:rPr>
        <w:t>适用法律及争议解决方式</w:t>
      </w:r>
      <w:bookmarkEnd w:id="76"/>
    </w:p>
    <w:p w:rsidR="00420A6C" w:rsidRDefault="00420A6C">
      <w:pPr>
        <w:spacing w:line="360" w:lineRule="auto"/>
        <w:ind w:firstLineChars="200" w:firstLine="420"/>
        <w:rPr>
          <w:rFonts w:ascii="宋体" w:hAnsi="宋体"/>
          <w:szCs w:val="21"/>
          <w:lang w:val="zh-CN"/>
        </w:rPr>
      </w:pPr>
      <w:r>
        <w:rPr>
          <w:rFonts w:ascii="宋体" w:hAnsi="宋体" w:hint="eastAsia"/>
          <w:szCs w:val="21"/>
          <w:lang w:val="zh-CN"/>
        </w:rPr>
        <w:t>（一）</w:t>
      </w:r>
      <w:r>
        <w:rPr>
          <w:rFonts w:ascii="宋体" w:hAnsi="宋体" w:hint="eastAsia"/>
          <w:szCs w:val="21"/>
        </w:rPr>
        <w:t>本托管协议适用中华人民共和国法律（为本托管协议之目的，在此不包括香港、澳门特别行政区和台湾地区法律），并从其解释。</w:t>
      </w:r>
    </w:p>
    <w:p w:rsidR="00420A6C" w:rsidRDefault="00420A6C">
      <w:pPr>
        <w:spacing w:line="360" w:lineRule="auto"/>
        <w:ind w:firstLineChars="200" w:firstLine="420"/>
        <w:rPr>
          <w:rFonts w:ascii="宋体" w:hAnsi="宋体"/>
          <w:szCs w:val="21"/>
        </w:rPr>
      </w:pPr>
      <w:r>
        <w:rPr>
          <w:rFonts w:ascii="宋体" w:hAnsi="宋体" w:hint="eastAsia"/>
          <w:szCs w:val="21"/>
        </w:rPr>
        <w:t>（二）相关各方当事人同意，因本托管协议而产生的或与本托管协议有关的一切争议，</w:t>
      </w:r>
      <w:r>
        <w:rPr>
          <w:rFonts w:ascii="宋体" w:hAnsi="宋体" w:hint="eastAsia"/>
          <w:szCs w:val="21"/>
        </w:rPr>
        <w:lastRenderedPageBreak/>
        <w:t>除经友好协商可以解决的，应提交</w:t>
      </w:r>
      <w:r>
        <w:rPr>
          <w:rFonts w:ascii="宋体" w:hAnsi="宋体" w:hint="eastAsia"/>
          <w:bCs/>
          <w:szCs w:val="21"/>
        </w:rPr>
        <w:t>中国国际经济贸易仲裁委员会</w:t>
      </w:r>
      <w:r>
        <w:rPr>
          <w:rFonts w:ascii="宋体" w:hAnsi="宋体" w:hint="eastAsia"/>
          <w:szCs w:val="21"/>
        </w:rPr>
        <w:t>，根据该会届时有效的仲裁规则进行仲裁，仲裁的地点在</w:t>
      </w:r>
      <w:r>
        <w:rPr>
          <w:rFonts w:ascii="宋体" w:hAnsi="宋体" w:hint="eastAsia"/>
          <w:b/>
          <w:szCs w:val="21"/>
          <w:u w:val="single"/>
        </w:rPr>
        <w:t>北京市</w:t>
      </w:r>
      <w:r>
        <w:rPr>
          <w:rFonts w:ascii="宋体" w:hAnsi="宋体" w:hint="eastAsia"/>
          <w:szCs w:val="21"/>
        </w:rPr>
        <w:t>，仲裁裁决是终局性的并对相关各方均有约束力，仲裁费用由败诉方承担。</w:t>
      </w:r>
    </w:p>
    <w:p w:rsidR="00420A6C" w:rsidRDefault="00420A6C">
      <w:pPr>
        <w:spacing w:line="360" w:lineRule="auto"/>
        <w:ind w:firstLineChars="200" w:firstLine="420"/>
        <w:rPr>
          <w:rFonts w:ascii="宋体" w:hAnsi="宋体"/>
          <w:szCs w:val="21"/>
        </w:rPr>
      </w:pPr>
      <w:r>
        <w:rPr>
          <w:rFonts w:ascii="宋体" w:hAnsi="宋体" w:hint="eastAsia"/>
          <w:szCs w:val="21"/>
        </w:rPr>
        <w:t>争议处理期间，相关各方当事人应恪守基金管理人和基金托管人职责，继续忠实、勤勉、尽责地履行《基金合同》和本托管协议规定的义务，维护基金份额持有人的合法权益。</w:t>
      </w:r>
    </w:p>
    <w:p w:rsidR="00420A6C" w:rsidRDefault="00420A6C">
      <w:pPr>
        <w:pStyle w:val="1"/>
        <w:keepNext w:val="0"/>
        <w:keepLines w:val="0"/>
        <w:numPr>
          <w:ilvl w:val="0"/>
          <w:numId w:val="2"/>
        </w:numPr>
        <w:tabs>
          <w:tab w:val="left" w:pos="420"/>
          <w:tab w:val="left" w:pos="1922"/>
        </w:tabs>
        <w:autoSpaceDE w:val="0"/>
        <w:autoSpaceDN w:val="0"/>
        <w:adjustRightInd w:val="0"/>
        <w:spacing w:before="360" w:after="360"/>
        <w:textAlignment w:val="baseline"/>
        <w:rPr>
          <w:rFonts w:ascii="宋体" w:eastAsia="宋体" w:hAnsi="宋体" w:cs="Arial"/>
          <w:sz w:val="30"/>
          <w:szCs w:val="30"/>
        </w:rPr>
      </w:pPr>
      <w:bookmarkStart w:id="77" w:name="_Toc382819135"/>
      <w:r>
        <w:rPr>
          <w:rFonts w:ascii="宋体" w:eastAsia="宋体" w:hAnsi="宋体" w:cs="Arial" w:hint="eastAsia"/>
          <w:sz w:val="30"/>
          <w:szCs w:val="30"/>
        </w:rPr>
        <w:t>基金托管协议的效力和文本</w:t>
      </w:r>
      <w:bookmarkEnd w:id="77"/>
    </w:p>
    <w:p w:rsidR="00420A6C" w:rsidRDefault="00420A6C">
      <w:pPr>
        <w:pStyle w:val="a8"/>
        <w:rPr>
          <w:rFonts w:ascii="宋体" w:hAnsi="宋体"/>
          <w:szCs w:val="21"/>
        </w:rPr>
      </w:pPr>
      <w:r>
        <w:rPr>
          <w:rFonts w:ascii="宋体" w:hAnsi="宋体" w:hint="eastAsia"/>
          <w:szCs w:val="21"/>
        </w:rPr>
        <w:t>（一）</w:t>
      </w:r>
      <w:r>
        <w:rPr>
          <w:rFonts w:ascii="宋体" w:hAnsi="宋体" w:cs="Arial" w:hint="eastAsia"/>
          <w:kern w:val="44"/>
          <w:szCs w:val="21"/>
        </w:rPr>
        <w:t>本托管协议经基金管理人、基金托管人双方法定代表人或授权代理人签字（或盖章）并加盖公章（或合同专用章）后成立</w:t>
      </w:r>
      <w:r>
        <w:rPr>
          <w:rFonts w:ascii="宋体" w:hAnsi="宋体" w:hint="eastAsia"/>
          <w:szCs w:val="21"/>
        </w:rPr>
        <w:t>。本托管协议以中国证监会注册的文本为正式文本。</w:t>
      </w:r>
    </w:p>
    <w:p w:rsidR="00420A6C" w:rsidRDefault="00420A6C">
      <w:pPr>
        <w:pStyle w:val="a8"/>
        <w:rPr>
          <w:rFonts w:ascii="宋体" w:hAnsi="宋体"/>
          <w:szCs w:val="21"/>
        </w:rPr>
      </w:pPr>
      <w:r>
        <w:rPr>
          <w:rFonts w:ascii="宋体" w:hAnsi="宋体" w:hint="eastAsia"/>
          <w:szCs w:val="21"/>
        </w:rPr>
        <w:t>（二）本托管协议自《基金合同》生效之日起生效，有效期自其生效之日起至该基金财产清算结果报中国证监会备案并公告之日止。</w:t>
      </w:r>
    </w:p>
    <w:p w:rsidR="00420A6C" w:rsidRDefault="00420A6C">
      <w:pPr>
        <w:spacing w:line="360" w:lineRule="auto"/>
        <w:ind w:firstLineChars="200" w:firstLine="420"/>
        <w:rPr>
          <w:rFonts w:ascii="宋体" w:hAnsi="宋体"/>
          <w:szCs w:val="21"/>
        </w:rPr>
      </w:pPr>
      <w:r>
        <w:rPr>
          <w:rFonts w:ascii="宋体" w:hAnsi="宋体" w:hint="eastAsia"/>
          <w:szCs w:val="21"/>
        </w:rPr>
        <w:t>（三）本托管协议自生效之日起对各当事人具有同等的法律约束力。</w:t>
      </w:r>
    </w:p>
    <w:p w:rsidR="00420A6C" w:rsidRDefault="00420A6C">
      <w:pPr>
        <w:spacing w:line="360" w:lineRule="auto"/>
        <w:ind w:firstLineChars="200" w:firstLine="420"/>
        <w:rPr>
          <w:rFonts w:ascii="宋体" w:hAnsi="宋体"/>
          <w:szCs w:val="21"/>
        </w:rPr>
      </w:pPr>
      <w:r>
        <w:rPr>
          <w:rFonts w:ascii="宋体" w:hAnsi="宋体" w:hint="eastAsia"/>
          <w:szCs w:val="21"/>
        </w:rPr>
        <w:t>（四）本托管协议一式陆份，除上报有关监管机构贰份外，基金管理人和基金托管人分别持贰份，每份具有同等的法律效力。</w:t>
      </w:r>
    </w:p>
    <w:p w:rsidR="00420A6C" w:rsidRDefault="00420A6C">
      <w:pPr>
        <w:pStyle w:val="1"/>
        <w:keepNext w:val="0"/>
        <w:keepLines w:val="0"/>
        <w:numPr>
          <w:ilvl w:val="0"/>
          <w:numId w:val="2"/>
        </w:numPr>
        <w:tabs>
          <w:tab w:val="left" w:pos="420"/>
          <w:tab w:val="left" w:pos="1922"/>
        </w:tabs>
        <w:autoSpaceDE w:val="0"/>
        <w:autoSpaceDN w:val="0"/>
        <w:adjustRightInd w:val="0"/>
        <w:spacing w:before="360" w:after="360"/>
        <w:textAlignment w:val="baseline"/>
        <w:rPr>
          <w:rFonts w:ascii="宋体" w:eastAsia="宋体" w:hAnsi="宋体" w:cs="Arial"/>
          <w:sz w:val="30"/>
          <w:szCs w:val="30"/>
        </w:rPr>
      </w:pPr>
      <w:bookmarkStart w:id="78" w:name="_Toc382819136"/>
      <w:r>
        <w:rPr>
          <w:rFonts w:ascii="宋体" w:eastAsia="宋体" w:hAnsi="宋体" w:cs="Arial" w:hint="eastAsia"/>
          <w:sz w:val="30"/>
          <w:szCs w:val="30"/>
        </w:rPr>
        <w:t>其他事项</w:t>
      </w:r>
      <w:bookmarkEnd w:id="78"/>
    </w:p>
    <w:p w:rsidR="00420A6C" w:rsidRDefault="00420A6C">
      <w:pPr>
        <w:pStyle w:val="a8"/>
        <w:rPr>
          <w:rFonts w:ascii="宋体" w:hAnsi="宋体"/>
          <w:szCs w:val="21"/>
        </w:rPr>
      </w:pPr>
      <w:r>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rsidR="00420A6C" w:rsidRDefault="00420A6C">
      <w:pPr>
        <w:pStyle w:val="a8"/>
        <w:rPr>
          <w:rFonts w:ascii="宋体" w:hAnsi="宋体"/>
          <w:szCs w:val="21"/>
        </w:rPr>
      </w:pPr>
      <w:r>
        <w:rPr>
          <w:rFonts w:ascii="宋体" w:hAnsi="宋体" w:hint="eastAsia"/>
          <w:szCs w:val="21"/>
        </w:rPr>
        <w:t>（二）本托管协议未尽事宜，当事人依据《基金合同》以及有关法律、法规和规定协商办理。</w:t>
      </w:r>
    </w:p>
    <w:p w:rsidR="00420A6C" w:rsidRDefault="00420A6C" w:rsidP="00190983">
      <w:pPr>
        <w:pStyle w:val="a8"/>
      </w:pPr>
      <w:r>
        <w:rPr>
          <w:rFonts w:ascii="宋体" w:hAnsi="宋体" w:hint="eastAsia"/>
          <w:szCs w:val="21"/>
        </w:rPr>
        <w:t>（三）双方约定的其他事项（若有）</w:t>
      </w:r>
    </w:p>
    <w:sectPr w:rsidR="00420A6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12D" w:rsidRDefault="0038512D">
      <w:r>
        <w:separator/>
      </w:r>
    </w:p>
  </w:endnote>
  <w:endnote w:type="continuationSeparator" w:id="0">
    <w:p w:rsidR="0038512D" w:rsidRDefault="0038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D95" w:rsidRDefault="003D1D95">
    <w:pPr>
      <w:pStyle w:val="a5"/>
      <w:jc w:val="center"/>
    </w:pPr>
  </w:p>
  <w:p w:rsidR="00420A6C" w:rsidRDefault="00420A6C" w:rsidP="003D1D95">
    <w:pPr>
      <w:pStyle w:val="a5"/>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812920"/>
      <w:docPartObj>
        <w:docPartGallery w:val="Page Numbers (Bottom of Page)"/>
        <w:docPartUnique/>
      </w:docPartObj>
    </w:sdtPr>
    <w:sdtEndPr/>
    <w:sdtContent>
      <w:p w:rsidR="003D1D95" w:rsidRDefault="003D1D95">
        <w:pPr>
          <w:pStyle w:val="a5"/>
          <w:jc w:val="center"/>
        </w:pPr>
        <w:r>
          <w:fldChar w:fldCharType="begin"/>
        </w:r>
        <w:r>
          <w:instrText>PAGE   \* MERGEFORMAT</w:instrText>
        </w:r>
        <w:r>
          <w:fldChar w:fldCharType="separate"/>
        </w:r>
        <w:r w:rsidR="00374BD2" w:rsidRPr="00374BD2">
          <w:rPr>
            <w:noProof/>
            <w:lang w:val="zh-CN"/>
          </w:rPr>
          <w:t>21</w:t>
        </w:r>
        <w:r>
          <w:fldChar w:fldCharType="end"/>
        </w:r>
      </w:p>
    </w:sdtContent>
  </w:sdt>
  <w:p w:rsidR="003D1D95" w:rsidRDefault="003D1D95" w:rsidP="003D1D95">
    <w:pPr>
      <w:pStyle w:val="a5"/>
      <w:tabs>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12D" w:rsidRDefault="0038512D">
      <w:r>
        <w:separator/>
      </w:r>
    </w:p>
  </w:footnote>
  <w:footnote w:type="continuationSeparator" w:id="0">
    <w:p w:rsidR="0038512D" w:rsidRDefault="00385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A6C" w:rsidRDefault="00420A6C">
    <w:pPr>
      <w:pStyle w:val="a7"/>
      <w:jc w:val="right"/>
    </w:pPr>
    <w:r>
      <w:rPr>
        <w:rFonts w:hint="eastAsia"/>
      </w:rPr>
      <w:t>银华尊尚稳健养老目标一年持有期混合型发起</w:t>
    </w:r>
    <w:proofErr w:type="gramStart"/>
    <w:r>
      <w:rPr>
        <w:rFonts w:hint="eastAsia"/>
      </w:rPr>
      <w:t>式基金</w:t>
    </w:r>
    <w:proofErr w:type="gramEnd"/>
    <w:r>
      <w:rPr>
        <w:rFonts w:hint="eastAsia"/>
      </w:rPr>
      <w:t>中基金（</w:t>
    </w:r>
    <w:r>
      <w:rPr>
        <w:rFonts w:hint="eastAsia"/>
      </w:rPr>
      <w:t>FOF</w:t>
    </w:r>
    <w:r>
      <w:rPr>
        <w:rFonts w:hint="eastAsia"/>
      </w:rPr>
      <w:t>）</w:t>
    </w:r>
    <w:r>
      <w:rPr>
        <w:rFonts w:hint="eastAsia"/>
      </w:rPr>
      <w:t>------------------------------------</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538E2"/>
    <w:multiLevelType w:val="multilevel"/>
    <w:tmpl w:val="266538E2"/>
    <w:lvl w:ilvl="0">
      <w:start w:val="1"/>
      <w:numFmt w:val="chineseCountingThousand"/>
      <w:pStyle w:val="1"/>
      <w:lvlText w:val="第%1章  "/>
      <w:lvlJc w:val="left"/>
      <w:pPr>
        <w:tabs>
          <w:tab w:val="num" w:pos="1922"/>
        </w:tabs>
        <w:ind w:left="0" w:firstLine="482"/>
      </w:pPr>
      <w:rPr>
        <w:rFonts w:hint="eastAsia"/>
      </w:rPr>
    </w:lvl>
    <w:lvl w:ilvl="1">
      <w:start w:val="1"/>
      <w:numFmt w:val="chineseCountingThousand"/>
      <w:lvlText w:val="第%2节  "/>
      <w:lvlJc w:val="left"/>
      <w:pPr>
        <w:tabs>
          <w:tab w:val="num"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num" w:pos="2835"/>
        </w:tabs>
        <w:ind w:left="2835" w:hanging="426"/>
      </w:pPr>
      <w:rPr>
        <w:rFonts w:ascii="宋体" w:eastAsia="宋体"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1">
    <w:nsid w:val="5F952C2D"/>
    <w:multiLevelType w:val="multilevel"/>
    <w:tmpl w:val="5F952C2D"/>
    <w:lvl w:ilvl="0">
      <w:start w:val="1"/>
      <w:numFmt w:val="chineseCountingThousand"/>
      <w:suff w:val="nothing"/>
      <w:lvlText w:val="%1、"/>
      <w:lvlJc w:val="center"/>
      <w:pPr>
        <w:ind w:left="0" w:firstLine="288"/>
      </w:pPr>
      <w:rPr>
        <w:rFonts w:hint="eastAsia"/>
        <w:sz w:val="30"/>
        <w:szCs w:val="30"/>
        <w:lang w:val="en-US"/>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41DF"/>
    <w:rsid w:val="00010729"/>
    <w:rsid w:val="000123EB"/>
    <w:rsid w:val="00014998"/>
    <w:rsid w:val="000246AC"/>
    <w:rsid w:val="00040334"/>
    <w:rsid w:val="00050C79"/>
    <w:rsid w:val="00053197"/>
    <w:rsid w:val="00060F8F"/>
    <w:rsid w:val="0006509E"/>
    <w:rsid w:val="00070C46"/>
    <w:rsid w:val="00074F98"/>
    <w:rsid w:val="00080622"/>
    <w:rsid w:val="00081871"/>
    <w:rsid w:val="000A2752"/>
    <w:rsid w:val="000A322F"/>
    <w:rsid w:val="000A7039"/>
    <w:rsid w:val="000B7BEA"/>
    <w:rsid w:val="000D48D0"/>
    <w:rsid w:val="000E7AE1"/>
    <w:rsid w:val="000F1EB1"/>
    <w:rsid w:val="000F22DF"/>
    <w:rsid w:val="000F581B"/>
    <w:rsid w:val="00101A3D"/>
    <w:rsid w:val="001142CF"/>
    <w:rsid w:val="00117DCC"/>
    <w:rsid w:val="0015184C"/>
    <w:rsid w:val="00152C4A"/>
    <w:rsid w:val="00160F48"/>
    <w:rsid w:val="00162C4A"/>
    <w:rsid w:val="0016302A"/>
    <w:rsid w:val="00166E7D"/>
    <w:rsid w:val="00170D13"/>
    <w:rsid w:val="00177C10"/>
    <w:rsid w:val="00177C69"/>
    <w:rsid w:val="0018614A"/>
    <w:rsid w:val="00190962"/>
    <w:rsid w:val="00190983"/>
    <w:rsid w:val="001A1969"/>
    <w:rsid w:val="001B1E8C"/>
    <w:rsid w:val="001B7506"/>
    <w:rsid w:val="001C483E"/>
    <w:rsid w:val="001C5433"/>
    <w:rsid w:val="00203F42"/>
    <w:rsid w:val="00203F4E"/>
    <w:rsid w:val="00213723"/>
    <w:rsid w:val="00253F14"/>
    <w:rsid w:val="00272EB9"/>
    <w:rsid w:val="002755B8"/>
    <w:rsid w:val="00275D36"/>
    <w:rsid w:val="00276C95"/>
    <w:rsid w:val="00291D76"/>
    <w:rsid w:val="00292167"/>
    <w:rsid w:val="002A515B"/>
    <w:rsid w:val="002B6532"/>
    <w:rsid w:val="002C1EAB"/>
    <w:rsid w:val="002C205B"/>
    <w:rsid w:val="002C7C71"/>
    <w:rsid w:val="002D55B8"/>
    <w:rsid w:val="002D57D9"/>
    <w:rsid w:val="002D5934"/>
    <w:rsid w:val="002F25C1"/>
    <w:rsid w:val="00307D41"/>
    <w:rsid w:val="00327DA9"/>
    <w:rsid w:val="00340A66"/>
    <w:rsid w:val="00344AA5"/>
    <w:rsid w:val="003577EE"/>
    <w:rsid w:val="003747A1"/>
    <w:rsid w:val="00374BD2"/>
    <w:rsid w:val="00382975"/>
    <w:rsid w:val="0038512D"/>
    <w:rsid w:val="0039793B"/>
    <w:rsid w:val="003A2B06"/>
    <w:rsid w:val="003A2D0C"/>
    <w:rsid w:val="003B7EFD"/>
    <w:rsid w:val="003C3043"/>
    <w:rsid w:val="003C79A0"/>
    <w:rsid w:val="003D1D95"/>
    <w:rsid w:val="003E1652"/>
    <w:rsid w:val="003E1C92"/>
    <w:rsid w:val="00411554"/>
    <w:rsid w:val="00420A6C"/>
    <w:rsid w:val="004315E0"/>
    <w:rsid w:val="0043512A"/>
    <w:rsid w:val="0044356C"/>
    <w:rsid w:val="004666E9"/>
    <w:rsid w:val="00483379"/>
    <w:rsid w:val="0049232C"/>
    <w:rsid w:val="004A6066"/>
    <w:rsid w:val="004A6BC1"/>
    <w:rsid w:val="004B0240"/>
    <w:rsid w:val="004C5AC8"/>
    <w:rsid w:val="004E4CB4"/>
    <w:rsid w:val="004F1A4E"/>
    <w:rsid w:val="004F25BD"/>
    <w:rsid w:val="00502CA4"/>
    <w:rsid w:val="005134AB"/>
    <w:rsid w:val="005159DE"/>
    <w:rsid w:val="005251AC"/>
    <w:rsid w:val="00542EBE"/>
    <w:rsid w:val="0055177B"/>
    <w:rsid w:val="0056355B"/>
    <w:rsid w:val="00581899"/>
    <w:rsid w:val="00587F80"/>
    <w:rsid w:val="005A2468"/>
    <w:rsid w:val="005A24B0"/>
    <w:rsid w:val="005A4382"/>
    <w:rsid w:val="005A64A3"/>
    <w:rsid w:val="005B5D51"/>
    <w:rsid w:val="005C0F7B"/>
    <w:rsid w:val="005C31B4"/>
    <w:rsid w:val="005C4C29"/>
    <w:rsid w:val="005E03BC"/>
    <w:rsid w:val="005E0F19"/>
    <w:rsid w:val="005E5F37"/>
    <w:rsid w:val="005F4802"/>
    <w:rsid w:val="00606F78"/>
    <w:rsid w:val="006208B9"/>
    <w:rsid w:val="0062565D"/>
    <w:rsid w:val="006442DD"/>
    <w:rsid w:val="006509FC"/>
    <w:rsid w:val="00664EA8"/>
    <w:rsid w:val="00670BCD"/>
    <w:rsid w:val="006835B2"/>
    <w:rsid w:val="00691313"/>
    <w:rsid w:val="0069592C"/>
    <w:rsid w:val="006A3CB2"/>
    <w:rsid w:val="006A5D5A"/>
    <w:rsid w:val="006A5F2B"/>
    <w:rsid w:val="006A69AD"/>
    <w:rsid w:val="006B1820"/>
    <w:rsid w:val="006C7306"/>
    <w:rsid w:val="006D20B0"/>
    <w:rsid w:val="006E032F"/>
    <w:rsid w:val="006E4FC1"/>
    <w:rsid w:val="0070524E"/>
    <w:rsid w:val="00761357"/>
    <w:rsid w:val="00770FF2"/>
    <w:rsid w:val="00795A37"/>
    <w:rsid w:val="007A3F31"/>
    <w:rsid w:val="007D0DB8"/>
    <w:rsid w:val="007D5F9E"/>
    <w:rsid w:val="007E2583"/>
    <w:rsid w:val="007E5556"/>
    <w:rsid w:val="007F2E2A"/>
    <w:rsid w:val="008009F0"/>
    <w:rsid w:val="008050F2"/>
    <w:rsid w:val="00822CCC"/>
    <w:rsid w:val="00826455"/>
    <w:rsid w:val="0082784F"/>
    <w:rsid w:val="008315A7"/>
    <w:rsid w:val="00842FA7"/>
    <w:rsid w:val="008434C1"/>
    <w:rsid w:val="008450D5"/>
    <w:rsid w:val="0087186C"/>
    <w:rsid w:val="00890820"/>
    <w:rsid w:val="008923C7"/>
    <w:rsid w:val="008C1C0E"/>
    <w:rsid w:val="008D4C0E"/>
    <w:rsid w:val="008D62E5"/>
    <w:rsid w:val="008E5DC6"/>
    <w:rsid w:val="008F08DC"/>
    <w:rsid w:val="008F0CBE"/>
    <w:rsid w:val="00922885"/>
    <w:rsid w:val="009342DB"/>
    <w:rsid w:val="009356F5"/>
    <w:rsid w:val="009568A1"/>
    <w:rsid w:val="00977A77"/>
    <w:rsid w:val="00980631"/>
    <w:rsid w:val="00990ADE"/>
    <w:rsid w:val="0099659A"/>
    <w:rsid w:val="009B12D4"/>
    <w:rsid w:val="009B6566"/>
    <w:rsid w:val="009C08CC"/>
    <w:rsid w:val="009C0AF9"/>
    <w:rsid w:val="009C64E1"/>
    <w:rsid w:val="009D2D46"/>
    <w:rsid w:val="009E4BD0"/>
    <w:rsid w:val="009F53C2"/>
    <w:rsid w:val="00A0164C"/>
    <w:rsid w:val="00A040BD"/>
    <w:rsid w:val="00A16100"/>
    <w:rsid w:val="00A16F02"/>
    <w:rsid w:val="00A265EC"/>
    <w:rsid w:val="00A30536"/>
    <w:rsid w:val="00A4267B"/>
    <w:rsid w:val="00A436B5"/>
    <w:rsid w:val="00A53663"/>
    <w:rsid w:val="00A824A0"/>
    <w:rsid w:val="00A90925"/>
    <w:rsid w:val="00AA13D2"/>
    <w:rsid w:val="00AD01D0"/>
    <w:rsid w:val="00AD1219"/>
    <w:rsid w:val="00AE00F6"/>
    <w:rsid w:val="00AE6718"/>
    <w:rsid w:val="00AF5BE0"/>
    <w:rsid w:val="00B37BAB"/>
    <w:rsid w:val="00B431DA"/>
    <w:rsid w:val="00B44094"/>
    <w:rsid w:val="00B57271"/>
    <w:rsid w:val="00B72CCC"/>
    <w:rsid w:val="00B83650"/>
    <w:rsid w:val="00B9277D"/>
    <w:rsid w:val="00B935B0"/>
    <w:rsid w:val="00B96B24"/>
    <w:rsid w:val="00B972AD"/>
    <w:rsid w:val="00BA076E"/>
    <w:rsid w:val="00BA6CB8"/>
    <w:rsid w:val="00BD0108"/>
    <w:rsid w:val="00BD43C7"/>
    <w:rsid w:val="00C07EFF"/>
    <w:rsid w:val="00C31463"/>
    <w:rsid w:val="00C32987"/>
    <w:rsid w:val="00C3484E"/>
    <w:rsid w:val="00C41C25"/>
    <w:rsid w:val="00C60E92"/>
    <w:rsid w:val="00C61BA6"/>
    <w:rsid w:val="00C62ACD"/>
    <w:rsid w:val="00C70DAB"/>
    <w:rsid w:val="00C761F4"/>
    <w:rsid w:val="00C820A3"/>
    <w:rsid w:val="00C838D1"/>
    <w:rsid w:val="00C87522"/>
    <w:rsid w:val="00C90FA9"/>
    <w:rsid w:val="00C91D19"/>
    <w:rsid w:val="00CA020A"/>
    <w:rsid w:val="00CF6712"/>
    <w:rsid w:val="00D2332F"/>
    <w:rsid w:val="00D30E3A"/>
    <w:rsid w:val="00D30E63"/>
    <w:rsid w:val="00D32C3A"/>
    <w:rsid w:val="00D33F74"/>
    <w:rsid w:val="00D3667B"/>
    <w:rsid w:val="00D41971"/>
    <w:rsid w:val="00D542D2"/>
    <w:rsid w:val="00D56AF2"/>
    <w:rsid w:val="00D606A2"/>
    <w:rsid w:val="00D75FAE"/>
    <w:rsid w:val="00D85EAE"/>
    <w:rsid w:val="00D8649A"/>
    <w:rsid w:val="00D90ED3"/>
    <w:rsid w:val="00DD4000"/>
    <w:rsid w:val="00DD4D55"/>
    <w:rsid w:val="00DE6D04"/>
    <w:rsid w:val="00DF23D8"/>
    <w:rsid w:val="00DF25E6"/>
    <w:rsid w:val="00DF28F4"/>
    <w:rsid w:val="00DF4300"/>
    <w:rsid w:val="00E13468"/>
    <w:rsid w:val="00E3001C"/>
    <w:rsid w:val="00E44CB0"/>
    <w:rsid w:val="00E45991"/>
    <w:rsid w:val="00E47959"/>
    <w:rsid w:val="00E65EC9"/>
    <w:rsid w:val="00E710CD"/>
    <w:rsid w:val="00E72C6C"/>
    <w:rsid w:val="00E75B9B"/>
    <w:rsid w:val="00E81FF1"/>
    <w:rsid w:val="00E851A7"/>
    <w:rsid w:val="00E86DC0"/>
    <w:rsid w:val="00E941B2"/>
    <w:rsid w:val="00EA2610"/>
    <w:rsid w:val="00EA43AF"/>
    <w:rsid w:val="00EA4439"/>
    <w:rsid w:val="00EC2914"/>
    <w:rsid w:val="00EC2DD8"/>
    <w:rsid w:val="00EC6FD4"/>
    <w:rsid w:val="00ED47D6"/>
    <w:rsid w:val="00ED7A9A"/>
    <w:rsid w:val="00EF1C60"/>
    <w:rsid w:val="00EF244B"/>
    <w:rsid w:val="00EF288C"/>
    <w:rsid w:val="00EF6807"/>
    <w:rsid w:val="00F17853"/>
    <w:rsid w:val="00F3112B"/>
    <w:rsid w:val="00F37FB3"/>
    <w:rsid w:val="00F54FE6"/>
    <w:rsid w:val="00F80E17"/>
    <w:rsid w:val="00F93040"/>
    <w:rsid w:val="00F97C34"/>
    <w:rsid w:val="00FA77A2"/>
    <w:rsid w:val="00FC0797"/>
    <w:rsid w:val="00FE1C9A"/>
    <w:rsid w:val="00FF4C78"/>
    <w:rsid w:val="05BF177B"/>
    <w:rsid w:val="0F6E3778"/>
    <w:rsid w:val="1B4D1B90"/>
    <w:rsid w:val="20DC2BF3"/>
    <w:rsid w:val="23211F16"/>
    <w:rsid w:val="3AA07BC2"/>
    <w:rsid w:val="460406A0"/>
    <w:rsid w:val="4EFC215B"/>
    <w:rsid w:val="4FD225E7"/>
    <w:rsid w:val="51FD6C70"/>
    <w:rsid w:val="5E584C40"/>
    <w:rsid w:val="67881434"/>
    <w:rsid w:val="734E2BC9"/>
    <w:rsid w:val="76B109F6"/>
    <w:rsid w:val="78A57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37F16FD0-2679-4EAF-B992-F2209053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numPr>
        <w:numId w:val="1"/>
      </w:numPr>
      <w:tabs>
        <w:tab w:val="left" w:pos="1922"/>
      </w:tabs>
      <w:spacing w:before="120" w:after="120" w:line="360" w:lineRule="auto"/>
      <w:jc w:val="center"/>
      <w:outlineLvl w:val="0"/>
    </w:pPr>
    <w:rPr>
      <w:rFonts w:ascii="黑体" w:eastAsia="黑体"/>
      <w:b/>
      <w:kern w:val="44"/>
      <w:sz w:val="32"/>
      <w:szCs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numPr>
        <w:ilvl w:val="2"/>
        <w:numId w:val="1"/>
      </w:numPr>
      <w:spacing w:line="300" w:lineRule="auto"/>
      <w:outlineLvl w:val="2"/>
    </w:pPr>
    <w:rPr>
      <w:rFonts w:ascii="Arial" w:eastAsia="仿宋_GB2312" w:hAnsi="Arial"/>
      <w:b/>
      <w:sz w:val="24"/>
      <w:szCs w:val="20"/>
      <w:lang w:val="zh-CN"/>
    </w:rPr>
  </w:style>
  <w:style w:type="paragraph" w:styleId="4">
    <w:name w:val="heading 4"/>
    <w:basedOn w:val="a"/>
    <w:next w:val="a"/>
    <w:link w:val="4Char"/>
    <w:qFormat/>
    <w:pPr>
      <w:keepNext/>
      <w:keepLines/>
      <w:numPr>
        <w:ilvl w:val="3"/>
        <w:numId w:val="1"/>
      </w:numPr>
      <w:spacing w:line="360" w:lineRule="auto"/>
      <w:outlineLvl w:val="3"/>
    </w:pPr>
    <w:rPr>
      <w:rFonts w:ascii="Arial" w:eastAsia="仿宋_GB2312" w:hAnsi="Arial"/>
      <w:sz w:val="24"/>
      <w:szCs w:val="20"/>
      <w:lang w:val="zh-CN"/>
    </w:rPr>
  </w:style>
  <w:style w:type="paragraph" w:styleId="5">
    <w:name w:val="heading 5"/>
    <w:basedOn w:val="a"/>
    <w:next w:val="a"/>
    <w:link w:val="5Char"/>
    <w:qFormat/>
    <w:pPr>
      <w:numPr>
        <w:ilvl w:val="4"/>
        <w:numId w:val="1"/>
      </w:numPr>
      <w:spacing w:line="360" w:lineRule="auto"/>
      <w:outlineLvl w:val="4"/>
    </w:pPr>
    <w:rPr>
      <w:rFonts w:ascii="Arial" w:eastAsia="仿宋_GB2312" w:hAnsi="Arial"/>
      <w:sz w:val="24"/>
      <w:szCs w:val="20"/>
      <w:lang w:val="zh-CN"/>
    </w:rPr>
  </w:style>
  <w:style w:type="paragraph" w:styleId="6">
    <w:name w:val="heading 6"/>
    <w:basedOn w:val="a"/>
    <w:next w:val="a"/>
    <w:link w:val="6Char"/>
    <w:qFormat/>
    <w:pPr>
      <w:numPr>
        <w:ilvl w:val="5"/>
        <w:numId w:val="1"/>
      </w:numPr>
      <w:spacing w:line="300" w:lineRule="auto"/>
      <w:outlineLvl w:val="5"/>
    </w:pPr>
    <w:rPr>
      <w:rFonts w:ascii="Arial" w:eastAsia="仿宋_GB2312" w:hAnsi="Arial"/>
      <w:sz w:val="24"/>
      <w:szCs w:val="20"/>
      <w:lang w:val="zh-CN"/>
    </w:rPr>
  </w:style>
  <w:style w:type="paragraph" w:styleId="7">
    <w:name w:val="heading 7"/>
    <w:basedOn w:val="a"/>
    <w:next w:val="a0"/>
    <w:link w:val="7Char"/>
    <w:qFormat/>
    <w:pPr>
      <w:keepNext/>
      <w:keepLines/>
      <w:numPr>
        <w:ilvl w:val="6"/>
        <w:numId w:val="1"/>
      </w:numPr>
      <w:tabs>
        <w:tab w:val="left" w:pos="2835"/>
      </w:tabs>
      <w:spacing w:line="360" w:lineRule="auto"/>
      <w:outlineLvl w:val="6"/>
    </w:pPr>
    <w:rPr>
      <w:rFonts w:ascii="仿宋_GB2312" w:eastAsia="仿宋_GB2312"/>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批注文字 Char"/>
    <w:link w:val="a4"/>
    <w:qFormat/>
    <w:rPr>
      <w:rFonts w:ascii="Times New Roman" w:eastAsia="宋体" w:hAnsi="Times New Roman" w:cs="Times New Roman"/>
      <w:szCs w:val="24"/>
    </w:rPr>
  </w:style>
  <w:style w:type="character" w:customStyle="1" w:styleId="Char0">
    <w:name w:val="页脚 Char"/>
    <w:link w:val="a5"/>
    <w:uiPriority w:val="99"/>
    <w:rPr>
      <w:sz w:val="18"/>
      <w:szCs w:val="18"/>
    </w:rPr>
  </w:style>
  <w:style w:type="character" w:customStyle="1" w:styleId="Char1">
    <w:name w:val="批注框文本 Char"/>
    <w:link w:val="a6"/>
    <w:uiPriority w:val="99"/>
    <w:semiHidden/>
    <w:qFormat/>
    <w:rPr>
      <w:rFonts w:ascii="Times New Roman" w:eastAsia="宋体" w:hAnsi="Times New Roman" w:cs="Times New Roman"/>
      <w:sz w:val="18"/>
      <w:szCs w:val="18"/>
    </w:rPr>
  </w:style>
  <w:style w:type="character" w:customStyle="1" w:styleId="4Char">
    <w:name w:val="标题 4 Char"/>
    <w:link w:val="4"/>
    <w:qFormat/>
    <w:rPr>
      <w:rFonts w:ascii="Arial" w:eastAsia="仿宋_GB2312" w:hAnsi="Arial" w:cs="Times New Roman"/>
      <w:sz w:val="24"/>
      <w:szCs w:val="20"/>
      <w:lang w:val="zh-CN" w:eastAsia="zh-CN"/>
    </w:rPr>
  </w:style>
  <w:style w:type="character" w:customStyle="1" w:styleId="Char2">
    <w:name w:val="正文缩进 Char"/>
    <w:link w:val="a0"/>
    <w:uiPriority w:val="99"/>
    <w:qFormat/>
    <w:rPr>
      <w:rFonts w:ascii="Calibri" w:eastAsia="宋体" w:hAnsi="Calibri" w:cs="Times New Roman"/>
      <w:szCs w:val="24"/>
    </w:rPr>
  </w:style>
  <w:style w:type="character" w:customStyle="1" w:styleId="7Char">
    <w:name w:val="标题 7 Char"/>
    <w:link w:val="7"/>
    <w:rPr>
      <w:rFonts w:ascii="仿宋_GB2312" w:eastAsia="仿宋_GB2312" w:hAnsi="Times New Roman" w:cs="Times New Roman"/>
      <w:sz w:val="24"/>
      <w:szCs w:val="20"/>
      <w:lang w:val="zh-CN" w:eastAsia="zh-CN"/>
    </w:rPr>
  </w:style>
  <w:style w:type="character" w:customStyle="1" w:styleId="6Char">
    <w:name w:val="标题 6 Char"/>
    <w:link w:val="6"/>
    <w:qFormat/>
    <w:rPr>
      <w:rFonts w:ascii="Arial" w:eastAsia="仿宋_GB2312" w:hAnsi="Arial" w:cs="Times New Roman"/>
      <w:sz w:val="24"/>
      <w:szCs w:val="20"/>
      <w:lang w:val="zh-CN" w:eastAsia="zh-CN"/>
    </w:rPr>
  </w:style>
  <w:style w:type="character" w:customStyle="1" w:styleId="2Char">
    <w:name w:val="标题 2 Char"/>
    <w:link w:val="2"/>
    <w:rPr>
      <w:rFonts w:ascii="Arial" w:eastAsia="黑体" w:hAnsi="Arial" w:cs="Times New Roman"/>
      <w:b/>
      <w:bCs/>
      <w:sz w:val="32"/>
      <w:szCs w:val="32"/>
    </w:rPr>
  </w:style>
  <w:style w:type="character" w:customStyle="1" w:styleId="Char3">
    <w:name w:val="页眉 Char"/>
    <w:link w:val="a7"/>
    <w:uiPriority w:val="99"/>
    <w:rPr>
      <w:sz w:val="18"/>
      <w:szCs w:val="18"/>
    </w:rPr>
  </w:style>
  <w:style w:type="character" w:customStyle="1" w:styleId="5Char">
    <w:name w:val="标题 5 Char"/>
    <w:link w:val="5"/>
    <w:rPr>
      <w:rFonts w:ascii="Arial" w:eastAsia="仿宋_GB2312" w:hAnsi="Arial" w:cs="Times New Roman"/>
      <w:sz w:val="24"/>
      <w:szCs w:val="20"/>
      <w:lang w:val="zh-CN" w:eastAsia="zh-CN"/>
    </w:rPr>
  </w:style>
  <w:style w:type="character" w:customStyle="1" w:styleId="3Char">
    <w:name w:val="标题 3 Char"/>
    <w:link w:val="3"/>
    <w:rPr>
      <w:rFonts w:ascii="Arial" w:eastAsia="仿宋_GB2312" w:hAnsi="Arial" w:cs="Times New Roman"/>
      <w:b/>
      <w:sz w:val="24"/>
      <w:szCs w:val="20"/>
      <w:lang w:val="zh-CN" w:eastAsia="zh-CN"/>
    </w:rPr>
  </w:style>
  <w:style w:type="character" w:customStyle="1" w:styleId="1Char">
    <w:name w:val="标题 1 Char"/>
    <w:link w:val="1"/>
    <w:rPr>
      <w:rFonts w:ascii="黑体" w:eastAsia="黑体" w:hAnsi="Times New Roman" w:cs="Times New Roman"/>
      <w:b/>
      <w:kern w:val="44"/>
      <w:sz w:val="32"/>
      <w:szCs w:val="20"/>
      <w:lang w:val="zh-CN" w:eastAsia="zh-CN"/>
    </w:rPr>
  </w:style>
  <w:style w:type="character" w:customStyle="1" w:styleId="Char4">
    <w:name w:val="正文文本缩进 Char"/>
    <w:link w:val="a8"/>
    <w:qFormat/>
    <w:rPr>
      <w:rFonts w:ascii="Times New Roman" w:eastAsia="宋体" w:hAnsi="Times New Roman" w:cs="Times New Roman"/>
      <w:szCs w:val="24"/>
      <w:lang w:val="zh-CN" w:eastAsia="zh-CN"/>
    </w:rPr>
  </w:style>
  <w:style w:type="character" w:customStyle="1" w:styleId="2Char0">
    <w:name w:val="正文文本缩进 2 Char"/>
    <w:link w:val="20"/>
    <w:qFormat/>
    <w:rPr>
      <w:rFonts w:ascii="仿宋_GB2312" w:eastAsia="仿宋_GB2312" w:hAnsi="Calibri" w:cs="Times New Roman"/>
      <w:sz w:val="24"/>
      <w:szCs w:val="20"/>
    </w:rPr>
  </w:style>
  <w:style w:type="character" w:customStyle="1" w:styleId="Char5">
    <w:name w:val="批注主题 Char"/>
    <w:link w:val="a9"/>
    <w:uiPriority w:val="99"/>
    <w:semiHidden/>
    <w:qFormat/>
    <w:rPr>
      <w:rFonts w:ascii="Times New Roman" w:eastAsia="宋体" w:hAnsi="Times New Roman" w:cs="Times New Roman"/>
      <w:b/>
      <w:bCs/>
      <w:szCs w:val="24"/>
    </w:rPr>
  </w:style>
  <w:style w:type="character" w:styleId="aa">
    <w:name w:val="Hyperlink"/>
    <w:uiPriority w:val="99"/>
    <w:qFormat/>
    <w:rPr>
      <w:color w:val="0000FF"/>
      <w:u w:val="single"/>
    </w:rPr>
  </w:style>
  <w:style w:type="character" w:styleId="ab">
    <w:name w:val="annotation reference"/>
    <w:unhideWhenUsed/>
    <w:qFormat/>
    <w:rPr>
      <w:sz w:val="21"/>
      <w:szCs w:val="21"/>
    </w:rPr>
  </w:style>
  <w:style w:type="paragraph" w:customStyle="1" w:styleId="ac">
    <w:name w:val="正文正文"/>
    <w:basedOn w:val="a"/>
    <w:uiPriority w:val="99"/>
    <w:qFormat/>
    <w:pPr>
      <w:spacing w:afterLines="25" w:after="25" w:line="360" w:lineRule="auto"/>
      <w:ind w:firstLineChars="200" w:firstLine="200"/>
    </w:pPr>
    <w:rPr>
      <w:sz w:val="24"/>
    </w:rPr>
  </w:style>
  <w:style w:type="paragraph" w:styleId="a9">
    <w:name w:val="annotation subject"/>
    <w:basedOn w:val="a4"/>
    <w:next w:val="a4"/>
    <w:link w:val="Char5"/>
    <w:uiPriority w:val="99"/>
    <w:unhideWhenUsed/>
    <w:qFormat/>
    <w:rPr>
      <w:b/>
      <w:bCs/>
    </w:rPr>
  </w:style>
  <w:style w:type="paragraph" w:styleId="a0">
    <w:name w:val="Normal Indent"/>
    <w:basedOn w:val="a"/>
    <w:link w:val="Char2"/>
    <w:uiPriority w:val="99"/>
    <w:qFormat/>
    <w:pPr>
      <w:ind w:firstLineChars="200" w:firstLine="420"/>
    </w:pPr>
    <w:rPr>
      <w:rFonts w:ascii="Calibri" w:hAnsi="Calibri"/>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Balloon Text"/>
    <w:basedOn w:val="a"/>
    <w:link w:val="Char1"/>
    <w:uiPriority w:val="99"/>
    <w:unhideWhenUsed/>
    <w:qFormat/>
    <w:rPr>
      <w:sz w:val="18"/>
      <w:szCs w:val="18"/>
    </w:rPr>
  </w:style>
  <w:style w:type="paragraph" w:styleId="a4">
    <w:name w:val="annotation text"/>
    <w:basedOn w:val="a"/>
    <w:link w:val="Char"/>
    <w:unhideWhenUsed/>
    <w:qFormat/>
    <w:pPr>
      <w:jc w:val="left"/>
    </w:pPr>
  </w:style>
  <w:style w:type="paragraph" w:styleId="10">
    <w:name w:val="toc 1"/>
    <w:basedOn w:val="a"/>
    <w:next w:val="a"/>
    <w:uiPriority w:val="39"/>
    <w:qFormat/>
  </w:style>
  <w:style w:type="paragraph" w:styleId="20">
    <w:name w:val="Body Text Indent 2"/>
    <w:basedOn w:val="a"/>
    <w:link w:val="2Char0"/>
    <w:pPr>
      <w:spacing w:line="360" w:lineRule="auto"/>
      <w:ind w:firstLine="480"/>
      <w:outlineLvl w:val="0"/>
    </w:pPr>
    <w:rPr>
      <w:rFonts w:ascii="仿宋_GB2312" w:eastAsia="仿宋_GB2312" w:hAnsi="Calibri"/>
      <w:sz w:val="24"/>
      <w:szCs w:val="20"/>
    </w:rPr>
  </w:style>
  <w:style w:type="paragraph" w:styleId="a8">
    <w:name w:val="Body Text Indent"/>
    <w:basedOn w:val="a"/>
    <w:link w:val="Char4"/>
    <w:pPr>
      <w:spacing w:line="360" w:lineRule="auto"/>
      <w:ind w:firstLineChars="171" w:firstLine="359"/>
    </w:pPr>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38</Pages>
  <Words>4995</Words>
  <Characters>28476</Characters>
  <Application>Microsoft Office Word</Application>
  <DocSecurity>0</DocSecurity>
  <Lines>237</Lines>
  <Paragraphs>66</Paragraphs>
  <ScaleCrop>false</ScaleCrop>
  <Company/>
  <LinksUpToDate>false</LinksUpToDate>
  <CharactersWithSpaces>33405</CharactersWithSpaces>
  <SharedDoc>false</SharedDoc>
  <HLinks>
    <vt:vector size="114" baseType="variant">
      <vt:variant>
        <vt:i4>1900593</vt:i4>
      </vt:variant>
      <vt:variant>
        <vt:i4>110</vt:i4>
      </vt:variant>
      <vt:variant>
        <vt:i4>0</vt:i4>
      </vt:variant>
      <vt:variant>
        <vt:i4>5</vt:i4>
      </vt:variant>
      <vt:variant>
        <vt:lpwstr/>
      </vt:variant>
      <vt:variant>
        <vt:lpwstr>_Toc382819136</vt:lpwstr>
      </vt:variant>
      <vt:variant>
        <vt:i4>1900593</vt:i4>
      </vt:variant>
      <vt:variant>
        <vt:i4>104</vt:i4>
      </vt:variant>
      <vt:variant>
        <vt:i4>0</vt:i4>
      </vt:variant>
      <vt:variant>
        <vt:i4>5</vt:i4>
      </vt:variant>
      <vt:variant>
        <vt:lpwstr/>
      </vt:variant>
      <vt:variant>
        <vt:lpwstr>_Toc382819135</vt:lpwstr>
      </vt:variant>
      <vt:variant>
        <vt:i4>1900593</vt:i4>
      </vt:variant>
      <vt:variant>
        <vt:i4>98</vt:i4>
      </vt:variant>
      <vt:variant>
        <vt:i4>0</vt:i4>
      </vt:variant>
      <vt:variant>
        <vt:i4>5</vt:i4>
      </vt:variant>
      <vt:variant>
        <vt:lpwstr/>
      </vt:variant>
      <vt:variant>
        <vt:lpwstr>_Toc382819134</vt:lpwstr>
      </vt:variant>
      <vt:variant>
        <vt:i4>1900593</vt:i4>
      </vt:variant>
      <vt:variant>
        <vt:i4>92</vt:i4>
      </vt:variant>
      <vt:variant>
        <vt:i4>0</vt:i4>
      </vt:variant>
      <vt:variant>
        <vt:i4>5</vt:i4>
      </vt:variant>
      <vt:variant>
        <vt:lpwstr/>
      </vt:variant>
      <vt:variant>
        <vt:lpwstr>_Toc382819133</vt:lpwstr>
      </vt:variant>
      <vt:variant>
        <vt:i4>1900593</vt:i4>
      </vt:variant>
      <vt:variant>
        <vt:i4>86</vt:i4>
      </vt:variant>
      <vt:variant>
        <vt:i4>0</vt:i4>
      </vt:variant>
      <vt:variant>
        <vt:i4>5</vt:i4>
      </vt:variant>
      <vt:variant>
        <vt:lpwstr/>
      </vt:variant>
      <vt:variant>
        <vt:lpwstr>_Toc382819132</vt:lpwstr>
      </vt:variant>
      <vt:variant>
        <vt:i4>1900593</vt:i4>
      </vt:variant>
      <vt:variant>
        <vt:i4>80</vt:i4>
      </vt:variant>
      <vt:variant>
        <vt:i4>0</vt:i4>
      </vt:variant>
      <vt:variant>
        <vt:i4>5</vt:i4>
      </vt:variant>
      <vt:variant>
        <vt:lpwstr/>
      </vt:variant>
      <vt:variant>
        <vt:lpwstr>_Toc382819131</vt:lpwstr>
      </vt:variant>
      <vt:variant>
        <vt:i4>1835057</vt:i4>
      </vt:variant>
      <vt:variant>
        <vt:i4>74</vt:i4>
      </vt:variant>
      <vt:variant>
        <vt:i4>0</vt:i4>
      </vt:variant>
      <vt:variant>
        <vt:i4>5</vt:i4>
      </vt:variant>
      <vt:variant>
        <vt:lpwstr/>
      </vt:variant>
      <vt:variant>
        <vt:lpwstr>_Toc382819128</vt:lpwstr>
      </vt:variant>
      <vt:variant>
        <vt:i4>1835057</vt:i4>
      </vt:variant>
      <vt:variant>
        <vt:i4>68</vt:i4>
      </vt:variant>
      <vt:variant>
        <vt:i4>0</vt:i4>
      </vt:variant>
      <vt:variant>
        <vt:i4>5</vt:i4>
      </vt:variant>
      <vt:variant>
        <vt:lpwstr/>
      </vt:variant>
      <vt:variant>
        <vt:lpwstr>_Toc382819127</vt:lpwstr>
      </vt:variant>
      <vt:variant>
        <vt:i4>1835057</vt:i4>
      </vt:variant>
      <vt:variant>
        <vt:i4>62</vt:i4>
      </vt:variant>
      <vt:variant>
        <vt:i4>0</vt:i4>
      </vt:variant>
      <vt:variant>
        <vt:i4>5</vt:i4>
      </vt:variant>
      <vt:variant>
        <vt:lpwstr/>
      </vt:variant>
      <vt:variant>
        <vt:lpwstr>_Toc382819126</vt:lpwstr>
      </vt:variant>
      <vt:variant>
        <vt:i4>1835057</vt:i4>
      </vt:variant>
      <vt:variant>
        <vt:i4>56</vt:i4>
      </vt:variant>
      <vt:variant>
        <vt:i4>0</vt:i4>
      </vt:variant>
      <vt:variant>
        <vt:i4>5</vt:i4>
      </vt:variant>
      <vt:variant>
        <vt:lpwstr/>
      </vt:variant>
      <vt:variant>
        <vt:lpwstr>_Toc382819125</vt:lpwstr>
      </vt:variant>
      <vt:variant>
        <vt:i4>1835057</vt:i4>
      </vt:variant>
      <vt:variant>
        <vt:i4>50</vt:i4>
      </vt:variant>
      <vt:variant>
        <vt:i4>0</vt:i4>
      </vt:variant>
      <vt:variant>
        <vt:i4>5</vt:i4>
      </vt:variant>
      <vt:variant>
        <vt:lpwstr/>
      </vt:variant>
      <vt:variant>
        <vt:lpwstr>_Toc382819121</vt:lpwstr>
      </vt:variant>
      <vt:variant>
        <vt:i4>2031665</vt:i4>
      </vt:variant>
      <vt:variant>
        <vt:i4>44</vt:i4>
      </vt:variant>
      <vt:variant>
        <vt:i4>0</vt:i4>
      </vt:variant>
      <vt:variant>
        <vt:i4>5</vt:i4>
      </vt:variant>
      <vt:variant>
        <vt:lpwstr/>
      </vt:variant>
      <vt:variant>
        <vt:lpwstr>_Toc382819118</vt:lpwstr>
      </vt:variant>
      <vt:variant>
        <vt:i4>1966129</vt:i4>
      </vt:variant>
      <vt:variant>
        <vt:i4>38</vt:i4>
      </vt:variant>
      <vt:variant>
        <vt:i4>0</vt:i4>
      </vt:variant>
      <vt:variant>
        <vt:i4>5</vt:i4>
      </vt:variant>
      <vt:variant>
        <vt:lpwstr/>
      </vt:variant>
      <vt:variant>
        <vt:lpwstr>_Toc382819103</vt:lpwstr>
      </vt:variant>
      <vt:variant>
        <vt:i4>1507376</vt:i4>
      </vt:variant>
      <vt:variant>
        <vt:i4>32</vt:i4>
      </vt:variant>
      <vt:variant>
        <vt:i4>0</vt:i4>
      </vt:variant>
      <vt:variant>
        <vt:i4>5</vt:i4>
      </vt:variant>
      <vt:variant>
        <vt:lpwstr/>
      </vt:variant>
      <vt:variant>
        <vt:lpwstr>_Toc382819097</vt:lpwstr>
      </vt:variant>
      <vt:variant>
        <vt:i4>1441840</vt:i4>
      </vt:variant>
      <vt:variant>
        <vt:i4>26</vt:i4>
      </vt:variant>
      <vt:variant>
        <vt:i4>0</vt:i4>
      </vt:variant>
      <vt:variant>
        <vt:i4>5</vt:i4>
      </vt:variant>
      <vt:variant>
        <vt:lpwstr/>
      </vt:variant>
      <vt:variant>
        <vt:lpwstr>_Toc382819088</vt:lpwstr>
      </vt:variant>
      <vt:variant>
        <vt:i4>1638448</vt:i4>
      </vt:variant>
      <vt:variant>
        <vt:i4>20</vt:i4>
      </vt:variant>
      <vt:variant>
        <vt:i4>0</vt:i4>
      </vt:variant>
      <vt:variant>
        <vt:i4>5</vt:i4>
      </vt:variant>
      <vt:variant>
        <vt:lpwstr/>
      </vt:variant>
      <vt:variant>
        <vt:lpwstr>_Toc382819078</vt:lpwstr>
      </vt:variant>
      <vt:variant>
        <vt:i4>1638448</vt:i4>
      </vt:variant>
      <vt:variant>
        <vt:i4>14</vt:i4>
      </vt:variant>
      <vt:variant>
        <vt:i4>0</vt:i4>
      </vt:variant>
      <vt:variant>
        <vt:i4>5</vt:i4>
      </vt:variant>
      <vt:variant>
        <vt:lpwstr/>
      </vt:variant>
      <vt:variant>
        <vt:lpwstr>_Toc382819076</vt:lpwstr>
      </vt:variant>
      <vt:variant>
        <vt:i4>1638448</vt:i4>
      </vt:variant>
      <vt:variant>
        <vt:i4>8</vt:i4>
      </vt:variant>
      <vt:variant>
        <vt:i4>0</vt:i4>
      </vt:variant>
      <vt:variant>
        <vt:i4>5</vt:i4>
      </vt:variant>
      <vt:variant>
        <vt:lpwstr/>
      </vt:variant>
      <vt:variant>
        <vt:lpwstr>_Toc382819072</vt:lpwstr>
      </vt:variant>
      <vt:variant>
        <vt:i4>1638448</vt:i4>
      </vt:variant>
      <vt:variant>
        <vt:i4>2</vt:i4>
      </vt:variant>
      <vt:variant>
        <vt:i4>0</vt:i4>
      </vt:variant>
      <vt:variant>
        <vt:i4>5</vt:i4>
      </vt:variant>
      <vt:variant>
        <vt:lpwstr/>
      </vt:variant>
      <vt:variant>
        <vt:lpwstr>_Toc382819071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jq</cp:lastModifiedBy>
  <cp:revision>7</cp:revision>
  <cp:lastPrinted>2022-11-11T08:19:00Z</cp:lastPrinted>
  <dcterms:created xsi:type="dcterms:W3CDTF">2022-11-11T01:55:00Z</dcterms:created>
  <dcterms:modified xsi:type="dcterms:W3CDTF">2022-11-11T08:19:00Z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y fmtid="{D5CDD505-2E9C-101B-9397-08002B2CF9AE}" pid="3" name="KSOProductBuildVer">
    <vt:lpwstr>2052-11.1.0.10132</vt:lpwstr>
  </property>
</Properties>
</file>