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D18A4" w14:textId="77777777" w:rsidR="00C96543" w:rsidRDefault="00C96543">
      <w:pPr>
        <w:rPr>
          <w:rFonts w:ascii="宋体" w:hAnsi="宋体"/>
          <w:sz w:val="24"/>
        </w:rPr>
      </w:pPr>
      <w:bookmarkStart w:id="0" w:name="_GoBack"/>
      <w:bookmarkEnd w:id="0"/>
    </w:p>
    <w:p w14:paraId="1E9711DD" w14:textId="77777777" w:rsidR="00C96543" w:rsidRDefault="00C96543">
      <w:pPr>
        <w:ind w:rightChars="-8" w:right="-17"/>
        <w:rPr>
          <w:rFonts w:eastAsia="黑体"/>
          <w:sz w:val="32"/>
          <w:szCs w:val="32"/>
        </w:rPr>
      </w:pPr>
    </w:p>
    <w:p w14:paraId="24950D4D" w14:textId="77777777" w:rsidR="00C96543" w:rsidRDefault="00C96543">
      <w:pPr>
        <w:rPr>
          <w:rFonts w:eastAsia="黑体"/>
          <w:sz w:val="52"/>
          <w:szCs w:val="52"/>
        </w:rPr>
      </w:pPr>
    </w:p>
    <w:p w14:paraId="052BF76D" w14:textId="77777777" w:rsidR="00C96543" w:rsidRDefault="00C96543">
      <w:pPr>
        <w:tabs>
          <w:tab w:val="center" w:pos="4164"/>
          <w:tab w:val="left" w:pos="5455"/>
        </w:tabs>
        <w:ind w:rightChars="-8" w:right="-17"/>
        <w:jc w:val="center"/>
        <w:rPr>
          <w:rFonts w:eastAsia="黑体"/>
          <w:sz w:val="52"/>
          <w:szCs w:val="52"/>
        </w:rPr>
      </w:pPr>
    </w:p>
    <w:p w14:paraId="02BFC9C6" w14:textId="77777777" w:rsidR="00C96543" w:rsidRDefault="00C96543">
      <w:pPr>
        <w:tabs>
          <w:tab w:val="center" w:pos="4164"/>
          <w:tab w:val="left" w:pos="5455"/>
        </w:tabs>
        <w:ind w:rightChars="-8" w:right="-17"/>
        <w:jc w:val="center"/>
        <w:rPr>
          <w:rFonts w:eastAsia="黑体"/>
          <w:sz w:val="52"/>
          <w:szCs w:val="52"/>
        </w:rPr>
      </w:pPr>
    </w:p>
    <w:p w14:paraId="12AC54C0" w14:textId="77777777" w:rsidR="00C96543" w:rsidRDefault="00C96543">
      <w:pPr>
        <w:jc w:val="center"/>
        <w:rPr>
          <w:rFonts w:ascii="宋体" w:hAnsi="宋体"/>
          <w:sz w:val="24"/>
        </w:rPr>
      </w:pPr>
    </w:p>
    <w:p w14:paraId="783BF67B" w14:textId="77777777" w:rsidR="00C96543" w:rsidRDefault="00C96543">
      <w:pPr>
        <w:jc w:val="center"/>
        <w:rPr>
          <w:b/>
          <w:sz w:val="52"/>
          <w:szCs w:val="52"/>
        </w:rPr>
      </w:pPr>
    </w:p>
    <w:p w14:paraId="2F6BCE63" w14:textId="77777777" w:rsidR="00C96543" w:rsidRDefault="00C96543">
      <w:pPr>
        <w:jc w:val="center"/>
        <w:rPr>
          <w:rFonts w:ascii="仿宋_GB2312" w:eastAsia="仿宋_GB2312"/>
          <w:b/>
          <w:sz w:val="32"/>
          <w:szCs w:val="32"/>
        </w:rPr>
      </w:pPr>
    </w:p>
    <w:p w14:paraId="55D96FA0" w14:textId="77777777" w:rsidR="00C96543" w:rsidRPr="00DA76B3" w:rsidRDefault="009B5B1C">
      <w:pPr>
        <w:jc w:val="center"/>
        <w:rPr>
          <w:rFonts w:ascii="黑体" w:eastAsia="黑体" w:hAnsi="黑体"/>
          <w:b/>
          <w:sz w:val="44"/>
          <w:szCs w:val="44"/>
        </w:rPr>
      </w:pPr>
      <w:r w:rsidRPr="00DA76B3">
        <w:rPr>
          <w:rFonts w:ascii="黑体" w:eastAsia="黑体" w:hAnsi="黑体" w:hint="eastAsia"/>
          <w:b/>
          <w:sz w:val="44"/>
          <w:szCs w:val="44"/>
        </w:rPr>
        <w:t>天弘永裕稳健养老目标一年持有期混合型基金中基金（FOF）托管协议</w:t>
      </w:r>
    </w:p>
    <w:p w14:paraId="119C27CB" w14:textId="77777777" w:rsidR="00C96543" w:rsidRPr="00DA76B3" w:rsidRDefault="00C96543">
      <w:pPr>
        <w:jc w:val="center"/>
        <w:rPr>
          <w:rFonts w:ascii="宋体" w:hAnsi="宋体"/>
          <w:sz w:val="44"/>
          <w:szCs w:val="44"/>
        </w:rPr>
      </w:pPr>
    </w:p>
    <w:p w14:paraId="2EAF41FB" w14:textId="77777777" w:rsidR="00C96543" w:rsidRPr="00DA76B3" w:rsidRDefault="00C96543">
      <w:pPr>
        <w:jc w:val="center"/>
        <w:rPr>
          <w:rFonts w:ascii="宋体" w:hAnsi="宋体"/>
          <w:sz w:val="44"/>
          <w:szCs w:val="44"/>
        </w:rPr>
      </w:pPr>
    </w:p>
    <w:p w14:paraId="14830C9C" w14:textId="77777777" w:rsidR="00C96543" w:rsidRPr="00DA76B3" w:rsidRDefault="00C96543">
      <w:pPr>
        <w:jc w:val="center"/>
        <w:rPr>
          <w:rFonts w:ascii="宋体" w:hAnsi="宋体"/>
          <w:sz w:val="44"/>
          <w:szCs w:val="44"/>
        </w:rPr>
      </w:pPr>
    </w:p>
    <w:p w14:paraId="028768A9" w14:textId="77777777" w:rsidR="00C96543" w:rsidRPr="00DA76B3" w:rsidRDefault="00C96543">
      <w:pPr>
        <w:jc w:val="center"/>
        <w:rPr>
          <w:rFonts w:ascii="宋体" w:hAnsi="宋体"/>
          <w:sz w:val="44"/>
          <w:szCs w:val="44"/>
        </w:rPr>
      </w:pPr>
    </w:p>
    <w:p w14:paraId="1FC6C069" w14:textId="77777777" w:rsidR="00C96543" w:rsidRPr="00DA76B3" w:rsidRDefault="00C96543">
      <w:pPr>
        <w:jc w:val="center"/>
        <w:rPr>
          <w:rFonts w:ascii="宋体" w:hAnsi="宋体"/>
          <w:sz w:val="44"/>
          <w:szCs w:val="44"/>
        </w:rPr>
      </w:pPr>
    </w:p>
    <w:p w14:paraId="26D04BA6" w14:textId="77777777" w:rsidR="00C96543" w:rsidRPr="00DA76B3" w:rsidRDefault="00C96543">
      <w:pPr>
        <w:jc w:val="center"/>
        <w:rPr>
          <w:rFonts w:ascii="宋体" w:hAnsi="宋体"/>
          <w:sz w:val="44"/>
          <w:szCs w:val="44"/>
        </w:rPr>
      </w:pPr>
    </w:p>
    <w:p w14:paraId="1FF2DF12" w14:textId="77777777" w:rsidR="00C96543" w:rsidRPr="00DA76B3" w:rsidRDefault="00C96543">
      <w:pPr>
        <w:rPr>
          <w:rFonts w:ascii="宋体"/>
          <w:sz w:val="30"/>
        </w:rPr>
      </w:pPr>
    </w:p>
    <w:p w14:paraId="43647F1E" w14:textId="77777777" w:rsidR="00C96543" w:rsidRPr="00DA76B3" w:rsidRDefault="009B5B1C">
      <w:pPr>
        <w:spacing w:line="360" w:lineRule="auto"/>
        <w:ind w:right="26" w:firstLineChars="400" w:firstLine="1285"/>
        <w:outlineLvl w:val="0"/>
        <w:rPr>
          <w:rFonts w:ascii="宋体" w:hAnsi="宋体"/>
          <w:b/>
          <w:sz w:val="32"/>
          <w:szCs w:val="32"/>
        </w:rPr>
      </w:pPr>
      <w:bookmarkStart w:id="1" w:name="_Toc382818591"/>
      <w:bookmarkStart w:id="2" w:name="_Toc382819065"/>
      <w:r w:rsidRPr="00DA76B3">
        <w:rPr>
          <w:rFonts w:ascii="宋体" w:hAnsi="宋体" w:hint="eastAsia"/>
          <w:b/>
          <w:sz w:val="32"/>
          <w:szCs w:val="32"/>
        </w:rPr>
        <w:t>基金管理人：</w:t>
      </w:r>
      <w:bookmarkStart w:id="3" w:name="_Toc382818592"/>
      <w:bookmarkStart w:id="4" w:name="_Toc382819066"/>
      <w:bookmarkEnd w:id="1"/>
      <w:bookmarkEnd w:id="2"/>
      <w:r w:rsidRPr="00DA76B3">
        <w:rPr>
          <w:rFonts w:ascii="宋体" w:hAnsi="宋体" w:hint="eastAsia"/>
          <w:b/>
          <w:sz w:val="32"/>
          <w:szCs w:val="32"/>
        </w:rPr>
        <w:t>天弘</w:t>
      </w:r>
      <w:r w:rsidRPr="00DA76B3">
        <w:rPr>
          <w:rFonts w:ascii="宋体" w:hAnsi="宋体"/>
          <w:b/>
          <w:sz w:val="32"/>
          <w:szCs w:val="32"/>
        </w:rPr>
        <w:t>基金管理有限公司</w:t>
      </w:r>
    </w:p>
    <w:p w14:paraId="016D89FA" w14:textId="77777777" w:rsidR="00C96543" w:rsidRPr="00DA76B3" w:rsidRDefault="009B5B1C">
      <w:pPr>
        <w:spacing w:line="360" w:lineRule="auto"/>
        <w:ind w:right="26" w:firstLineChars="400" w:firstLine="1285"/>
        <w:outlineLvl w:val="0"/>
        <w:rPr>
          <w:rFonts w:ascii="宋体" w:hAnsi="宋体"/>
          <w:b/>
          <w:sz w:val="32"/>
          <w:szCs w:val="32"/>
        </w:rPr>
      </w:pPr>
      <w:r w:rsidRPr="00DA76B3">
        <w:rPr>
          <w:rFonts w:ascii="宋体" w:hAnsi="宋体" w:hint="eastAsia"/>
          <w:b/>
          <w:sz w:val="32"/>
          <w:szCs w:val="32"/>
        </w:rPr>
        <w:t>基金托管人：上海浦东发展银行股份有限公司</w:t>
      </w:r>
      <w:bookmarkEnd w:id="3"/>
      <w:bookmarkEnd w:id="4"/>
    </w:p>
    <w:p w14:paraId="6252FAC2" w14:textId="77777777" w:rsidR="00C96543" w:rsidRPr="00DA76B3" w:rsidRDefault="00C96543">
      <w:pPr>
        <w:spacing w:line="500" w:lineRule="atLeast"/>
        <w:ind w:left="2698" w:hangingChars="896" w:hanging="2698"/>
        <w:jc w:val="center"/>
        <w:outlineLvl w:val="0"/>
        <w:rPr>
          <w:rFonts w:ascii="宋体" w:hAnsi="宋体"/>
          <w:b/>
          <w:sz w:val="30"/>
          <w:szCs w:val="30"/>
        </w:rPr>
      </w:pPr>
    </w:p>
    <w:p w14:paraId="246AD47F" w14:textId="77777777" w:rsidR="00C96543" w:rsidRPr="00DA76B3" w:rsidRDefault="00C96543">
      <w:pPr>
        <w:spacing w:line="500" w:lineRule="atLeast"/>
        <w:ind w:left="2519" w:hangingChars="896" w:hanging="2519"/>
        <w:jc w:val="center"/>
        <w:outlineLvl w:val="0"/>
        <w:rPr>
          <w:rFonts w:ascii="黑体" w:eastAsia="黑体" w:hAnsi="宋体"/>
          <w:b/>
          <w:sz w:val="28"/>
          <w:szCs w:val="28"/>
        </w:rPr>
      </w:pPr>
    </w:p>
    <w:p w14:paraId="3166E048" w14:textId="77777777" w:rsidR="00C96543" w:rsidRPr="00DA76B3" w:rsidRDefault="009B5B1C">
      <w:pPr>
        <w:spacing w:line="500" w:lineRule="atLeast"/>
        <w:jc w:val="center"/>
        <w:outlineLvl w:val="0"/>
        <w:rPr>
          <w:rFonts w:ascii="黑体" w:eastAsia="黑体" w:hAnsi="宋体"/>
          <w:b/>
          <w:sz w:val="28"/>
          <w:szCs w:val="28"/>
        </w:rPr>
      </w:pPr>
      <w:r w:rsidRPr="00DA76B3">
        <w:rPr>
          <w:rFonts w:ascii="黑体" w:eastAsia="黑体" w:hAnsi="宋体" w:hint="eastAsia"/>
          <w:b/>
          <w:sz w:val="28"/>
          <w:szCs w:val="28"/>
        </w:rPr>
        <w:br w:type="page"/>
      </w:r>
      <w:bookmarkStart w:id="5" w:name="_Toc382819067"/>
      <w:bookmarkStart w:id="6" w:name="_Toc382818593"/>
    </w:p>
    <w:p w14:paraId="52B70352" w14:textId="77777777" w:rsidR="00C96543" w:rsidRPr="00DA76B3" w:rsidRDefault="009B5B1C">
      <w:pPr>
        <w:spacing w:line="500" w:lineRule="atLeast"/>
        <w:jc w:val="center"/>
        <w:outlineLvl w:val="0"/>
        <w:rPr>
          <w:rFonts w:ascii="宋体" w:hAnsi="宋体"/>
          <w:b/>
          <w:sz w:val="36"/>
          <w:szCs w:val="28"/>
        </w:rPr>
      </w:pPr>
      <w:r w:rsidRPr="00DA76B3">
        <w:rPr>
          <w:rFonts w:ascii="宋体" w:hAnsi="宋体" w:hint="eastAsia"/>
          <w:b/>
          <w:sz w:val="32"/>
          <w:szCs w:val="28"/>
        </w:rPr>
        <w:lastRenderedPageBreak/>
        <w:t>目 录</w:t>
      </w:r>
      <w:bookmarkEnd w:id="5"/>
      <w:bookmarkEnd w:id="6"/>
    </w:p>
    <w:p w14:paraId="52074079" w14:textId="77777777" w:rsidR="00C96543" w:rsidRPr="00DA76B3" w:rsidRDefault="009B5B1C">
      <w:pPr>
        <w:pStyle w:val="10"/>
        <w:tabs>
          <w:tab w:val="left" w:pos="440"/>
          <w:tab w:val="right" w:leader="dot" w:pos="8296"/>
        </w:tabs>
        <w:spacing w:line="360" w:lineRule="auto"/>
        <w:rPr>
          <w:rFonts w:ascii="Calibri" w:hAnsi="Calibri"/>
          <w:noProof/>
          <w:sz w:val="20"/>
          <w:szCs w:val="22"/>
        </w:rPr>
      </w:pPr>
      <w:r w:rsidRPr="00DA76B3">
        <w:rPr>
          <w:rFonts w:ascii="宋体" w:hAnsi="宋体"/>
          <w:sz w:val="20"/>
          <w:szCs w:val="21"/>
        </w:rPr>
        <w:fldChar w:fldCharType="begin"/>
      </w:r>
      <w:r w:rsidRPr="00DA76B3">
        <w:rPr>
          <w:rFonts w:ascii="宋体" w:hAnsi="宋体"/>
          <w:sz w:val="20"/>
          <w:szCs w:val="21"/>
        </w:rPr>
        <w:instrText xml:space="preserve"> </w:instrText>
      </w:r>
      <w:r w:rsidRPr="00DA76B3">
        <w:rPr>
          <w:rFonts w:ascii="宋体" w:hAnsi="宋体" w:hint="eastAsia"/>
          <w:sz w:val="20"/>
          <w:szCs w:val="21"/>
        </w:rPr>
        <w:instrText>TOC \o "1-3" \h \z \u</w:instrText>
      </w:r>
      <w:r w:rsidRPr="00DA76B3">
        <w:rPr>
          <w:rFonts w:ascii="宋体" w:hAnsi="宋体"/>
          <w:sz w:val="20"/>
          <w:szCs w:val="21"/>
        </w:rPr>
        <w:instrText xml:space="preserve"> </w:instrText>
      </w:r>
      <w:r w:rsidRPr="00DA76B3">
        <w:rPr>
          <w:rFonts w:ascii="宋体" w:hAnsi="宋体"/>
          <w:sz w:val="20"/>
          <w:szCs w:val="21"/>
        </w:rPr>
        <w:fldChar w:fldCharType="separate"/>
      </w:r>
    </w:p>
    <w:p w14:paraId="7B413A12"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071" w:history="1">
        <w:r w:rsidR="009B5B1C" w:rsidRPr="00DA76B3">
          <w:rPr>
            <w:rStyle w:val="ab"/>
            <w:rFonts w:ascii="宋体" w:hAnsi="宋体" w:cs="Arial" w:hint="eastAsia"/>
            <w:noProof/>
            <w:sz w:val="24"/>
          </w:rPr>
          <w:t>一、 基金托管协议的依据、目的、原则和解释</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_Toc382819071 \h </w:instrText>
        </w:r>
        <w:r w:rsidR="009B5B1C" w:rsidRPr="00DA76B3">
          <w:rPr>
            <w:noProof/>
            <w:sz w:val="24"/>
          </w:rPr>
        </w:r>
        <w:r w:rsidR="009B5B1C" w:rsidRPr="00DA76B3">
          <w:rPr>
            <w:noProof/>
            <w:sz w:val="24"/>
          </w:rPr>
          <w:fldChar w:fldCharType="separate"/>
        </w:r>
        <w:r w:rsidR="005D369E">
          <w:rPr>
            <w:noProof/>
            <w:sz w:val="24"/>
          </w:rPr>
          <w:t>4</w:t>
        </w:r>
        <w:r w:rsidR="009B5B1C" w:rsidRPr="00DA76B3">
          <w:rPr>
            <w:noProof/>
            <w:sz w:val="24"/>
          </w:rPr>
          <w:fldChar w:fldCharType="end"/>
        </w:r>
      </w:hyperlink>
    </w:p>
    <w:p w14:paraId="105DB5C2"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072" w:history="1">
        <w:r w:rsidR="009B5B1C" w:rsidRPr="00DA76B3">
          <w:rPr>
            <w:rStyle w:val="ab"/>
            <w:rFonts w:ascii="宋体" w:hAnsi="宋体" w:cs="Arial" w:hint="eastAsia"/>
            <w:noProof/>
            <w:sz w:val="24"/>
          </w:rPr>
          <w:t>二、 基金托管人对基金管理人的业务监督和核查</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_Toc382819072 \h </w:instrText>
        </w:r>
        <w:r w:rsidR="009B5B1C" w:rsidRPr="00DA76B3">
          <w:rPr>
            <w:noProof/>
            <w:sz w:val="24"/>
          </w:rPr>
        </w:r>
        <w:r w:rsidR="009B5B1C" w:rsidRPr="00DA76B3">
          <w:rPr>
            <w:noProof/>
            <w:sz w:val="24"/>
          </w:rPr>
          <w:fldChar w:fldCharType="separate"/>
        </w:r>
        <w:r w:rsidR="005D369E">
          <w:rPr>
            <w:noProof/>
            <w:sz w:val="24"/>
          </w:rPr>
          <w:t>4</w:t>
        </w:r>
        <w:r w:rsidR="009B5B1C" w:rsidRPr="00DA76B3">
          <w:rPr>
            <w:noProof/>
            <w:sz w:val="24"/>
          </w:rPr>
          <w:fldChar w:fldCharType="end"/>
        </w:r>
      </w:hyperlink>
    </w:p>
    <w:p w14:paraId="761298A2"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076" w:history="1">
        <w:r w:rsidR="009B5B1C" w:rsidRPr="00DA76B3">
          <w:rPr>
            <w:rStyle w:val="ab"/>
            <w:rFonts w:ascii="宋体" w:hAnsi="宋体" w:cs="Arial" w:hint="eastAsia"/>
            <w:noProof/>
            <w:sz w:val="24"/>
          </w:rPr>
          <w:t>三、 基金管理人对基金托管人的业务核查</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_Toc382819076 \h </w:instrText>
        </w:r>
        <w:r w:rsidR="009B5B1C" w:rsidRPr="00DA76B3">
          <w:rPr>
            <w:noProof/>
            <w:sz w:val="24"/>
          </w:rPr>
        </w:r>
        <w:r w:rsidR="009B5B1C" w:rsidRPr="00DA76B3">
          <w:rPr>
            <w:noProof/>
            <w:sz w:val="24"/>
          </w:rPr>
          <w:fldChar w:fldCharType="separate"/>
        </w:r>
        <w:r w:rsidR="005D369E">
          <w:rPr>
            <w:noProof/>
            <w:sz w:val="24"/>
          </w:rPr>
          <w:t>12</w:t>
        </w:r>
        <w:r w:rsidR="009B5B1C" w:rsidRPr="00DA76B3">
          <w:rPr>
            <w:noProof/>
            <w:sz w:val="24"/>
          </w:rPr>
          <w:fldChar w:fldCharType="end"/>
        </w:r>
      </w:hyperlink>
    </w:p>
    <w:p w14:paraId="427671CB"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078" w:history="1">
        <w:r w:rsidR="009B5B1C" w:rsidRPr="00DA76B3">
          <w:rPr>
            <w:rStyle w:val="ab"/>
            <w:rFonts w:ascii="宋体" w:hAnsi="宋体" w:cs="Arial" w:hint="eastAsia"/>
            <w:noProof/>
            <w:sz w:val="24"/>
          </w:rPr>
          <w:t>四、 基金财产保管</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_Toc382819078 \h </w:instrText>
        </w:r>
        <w:r w:rsidR="009B5B1C" w:rsidRPr="00DA76B3">
          <w:rPr>
            <w:noProof/>
            <w:sz w:val="24"/>
          </w:rPr>
        </w:r>
        <w:r w:rsidR="009B5B1C" w:rsidRPr="00DA76B3">
          <w:rPr>
            <w:noProof/>
            <w:sz w:val="24"/>
          </w:rPr>
          <w:fldChar w:fldCharType="separate"/>
        </w:r>
        <w:r w:rsidR="005D369E">
          <w:rPr>
            <w:noProof/>
            <w:sz w:val="24"/>
          </w:rPr>
          <w:t>12</w:t>
        </w:r>
        <w:r w:rsidR="009B5B1C" w:rsidRPr="00DA76B3">
          <w:rPr>
            <w:noProof/>
            <w:sz w:val="24"/>
          </w:rPr>
          <w:fldChar w:fldCharType="end"/>
        </w:r>
      </w:hyperlink>
    </w:p>
    <w:p w14:paraId="54F844CC" w14:textId="4BED9DA3" w:rsidR="00C96543" w:rsidRPr="00DA76B3" w:rsidRDefault="00AE7FB4">
      <w:pPr>
        <w:pStyle w:val="10"/>
        <w:tabs>
          <w:tab w:val="right" w:leader="dot" w:pos="8296"/>
        </w:tabs>
        <w:spacing w:line="360" w:lineRule="auto"/>
        <w:rPr>
          <w:rFonts w:ascii="Calibri" w:hAnsi="Calibri"/>
          <w:noProof/>
          <w:sz w:val="24"/>
          <w:szCs w:val="22"/>
        </w:rPr>
      </w:pPr>
      <w:hyperlink w:anchor="_Toc382819088" w:history="1">
        <w:r w:rsidR="009B5B1C" w:rsidRPr="00DA76B3">
          <w:rPr>
            <w:rStyle w:val="ab"/>
            <w:rFonts w:ascii="宋体" w:hAnsi="宋体" w:cs="Arial" w:hint="eastAsia"/>
            <w:noProof/>
            <w:sz w:val="24"/>
          </w:rPr>
          <w:t>五、 指令的发送、确认和执行</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_Toc382819088 \h </w:instrText>
        </w:r>
        <w:r w:rsidR="009B5B1C" w:rsidRPr="00DA76B3">
          <w:rPr>
            <w:noProof/>
            <w:sz w:val="24"/>
          </w:rPr>
        </w:r>
        <w:r w:rsidR="009B5B1C" w:rsidRPr="00DA76B3">
          <w:rPr>
            <w:noProof/>
            <w:sz w:val="24"/>
          </w:rPr>
          <w:fldChar w:fldCharType="separate"/>
        </w:r>
        <w:r w:rsidR="005D369E">
          <w:rPr>
            <w:noProof/>
            <w:sz w:val="24"/>
          </w:rPr>
          <w:t>16</w:t>
        </w:r>
        <w:r w:rsidR="009B5B1C" w:rsidRPr="00DA76B3">
          <w:rPr>
            <w:noProof/>
            <w:sz w:val="24"/>
          </w:rPr>
          <w:fldChar w:fldCharType="end"/>
        </w:r>
      </w:hyperlink>
    </w:p>
    <w:p w14:paraId="53742DF6" w14:textId="788EE694" w:rsidR="00C96543" w:rsidRPr="00DA76B3" w:rsidRDefault="00AE7FB4">
      <w:pPr>
        <w:pStyle w:val="10"/>
        <w:tabs>
          <w:tab w:val="right" w:leader="dot" w:pos="8296"/>
        </w:tabs>
        <w:spacing w:line="360" w:lineRule="auto"/>
        <w:rPr>
          <w:rFonts w:ascii="Calibri" w:hAnsi="Calibri"/>
          <w:noProof/>
          <w:sz w:val="24"/>
          <w:szCs w:val="22"/>
        </w:rPr>
      </w:pPr>
      <w:hyperlink w:anchor="_Toc382819097" w:history="1">
        <w:r w:rsidR="009B5B1C" w:rsidRPr="00DA76B3">
          <w:rPr>
            <w:rStyle w:val="ab"/>
            <w:rFonts w:ascii="宋体" w:hAnsi="宋体" w:cs="Arial" w:hint="eastAsia"/>
            <w:noProof/>
            <w:sz w:val="24"/>
          </w:rPr>
          <w:t>六、 交易及清算交收安排</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_Toc382819097 \h </w:instrText>
        </w:r>
        <w:r w:rsidR="009B5B1C" w:rsidRPr="00DA76B3">
          <w:rPr>
            <w:noProof/>
            <w:sz w:val="24"/>
          </w:rPr>
        </w:r>
        <w:r w:rsidR="009B5B1C" w:rsidRPr="00DA76B3">
          <w:rPr>
            <w:noProof/>
            <w:sz w:val="24"/>
          </w:rPr>
          <w:fldChar w:fldCharType="separate"/>
        </w:r>
        <w:r w:rsidR="005D369E">
          <w:rPr>
            <w:noProof/>
            <w:sz w:val="24"/>
          </w:rPr>
          <w:t>19</w:t>
        </w:r>
        <w:r w:rsidR="009B5B1C" w:rsidRPr="00DA76B3">
          <w:rPr>
            <w:noProof/>
            <w:sz w:val="24"/>
          </w:rPr>
          <w:fldChar w:fldCharType="end"/>
        </w:r>
      </w:hyperlink>
    </w:p>
    <w:p w14:paraId="2B1406C4"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03" w:history="1">
        <w:r w:rsidR="009B5B1C" w:rsidRPr="00DA76B3">
          <w:rPr>
            <w:rStyle w:val="ab"/>
            <w:rFonts w:ascii="宋体" w:hAnsi="宋体" w:cs="Arial" w:hint="eastAsia"/>
            <w:noProof/>
            <w:sz w:val="24"/>
          </w:rPr>
          <w:t>七、 基金资产净值计算和会计核算</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_Toc382819103 \h </w:instrText>
        </w:r>
        <w:r w:rsidR="009B5B1C" w:rsidRPr="00DA76B3">
          <w:rPr>
            <w:noProof/>
            <w:sz w:val="24"/>
          </w:rPr>
        </w:r>
        <w:r w:rsidR="009B5B1C" w:rsidRPr="00DA76B3">
          <w:rPr>
            <w:noProof/>
            <w:sz w:val="24"/>
          </w:rPr>
          <w:fldChar w:fldCharType="separate"/>
        </w:r>
        <w:r w:rsidR="005D369E">
          <w:rPr>
            <w:noProof/>
            <w:sz w:val="24"/>
          </w:rPr>
          <w:t>23</w:t>
        </w:r>
        <w:r w:rsidR="009B5B1C" w:rsidRPr="00DA76B3">
          <w:rPr>
            <w:noProof/>
            <w:sz w:val="24"/>
          </w:rPr>
          <w:fldChar w:fldCharType="end"/>
        </w:r>
      </w:hyperlink>
    </w:p>
    <w:p w14:paraId="3A546339" w14:textId="1D30B4ED" w:rsidR="00C96543" w:rsidRPr="00DA76B3" w:rsidRDefault="00AE7FB4">
      <w:pPr>
        <w:pStyle w:val="10"/>
        <w:tabs>
          <w:tab w:val="right" w:leader="dot" w:pos="8296"/>
        </w:tabs>
        <w:spacing w:line="360" w:lineRule="auto"/>
        <w:rPr>
          <w:rFonts w:ascii="Calibri" w:hAnsi="Calibri"/>
          <w:noProof/>
          <w:sz w:val="24"/>
          <w:szCs w:val="22"/>
        </w:rPr>
      </w:pPr>
      <w:hyperlink w:anchor="_Toc382819118" w:history="1">
        <w:r w:rsidR="009B5B1C" w:rsidRPr="00DA76B3">
          <w:rPr>
            <w:rStyle w:val="ab"/>
            <w:rFonts w:ascii="宋体" w:hAnsi="宋体" w:cs="Arial" w:hint="eastAsia"/>
            <w:noProof/>
            <w:sz w:val="24"/>
          </w:rPr>
          <w:t>八、 基金收益分配</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_Toc382819118 \h </w:instrText>
        </w:r>
        <w:r w:rsidR="009B5B1C" w:rsidRPr="00DA76B3">
          <w:rPr>
            <w:noProof/>
            <w:sz w:val="24"/>
          </w:rPr>
        </w:r>
        <w:r w:rsidR="009B5B1C" w:rsidRPr="00DA76B3">
          <w:rPr>
            <w:noProof/>
            <w:sz w:val="24"/>
          </w:rPr>
          <w:fldChar w:fldCharType="separate"/>
        </w:r>
        <w:r w:rsidR="005D369E">
          <w:rPr>
            <w:noProof/>
            <w:sz w:val="24"/>
          </w:rPr>
          <w:t>27</w:t>
        </w:r>
        <w:r w:rsidR="009B5B1C" w:rsidRPr="00DA76B3">
          <w:rPr>
            <w:noProof/>
            <w:sz w:val="24"/>
          </w:rPr>
          <w:fldChar w:fldCharType="end"/>
        </w:r>
      </w:hyperlink>
    </w:p>
    <w:p w14:paraId="526F4943"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21" w:history="1">
        <w:r w:rsidR="009B5B1C" w:rsidRPr="00DA76B3">
          <w:rPr>
            <w:rStyle w:val="ab"/>
            <w:rFonts w:ascii="宋体" w:hAnsi="宋体" w:cs="Arial" w:hint="eastAsia"/>
            <w:noProof/>
            <w:sz w:val="24"/>
          </w:rPr>
          <w:t>九、 信息披露</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_Toc382819121 \h </w:instrText>
        </w:r>
        <w:r w:rsidR="009B5B1C" w:rsidRPr="00DA76B3">
          <w:rPr>
            <w:noProof/>
            <w:sz w:val="24"/>
          </w:rPr>
        </w:r>
        <w:r w:rsidR="009B5B1C" w:rsidRPr="00DA76B3">
          <w:rPr>
            <w:noProof/>
            <w:sz w:val="24"/>
          </w:rPr>
          <w:fldChar w:fldCharType="separate"/>
        </w:r>
        <w:r w:rsidR="005D369E">
          <w:rPr>
            <w:noProof/>
            <w:sz w:val="24"/>
          </w:rPr>
          <w:t>27</w:t>
        </w:r>
        <w:r w:rsidR="009B5B1C" w:rsidRPr="00DA76B3">
          <w:rPr>
            <w:noProof/>
            <w:sz w:val="24"/>
          </w:rPr>
          <w:fldChar w:fldCharType="end"/>
        </w:r>
      </w:hyperlink>
    </w:p>
    <w:p w14:paraId="125A7B17"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25" w:history="1">
        <w:r w:rsidR="009B5B1C" w:rsidRPr="00DA76B3">
          <w:rPr>
            <w:rStyle w:val="ab"/>
            <w:rFonts w:ascii="宋体" w:hAnsi="宋体" w:cs="Arial" w:hint="eastAsia"/>
            <w:noProof/>
            <w:sz w:val="24"/>
          </w:rPr>
          <w:t>十、 托管费用</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_Toc382819125 \h </w:instrText>
        </w:r>
        <w:r w:rsidR="009B5B1C" w:rsidRPr="00DA76B3">
          <w:rPr>
            <w:noProof/>
            <w:sz w:val="24"/>
          </w:rPr>
        </w:r>
        <w:r w:rsidR="009B5B1C" w:rsidRPr="00DA76B3">
          <w:rPr>
            <w:noProof/>
            <w:sz w:val="24"/>
          </w:rPr>
          <w:fldChar w:fldCharType="separate"/>
        </w:r>
        <w:r w:rsidR="005D369E">
          <w:rPr>
            <w:noProof/>
            <w:sz w:val="24"/>
          </w:rPr>
          <w:t>29</w:t>
        </w:r>
        <w:r w:rsidR="009B5B1C" w:rsidRPr="00DA76B3">
          <w:rPr>
            <w:noProof/>
            <w:sz w:val="24"/>
          </w:rPr>
          <w:fldChar w:fldCharType="end"/>
        </w:r>
      </w:hyperlink>
    </w:p>
    <w:p w14:paraId="3430DC7A"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26" w:history="1">
        <w:r w:rsidR="009B5B1C" w:rsidRPr="00DA76B3">
          <w:rPr>
            <w:rStyle w:val="ab"/>
            <w:rFonts w:ascii="宋体" w:hAnsi="宋体" w:cs="Arial" w:hint="eastAsia"/>
            <w:noProof/>
            <w:sz w:val="24"/>
          </w:rPr>
          <w:t>十一、 基金份额持有人名册的保管</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_Toc382819126 \h </w:instrText>
        </w:r>
        <w:r w:rsidR="009B5B1C" w:rsidRPr="00DA76B3">
          <w:rPr>
            <w:noProof/>
            <w:sz w:val="24"/>
          </w:rPr>
        </w:r>
        <w:r w:rsidR="009B5B1C" w:rsidRPr="00DA76B3">
          <w:rPr>
            <w:noProof/>
            <w:sz w:val="24"/>
          </w:rPr>
          <w:fldChar w:fldCharType="separate"/>
        </w:r>
        <w:r w:rsidR="005D369E">
          <w:rPr>
            <w:noProof/>
            <w:sz w:val="24"/>
          </w:rPr>
          <w:t>29</w:t>
        </w:r>
        <w:r w:rsidR="009B5B1C" w:rsidRPr="00DA76B3">
          <w:rPr>
            <w:noProof/>
            <w:sz w:val="24"/>
          </w:rPr>
          <w:fldChar w:fldCharType="end"/>
        </w:r>
      </w:hyperlink>
    </w:p>
    <w:p w14:paraId="5186F3DC"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27" w:history="1">
        <w:r w:rsidR="009B5B1C" w:rsidRPr="00DA76B3">
          <w:rPr>
            <w:rStyle w:val="ab"/>
            <w:rFonts w:ascii="宋体" w:hAnsi="宋体" w:cs="Arial" w:hint="eastAsia"/>
            <w:noProof/>
            <w:sz w:val="24"/>
          </w:rPr>
          <w:t>十二、 基金有关文件和档案的保存</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_Toc382819127 \h </w:instrText>
        </w:r>
        <w:r w:rsidR="009B5B1C" w:rsidRPr="00DA76B3">
          <w:rPr>
            <w:noProof/>
            <w:sz w:val="24"/>
          </w:rPr>
        </w:r>
        <w:r w:rsidR="009B5B1C" w:rsidRPr="00DA76B3">
          <w:rPr>
            <w:noProof/>
            <w:sz w:val="24"/>
          </w:rPr>
          <w:fldChar w:fldCharType="separate"/>
        </w:r>
        <w:r w:rsidR="005D369E">
          <w:rPr>
            <w:noProof/>
            <w:sz w:val="24"/>
          </w:rPr>
          <w:t>29</w:t>
        </w:r>
        <w:r w:rsidR="009B5B1C" w:rsidRPr="00DA76B3">
          <w:rPr>
            <w:noProof/>
            <w:sz w:val="24"/>
          </w:rPr>
          <w:fldChar w:fldCharType="end"/>
        </w:r>
      </w:hyperlink>
    </w:p>
    <w:p w14:paraId="414619F6"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28" w:history="1">
        <w:r w:rsidR="009B5B1C" w:rsidRPr="00DA76B3">
          <w:rPr>
            <w:rStyle w:val="ab"/>
            <w:rFonts w:ascii="宋体" w:hAnsi="宋体" w:cs="Arial" w:hint="eastAsia"/>
            <w:noProof/>
            <w:sz w:val="24"/>
          </w:rPr>
          <w:t>十三、 基金管理人和基金托管人的更换</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_Toc382819128 \h </w:instrText>
        </w:r>
        <w:r w:rsidR="009B5B1C" w:rsidRPr="00DA76B3">
          <w:rPr>
            <w:noProof/>
            <w:sz w:val="24"/>
          </w:rPr>
        </w:r>
        <w:r w:rsidR="009B5B1C" w:rsidRPr="00DA76B3">
          <w:rPr>
            <w:noProof/>
            <w:sz w:val="24"/>
          </w:rPr>
          <w:fldChar w:fldCharType="separate"/>
        </w:r>
        <w:r w:rsidR="005D369E">
          <w:rPr>
            <w:noProof/>
            <w:sz w:val="24"/>
          </w:rPr>
          <w:t>30</w:t>
        </w:r>
        <w:r w:rsidR="009B5B1C" w:rsidRPr="00DA76B3">
          <w:rPr>
            <w:noProof/>
            <w:sz w:val="24"/>
          </w:rPr>
          <w:fldChar w:fldCharType="end"/>
        </w:r>
      </w:hyperlink>
    </w:p>
    <w:p w14:paraId="395EC071"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31" w:history="1">
        <w:r w:rsidR="009B5B1C" w:rsidRPr="00DA76B3">
          <w:rPr>
            <w:rStyle w:val="ab"/>
            <w:rFonts w:ascii="宋体" w:hAnsi="宋体" w:cs="Arial" w:hint="eastAsia"/>
            <w:noProof/>
            <w:sz w:val="24"/>
          </w:rPr>
          <w:t>十四、 禁止行为</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_Toc382819131 \h </w:instrText>
        </w:r>
        <w:r w:rsidR="009B5B1C" w:rsidRPr="00DA76B3">
          <w:rPr>
            <w:noProof/>
            <w:sz w:val="24"/>
          </w:rPr>
        </w:r>
        <w:r w:rsidR="009B5B1C" w:rsidRPr="00DA76B3">
          <w:rPr>
            <w:noProof/>
            <w:sz w:val="24"/>
          </w:rPr>
          <w:fldChar w:fldCharType="separate"/>
        </w:r>
        <w:r w:rsidR="005D369E">
          <w:rPr>
            <w:noProof/>
            <w:sz w:val="24"/>
          </w:rPr>
          <w:t>32</w:t>
        </w:r>
        <w:r w:rsidR="009B5B1C" w:rsidRPr="00DA76B3">
          <w:rPr>
            <w:noProof/>
            <w:sz w:val="24"/>
          </w:rPr>
          <w:fldChar w:fldCharType="end"/>
        </w:r>
      </w:hyperlink>
    </w:p>
    <w:p w14:paraId="0309933C"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32" w:history="1">
        <w:r w:rsidR="009B5B1C" w:rsidRPr="00DA76B3">
          <w:rPr>
            <w:rStyle w:val="ab"/>
            <w:rFonts w:ascii="宋体" w:hAnsi="宋体" w:cs="Arial" w:hint="eastAsia"/>
            <w:noProof/>
            <w:sz w:val="24"/>
          </w:rPr>
          <w:t>十五、 基金托管协议的变更、终止与基金财产的清算</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_Toc382819132 \h </w:instrText>
        </w:r>
        <w:r w:rsidR="009B5B1C" w:rsidRPr="00DA76B3">
          <w:rPr>
            <w:noProof/>
            <w:sz w:val="24"/>
          </w:rPr>
        </w:r>
        <w:r w:rsidR="009B5B1C" w:rsidRPr="00DA76B3">
          <w:rPr>
            <w:noProof/>
            <w:sz w:val="24"/>
          </w:rPr>
          <w:fldChar w:fldCharType="separate"/>
        </w:r>
        <w:r w:rsidR="005D369E">
          <w:rPr>
            <w:noProof/>
            <w:sz w:val="24"/>
          </w:rPr>
          <w:t>33</w:t>
        </w:r>
        <w:r w:rsidR="009B5B1C" w:rsidRPr="00DA76B3">
          <w:rPr>
            <w:noProof/>
            <w:sz w:val="24"/>
          </w:rPr>
          <w:fldChar w:fldCharType="end"/>
        </w:r>
      </w:hyperlink>
    </w:p>
    <w:p w14:paraId="216212A8"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33" w:history="1">
        <w:r w:rsidR="009B5B1C" w:rsidRPr="00DA76B3">
          <w:rPr>
            <w:rStyle w:val="ab"/>
            <w:rFonts w:ascii="宋体" w:hAnsi="宋体" w:cs="Arial" w:hint="eastAsia"/>
            <w:noProof/>
            <w:sz w:val="24"/>
          </w:rPr>
          <w:t>十六、 违约责任</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_Toc382819133 \h </w:instrText>
        </w:r>
        <w:r w:rsidR="009B5B1C" w:rsidRPr="00DA76B3">
          <w:rPr>
            <w:noProof/>
            <w:sz w:val="24"/>
          </w:rPr>
        </w:r>
        <w:r w:rsidR="009B5B1C" w:rsidRPr="00DA76B3">
          <w:rPr>
            <w:noProof/>
            <w:sz w:val="24"/>
          </w:rPr>
          <w:fldChar w:fldCharType="separate"/>
        </w:r>
        <w:r w:rsidR="005D369E">
          <w:rPr>
            <w:noProof/>
            <w:sz w:val="24"/>
          </w:rPr>
          <w:t>34</w:t>
        </w:r>
        <w:r w:rsidR="009B5B1C" w:rsidRPr="00DA76B3">
          <w:rPr>
            <w:noProof/>
            <w:sz w:val="24"/>
          </w:rPr>
          <w:fldChar w:fldCharType="end"/>
        </w:r>
      </w:hyperlink>
    </w:p>
    <w:p w14:paraId="4A7270CE"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34" w:history="1">
        <w:r w:rsidR="009B5B1C" w:rsidRPr="00DA76B3">
          <w:rPr>
            <w:rStyle w:val="ab"/>
            <w:rFonts w:ascii="宋体" w:hAnsi="宋体" w:cs="Arial" w:hint="eastAsia"/>
            <w:noProof/>
            <w:sz w:val="24"/>
          </w:rPr>
          <w:t>十七、 适用法律及争议解决方式</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_Toc382819134 \h </w:instrText>
        </w:r>
        <w:r w:rsidR="009B5B1C" w:rsidRPr="00DA76B3">
          <w:rPr>
            <w:noProof/>
            <w:sz w:val="24"/>
          </w:rPr>
        </w:r>
        <w:r w:rsidR="009B5B1C" w:rsidRPr="00DA76B3">
          <w:rPr>
            <w:noProof/>
            <w:sz w:val="24"/>
          </w:rPr>
          <w:fldChar w:fldCharType="separate"/>
        </w:r>
        <w:r w:rsidR="005D369E">
          <w:rPr>
            <w:noProof/>
            <w:sz w:val="24"/>
          </w:rPr>
          <w:t>35</w:t>
        </w:r>
        <w:r w:rsidR="009B5B1C" w:rsidRPr="00DA76B3">
          <w:rPr>
            <w:noProof/>
            <w:sz w:val="24"/>
          </w:rPr>
          <w:fldChar w:fldCharType="end"/>
        </w:r>
      </w:hyperlink>
    </w:p>
    <w:p w14:paraId="235E5B0A" w14:textId="7099B6FF" w:rsidR="00C96543" w:rsidRPr="00DA76B3" w:rsidRDefault="00AE7FB4">
      <w:pPr>
        <w:pStyle w:val="10"/>
        <w:tabs>
          <w:tab w:val="right" w:leader="dot" w:pos="8296"/>
        </w:tabs>
        <w:spacing w:line="360" w:lineRule="auto"/>
        <w:rPr>
          <w:rFonts w:ascii="Calibri" w:hAnsi="Calibri"/>
          <w:noProof/>
          <w:sz w:val="24"/>
          <w:szCs w:val="22"/>
        </w:rPr>
      </w:pPr>
      <w:hyperlink w:anchor="_Toc382819135" w:history="1">
        <w:r w:rsidR="009B5B1C" w:rsidRPr="00DA76B3">
          <w:rPr>
            <w:rStyle w:val="ab"/>
            <w:rFonts w:ascii="宋体" w:hAnsi="宋体" w:cs="Arial" w:hint="eastAsia"/>
            <w:noProof/>
            <w:sz w:val="24"/>
          </w:rPr>
          <w:t>十八、 基金托管协议的效力和文本</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_Toc382819135 \h </w:instrText>
        </w:r>
        <w:r w:rsidR="009B5B1C" w:rsidRPr="00DA76B3">
          <w:rPr>
            <w:noProof/>
            <w:sz w:val="24"/>
          </w:rPr>
        </w:r>
        <w:r w:rsidR="009B5B1C" w:rsidRPr="00DA76B3">
          <w:rPr>
            <w:noProof/>
            <w:sz w:val="24"/>
          </w:rPr>
          <w:fldChar w:fldCharType="separate"/>
        </w:r>
        <w:r w:rsidR="005D369E">
          <w:rPr>
            <w:noProof/>
            <w:sz w:val="24"/>
          </w:rPr>
          <w:t>36</w:t>
        </w:r>
        <w:r w:rsidR="009B5B1C" w:rsidRPr="00DA76B3">
          <w:rPr>
            <w:noProof/>
            <w:sz w:val="24"/>
          </w:rPr>
          <w:fldChar w:fldCharType="end"/>
        </w:r>
      </w:hyperlink>
    </w:p>
    <w:p w14:paraId="75D75E0E" w14:textId="77777777" w:rsidR="00C96543" w:rsidRPr="00DA76B3" w:rsidRDefault="00AE7FB4">
      <w:pPr>
        <w:pStyle w:val="10"/>
        <w:tabs>
          <w:tab w:val="right" w:leader="dot" w:pos="8296"/>
        </w:tabs>
        <w:spacing w:line="360" w:lineRule="auto"/>
        <w:rPr>
          <w:rFonts w:ascii="Calibri" w:hAnsi="Calibri"/>
          <w:noProof/>
          <w:sz w:val="24"/>
          <w:szCs w:val="22"/>
        </w:rPr>
      </w:pPr>
      <w:hyperlink w:anchor="_Toc382819136" w:history="1">
        <w:r w:rsidR="009B5B1C" w:rsidRPr="00DA76B3">
          <w:rPr>
            <w:rStyle w:val="ab"/>
            <w:rFonts w:ascii="宋体" w:hAnsi="宋体" w:hint="eastAsia"/>
            <w:noProof/>
            <w:sz w:val="24"/>
          </w:rPr>
          <w:t>十九、</w:t>
        </w:r>
        <w:r w:rsidR="009B5B1C" w:rsidRPr="00DA76B3">
          <w:rPr>
            <w:rStyle w:val="ab"/>
            <w:rFonts w:ascii="宋体" w:hAnsi="宋体" w:cs="Arial" w:hint="eastAsia"/>
            <w:noProof/>
            <w:sz w:val="24"/>
          </w:rPr>
          <w:t xml:space="preserve"> 其他事项</w:t>
        </w:r>
        <w:r w:rsidR="009B5B1C" w:rsidRPr="00DA76B3">
          <w:rPr>
            <w:noProof/>
            <w:sz w:val="24"/>
          </w:rPr>
          <w:tab/>
        </w:r>
        <w:r w:rsidR="009B5B1C" w:rsidRPr="00DA76B3">
          <w:rPr>
            <w:noProof/>
            <w:sz w:val="24"/>
          </w:rPr>
          <w:fldChar w:fldCharType="begin"/>
        </w:r>
        <w:r w:rsidR="009B5B1C" w:rsidRPr="00DA76B3">
          <w:rPr>
            <w:noProof/>
            <w:sz w:val="24"/>
          </w:rPr>
          <w:instrText xml:space="preserve"> PAGEREF _Toc382819136 \h </w:instrText>
        </w:r>
        <w:r w:rsidR="009B5B1C" w:rsidRPr="00DA76B3">
          <w:rPr>
            <w:noProof/>
            <w:sz w:val="24"/>
          </w:rPr>
        </w:r>
        <w:r w:rsidR="009B5B1C" w:rsidRPr="00DA76B3">
          <w:rPr>
            <w:noProof/>
            <w:sz w:val="24"/>
          </w:rPr>
          <w:fldChar w:fldCharType="separate"/>
        </w:r>
        <w:r w:rsidR="005D369E">
          <w:rPr>
            <w:noProof/>
            <w:sz w:val="24"/>
          </w:rPr>
          <w:t>36</w:t>
        </w:r>
        <w:r w:rsidR="009B5B1C" w:rsidRPr="00DA76B3">
          <w:rPr>
            <w:noProof/>
            <w:sz w:val="24"/>
          </w:rPr>
          <w:fldChar w:fldCharType="end"/>
        </w:r>
      </w:hyperlink>
    </w:p>
    <w:p w14:paraId="62402D9A" w14:textId="77777777" w:rsidR="00C96543" w:rsidRPr="00DA76B3" w:rsidRDefault="009B5B1C">
      <w:pPr>
        <w:spacing w:line="360" w:lineRule="auto"/>
        <w:rPr>
          <w:rFonts w:ascii="仿宋_GB2312" w:eastAsia="仿宋_GB2312"/>
          <w:sz w:val="24"/>
        </w:rPr>
      </w:pPr>
      <w:r w:rsidRPr="00DA76B3">
        <w:rPr>
          <w:rFonts w:ascii="宋体" w:hAnsi="宋体"/>
          <w:sz w:val="20"/>
          <w:szCs w:val="21"/>
        </w:rPr>
        <w:fldChar w:fldCharType="end"/>
      </w:r>
    </w:p>
    <w:p w14:paraId="53226A26" w14:textId="77777777" w:rsidR="00C96543" w:rsidRPr="00DA76B3" w:rsidRDefault="00C96543">
      <w:pPr>
        <w:widowControl/>
        <w:jc w:val="left"/>
        <w:rPr>
          <w:rFonts w:ascii="仿宋_GB2312" w:eastAsia="仿宋_GB2312"/>
          <w:sz w:val="24"/>
        </w:rPr>
        <w:sectPr w:rsidR="00C96543" w:rsidRPr="00DA76B3">
          <w:headerReference w:type="default" r:id="rId9"/>
          <w:footerReference w:type="default" r:id="rId10"/>
          <w:pgSz w:w="11906" w:h="16838"/>
          <w:pgMar w:top="1440" w:right="1800" w:bottom="1440" w:left="1800" w:header="851" w:footer="992" w:gutter="0"/>
          <w:pgNumType w:start="1"/>
          <w:cols w:space="720"/>
          <w:titlePg/>
          <w:docGrid w:type="lines" w:linePitch="312"/>
        </w:sectPr>
      </w:pPr>
    </w:p>
    <w:p w14:paraId="6A4F21A6" w14:textId="77777777" w:rsidR="00C96543" w:rsidRPr="00DA76B3" w:rsidRDefault="009B5B1C">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7" w:name="_Toc382818594"/>
      <w:bookmarkStart w:id="8" w:name="_Toc382819068"/>
      <w:r w:rsidRPr="00DA76B3">
        <w:rPr>
          <w:rFonts w:hAnsi="黑体" w:hint="eastAsia"/>
          <w:b w:val="0"/>
          <w:szCs w:val="32"/>
        </w:rPr>
        <w:t>公开募集证券投资基金托管协议</w:t>
      </w:r>
      <w:bookmarkEnd w:id="7"/>
      <w:bookmarkEnd w:id="8"/>
    </w:p>
    <w:p w14:paraId="78CAC215" w14:textId="77777777" w:rsidR="00C96543" w:rsidRPr="00DA76B3" w:rsidRDefault="00C96543">
      <w:pPr>
        <w:rPr>
          <w:lang w:val="zh-CN"/>
        </w:rPr>
      </w:pPr>
    </w:p>
    <w:p w14:paraId="1584853C" w14:textId="77777777" w:rsidR="00C96543" w:rsidRPr="00DA76B3" w:rsidRDefault="00C96543">
      <w:pPr>
        <w:rPr>
          <w:lang w:val="zh-CN"/>
        </w:rPr>
      </w:pPr>
    </w:p>
    <w:p w14:paraId="17F80DF7" w14:textId="77777777" w:rsidR="00C96543" w:rsidRPr="00DA76B3" w:rsidRDefault="009B5B1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9" w:name="_Toc382819069"/>
      <w:r w:rsidRPr="00DA76B3">
        <w:rPr>
          <w:rFonts w:ascii="宋体" w:eastAsia="宋体" w:hAnsi="宋体" w:cs="Arial" w:hint="eastAsia"/>
          <w:kern w:val="0"/>
          <w:sz w:val="24"/>
          <w:szCs w:val="24"/>
        </w:rPr>
        <w:t>基金管理人：</w:t>
      </w:r>
      <w:bookmarkEnd w:id="9"/>
      <w:r w:rsidRPr="00DA76B3">
        <w:rPr>
          <w:rFonts w:ascii="宋体" w:eastAsia="宋体" w:hAnsi="宋体" w:cs="Arial" w:hint="eastAsia"/>
          <w:kern w:val="0"/>
          <w:sz w:val="24"/>
          <w:szCs w:val="24"/>
        </w:rPr>
        <w:t>天弘</w:t>
      </w:r>
      <w:r w:rsidRPr="00DA76B3">
        <w:rPr>
          <w:rFonts w:ascii="宋体" w:eastAsia="宋体" w:hAnsi="宋体" w:cs="Arial"/>
          <w:kern w:val="0"/>
          <w:sz w:val="24"/>
          <w:szCs w:val="24"/>
        </w:rPr>
        <w:t>基金管理</w:t>
      </w:r>
      <w:r w:rsidRPr="00DA76B3">
        <w:rPr>
          <w:rFonts w:ascii="宋体" w:eastAsia="宋体" w:hAnsi="宋体" w:cs="Arial" w:hint="eastAsia"/>
          <w:kern w:val="0"/>
          <w:sz w:val="24"/>
          <w:szCs w:val="24"/>
        </w:rPr>
        <w:t>有限</w:t>
      </w:r>
      <w:r w:rsidRPr="00DA76B3">
        <w:rPr>
          <w:rFonts w:ascii="宋体" w:eastAsia="宋体" w:hAnsi="宋体" w:cs="Arial"/>
          <w:kern w:val="0"/>
          <w:sz w:val="24"/>
          <w:szCs w:val="24"/>
        </w:rPr>
        <w:t>公司</w:t>
      </w:r>
    </w:p>
    <w:p w14:paraId="223C74EE" w14:textId="1C1DA21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住所：</w:t>
      </w:r>
      <w:r w:rsidR="0065326D" w:rsidRPr="0065326D">
        <w:rPr>
          <w:rFonts w:ascii="宋体" w:hAnsi="宋体" w:hint="eastAsia"/>
          <w:sz w:val="24"/>
        </w:rPr>
        <w:t>天津自贸试验区（中心商务区）新华路3678号宝风大厦23层</w:t>
      </w:r>
    </w:p>
    <w:p w14:paraId="045E8AC8" w14:textId="37E0005B"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法定代表人：</w:t>
      </w:r>
      <w:r w:rsidR="0065326D" w:rsidRPr="0065326D">
        <w:rPr>
          <w:rFonts w:ascii="宋体" w:hAnsi="宋体" w:hint="eastAsia"/>
          <w:sz w:val="24"/>
        </w:rPr>
        <w:t>韩歆毅</w:t>
      </w:r>
    </w:p>
    <w:p w14:paraId="39FED699"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成立时间：2004年11月8日</w:t>
      </w:r>
    </w:p>
    <w:p w14:paraId="007B916A"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批准设立机关及批准设立文号：中国证券监督管理委员会证监基金字[2004]164号</w:t>
      </w:r>
    </w:p>
    <w:p w14:paraId="1F863D37"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注册资本：人民币5.143亿元</w:t>
      </w:r>
    </w:p>
    <w:p w14:paraId="7BE7392D"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组织形式: 有限责任公司</w:t>
      </w:r>
    </w:p>
    <w:p w14:paraId="708962A7"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存续期间：持续经营</w:t>
      </w:r>
    </w:p>
    <w:p w14:paraId="619A8718"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电话：（022）83310208</w:t>
      </w:r>
    </w:p>
    <w:p w14:paraId="003D8940" w14:textId="77777777" w:rsidR="00C96543" w:rsidRPr="00DA76B3" w:rsidRDefault="009B5B1C">
      <w:pPr>
        <w:tabs>
          <w:tab w:val="left" w:pos="1770"/>
        </w:tabs>
        <w:ind w:firstLine="630"/>
      </w:pPr>
      <w:r w:rsidRPr="00DA76B3">
        <w:tab/>
      </w:r>
    </w:p>
    <w:p w14:paraId="53C71472" w14:textId="77777777" w:rsidR="00C96543" w:rsidRPr="00DA76B3" w:rsidRDefault="00C96543">
      <w:pPr>
        <w:ind w:firstLine="630"/>
      </w:pPr>
    </w:p>
    <w:p w14:paraId="17683C19" w14:textId="77777777" w:rsidR="00C96543" w:rsidRPr="00DA76B3" w:rsidRDefault="00C96543">
      <w:pPr>
        <w:ind w:firstLine="630"/>
      </w:pPr>
    </w:p>
    <w:p w14:paraId="14D6556A" w14:textId="77777777" w:rsidR="00C96543" w:rsidRPr="00DA76B3" w:rsidRDefault="00C96543">
      <w:pPr>
        <w:spacing w:line="360" w:lineRule="auto"/>
        <w:ind w:firstLineChars="200" w:firstLine="482"/>
        <w:rPr>
          <w:rFonts w:ascii="宋体" w:hAnsi="宋体"/>
          <w:b/>
          <w:sz w:val="24"/>
        </w:rPr>
      </w:pPr>
    </w:p>
    <w:p w14:paraId="7D977E2C" w14:textId="77777777" w:rsidR="00C96543" w:rsidRPr="00DA76B3" w:rsidRDefault="009B5B1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10" w:name="_Toc382819070"/>
      <w:r w:rsidRPr="00DA76B3">
        <w:rPr>
          <w:rFonts w:ascii="宋体" w:eastAsia="宋体" w:hAnsi="宋体" w:cs="Arial" w:hint="eastAsia"/>
          <w:kern w:val="0"/>
          <w:sz w:val="24"/>
          <w:szCs w:val="24"/>
        </w:rPr>
        <w:t>基金托管人：</w:t>
      </w:r>
      <w:r w:rsidRPr="00DA76B3">
        <w:rPr>
          <w:rFonts w:ascii="宋体" w:eastAsia="宋体" w:hAnsi="宋体" w:hint="eastAsia"/>
          <w:bCs w:val="0"/>
          <w:sz w:val="24"/>
          <w:szCs w:val="24"/>
        </w:rPr>
        <w:t>上海浦东发展银行股份有限公司</w:t>
      </w:r>
      <w:bookmarkEnd w:id="10"/>
    </w:p>
    <w:p w14:paraId="37D066CE"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办公地址：上海市中山东一路12号</w:t>
      </w:r>
    </w:p>
    <w:p w14:paraId="5104BA63"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法定代表人：郑杨</w:t>
      </w:r>
    </w:p>
    <w:p w14:paraId="3D6F41BB"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成立日期：1992年10月19日</w:t>
      </w:r>
    </w:p>
    <w:p w14:paraId="70396DA2"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基金托管业务资格批准机关：中国证监会</w:t>
      </w:r>
    </w:p>
    <w:p w14:paraId="662FE3B9"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基金托管业务资格文号：证监基金字[2003]105号</w:t>
      </w:r>
    </w:p>
    <w:p w14:paraId="5640246B"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组织形式：股份有限公司（上市）</w:t>
      </w:r>
    </w:p>
    <w:p w14:paraId="75C21281"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注册资本：人民币</w:t>
      </w:r>
      <w:r w:rsidRPr="00DA76B3">
        <w:rPr>
          <w:rFonts w:ascii="宋体" w:hAnsi="宋体"/>
          <w:sz w:val="24"/>
        </w:rPr>
        <w:t>293.52</w:t>
      </w:r>
      <w:r w:rsidRPr="00DA76B3">
        <w:rPr>
          <w:rFonts w:ascii="宋体" w:hAnsi="宋体" w:hint="eastAsia"/>
          <w:sz w:val="24"/>
        </w:rPr>
        <w:t>亿元</w:t>
      </w:r>
    </w:p>
    <w:p w14:paraId="314CE5CF" w14:textId="77777777" w:rsidR="00C96543" w:rsidRPr="00DA76B3" w:rsidRDefault="009B5B1C">
      <w:pPr>
        <w:spacing w:line="360" w:lineRule="auto"/>
        <w:ind w:firstLineChars="200" w:firstLine="480"/>
        <w:rPr>
          <w:rFonts w:ascii="宋体" w:hAnsi="宋体"/>
          <w:sz w:val="24"/>
        </w:rPr>
      </w:pPr>
      <w:r w:rsidRPr="00DA76B3">
        <w:rPr>
          <w:rFonts w:ascii="宋体" w:hAnsi="宋体" w:hint="eastAsia"/>
          <w:sz w:val="24"/>
        </w:rPr>
        <w:t>经营期限：永久存续</w:t>
      </w:r>
    </w:p>
    <w:p w14:paraId="6E191548" w14:textId="77777777" w:rsidR="00C96543" w:rsidRPr="00DA76B3" w:rsidRDefault="00C96543">
      <w:pPr>
        <w:spacing w:line="360" w:lineRule="auto"/>
        <w:ind w:firstLineChars="200" w:firstLine="480"/>
        <w:rPr>
          <w:rFonts w:ascii="宋体" w:hAnsi="宋体"/>
          <w:sz w:val="24"/>
        </w:rPr>
      </w:pPr>
    </w:p>
    <w:p w14:paraId="53525840" w14:textId="77777777" w:rsidR="00C96543" w:rsidRPr="00DA76B3" w:rsidRDefault="00C96543">
      <w:pPr>
        <w:spacing w:line="360" w:lineRule="auto"/>
        <w:ind w:firstLineChars="200" w:firstLine="480"/>
        <w:rPr>
          <w:rFonts w:ascii="宋体" w:hAnsi="宋体"/>
          <w:sz w:val="24"/>
        </w:rPr>
      </w:pPr>
    </w:p>
    <w:p w14:paraId="19107B13" w14:textId="77777777" w:rsidR="00C96543" w:rsidRPr="00DA76B3" w:rsidRDefault="00C96543">
      <w:pPr>
        <w:spacing w:line="360" w:lineRule="auto"/>
        <w:ind w:firstLineChars="200" w:firstLine="480"/>
        <w:rPr>
          <w:rFonts w:ascii="宋体" w:hAnsi="宋体"/>
          <w:sz w:val="24"/>
        </w:rPr>
      </w:pPr>
    </w:p>
    <w:p w14:paraId="284E49FE"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11" w:name="_Toc382819071"/>
      <w:r w:rsidRPr="00DA76B3">
        <w:rPr>
          <w:rFonts w:ascii="宋体" w:eastAsia="宋体" w:hAnsi="宋体" w:cs="Arial" w:hint="eastAsia"/>
          <w:sz w:val="28"/>
          <w:szCs w:val="28"/>
        </w:rPr>
        <w:t>基金托管协议的依据、目的、原则和解释</w:t>
      </w:r>
      <w:bookmarkEnd w:id="11"/>
    </w:p>
    <w:p w14:paraId="5E7950B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（一）依据</w:t>
      </w:r>
    </w:p>
    <w:p w14:paraId="6F1971B6" w14:textId="764479B5"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本协议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证券投资基金托管业务管理办法》、《公开募集证券投资基金运作指引第2号——基金中基金指引》、《养老目标证券投资基金指引（试行）》、《公开募集开放式证券投资基金流动性风险管理规定》、《证券投资基金信息披露内容与格式准则第7号〈托管协议的内容与格式〉》、</w:t>
      </w:r>
      <w:r w:rsidR="00552030" w:rsidRPr="00DA76B3">
        <w:rPr>
          <w:rFonts w:ascii="宋体" w:hAnsi="宋体" w:hint="eastAsia"/>
          <w:szCs w:val="21"/>
        </w:rPr>
        <w:t>《个人养老金投资公开募集证券投资基金业务管理暂行规定》、</w:t>
      </w:r>
      <w:r w:rsidRPr="00DA76B3">
        <w:rPr>
          <w:rFonts w:ascii="宋体" w:hAnsi="宋体" w:hint="eastAsia"/>
          <w:szCs w:val="21"/>
        </w:rPr>
        <w:t>《天弘永裕稳健养老目标一年持有期混合型基金中基金（FOF）基金合同》（以下简称《基金合同》）及其他有关法律、法规制定。</w:t>
      </w:r>
    </w:p>
    <w:p w14:paraId="3E2C440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（二）目的</w:t>
      </w:r>
    </w:p>
    <w:p w14:paraId="433ADCE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43A006F"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（三）原则</w:t>
      </w:r>
    </w:p>
    <w:p w14:paraId="002F6CB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基金管理人和基金托管人本着平等自愿、诚实信用、充分保护基金份额持有人合法权益的原则，经协商一致，签订本协议。</w:t>
      </w:r>
    </w:p>
    <w:p w14:paraId="366B0392"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（四）解释</w:t>
      </w:r>
    </w:p>
    <w:p w14:paraId="4274D660"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除非本协议另有约定，本协议所有术语与《基金合同》的相应术语具有相同含义。</w:t>
      </w:r>
    </w:p>
    <w:p w14:paraId="1750FD0A"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12" w:name="_Toc382819072"/>
      <w:r w:rsidRPr="00DA76B3">
        <w:rPr>
          <w:rFonts w:ascii="宋体" w:eastAsia="宋体" w:hAnsi="宋体" w:cs="Arial" w:hint="eastAsia"/>
          <w:sz w:val="28"/>
          <w:szCs w:val="28"/>
        </w:rPr>
        <w:t>基金托管人对基金管理人的业务监督和核查</w:t>
      </w:r>
      <w:bookmarkEnd w:id="12"/>
    </w:p>
    <w:p w14:paraId="19082C25" w14:textId="77777777" w:rsidR="00C96543" w:rsidRPr="00DA76B3" w:rsidRDefault="009B5B1C">
      <w:pPr>
        <w:pStyle w:val="2"/>
        <w:keepNext w:val="0"/>
        <w:keepLines w:val="0"/>
        <w:autoSpaceDE w:val="0"/>
        <w:autoSpaceDN w:val="0"/>
        <w:adjustRightInd w:val="0"/>
        <w:spacing w:beforeLines="50" w:before="156" w:afterLines="50" w:after="156"/>
        <w:ind w:firstLineChars="150" w:firstLine="315"/>
        <w:textAlignment w:val="baseline"/>
        <w:rPr>
          <w:rFonts w:ascii="宋体" w:eastAsia="宋体" w:hAnsi="宋体"/>
          <w:b w:val="0"/>
          <w:sz w:val="21"/>
          <w:szCs w:val="21"/>
        </w:rPr>
      </w:pPr>
      <w:bookmarkStart w:id="13" w:name="_Toc382819073"/>
      <w:r w:rsidRPr="00DA76B3">
        <w:rPr>
          <w:rFonts w:ascii="宋体" w:eastAsia="宋体" w:hAnsi="宋体" w:hint="eastAsia"/>
          <w:b w:val="0"/>
          <w:sz w:val="21"/>
          <w:szCs w:val="21"/>
        </w:rPr>
        <w:t>（一）基金托管人对基金管理人的投资行为行使监督权</w:t>
      </w:r>
      <w:bookmarkEnd w:id="13"/>
    </w:p>
    <w:p w14:paraId="6992542A" w14:textId="77777777" w:rsidR="00C96543" w:rsidRPr="00DA76B3" w:rsidRDefault="009B5B1C">
      <w:pPr>
        <w:widowControl/>
        <w:spacing w:line="360" w:lineRule="auto"/>
        <w:ind w:firstLineChars="200" w:firstLine="420"/>
        <w:jc w:val="left"/>
        <w:rPr>
          <w:rFonts w:ascii="宋体" w:hAnsi="宋体"/>
          <w:szCs w:val="21"/>
        </w:rPr>
      </w:pPr>
      <w:r w:rsidRPr="00DA76B3">
        <w:rPr>
          <w:rFonts w:ascii="宋体" w:hAnsi="宋体" w:hint="eastAsia"/>
          <w:szCs w:val="21"/>
        </w:rPr>
        <w:t>1.基金托管人根据有关法律法规的规定和《基金合同》的约定，对下述基金投资范围、投资对象进行监督。</w:t>
      </w:r>
    </w:p>
    <w:p w14:paraId="2DB3CF76" w14:textId="77777777" w:rsidR="00C96543" w:rsidRPr="00DA76B3" w:rsidRDefault="009B5B1C">
      <w:pPr>
        <w:widowControl/>
        <w:spacing w:line="324" w:lineRule="auto"/>
        <w:ind w:firstLineChars="200" w:firstLine="420"/>
        <w:jc w:val="left"/>
        <w:rPr>
          <w:rFonts w:ascii="宋体" w:hAnsi="宋体" w:cs="宋体"/>
          <w:kern w:val="0"/>
          <w:szCs w:val="21"/>
        </w:rPr>
      </w:pPr>
      <w:r w:rsidRPr="00DA76B3">
        <w:rPr>
          <w:rFonts w:ascii="宋体" w:hAnsi="宋体" w:hint="eastAsia"/>
          <w:szCs w:val="21"/>
        </w:rPr>
        <w:t>本</w:t>
      </w:r>
      <w:r w:rsidRPr="00DA76B3">
        <w:rPr>
          <w:rFonts w:ascii="宋体" w:hAnsi="宋体" w:cs="宋体" w:hint="eastAsia"/>
          <w:kern w:val="0"/>
          <w:szCs w:val="21"/>
        </w:rPr>
        <w:t>基金将投资于以下金融工具：</w:t>
      </w:r>
    </w:p>
    <w:p w14:paraId="662AB389" w14:textId="77777777" w:rsidR="00C96543" w:rsidRPr="00DA76B3" w:rsidRDefault="009B5B1C">
      <w:pPr>
        <w:widowControl/>
        <w:spacing w:line="324" w:lineRule="auto"/>
        <w:ind w:firstLineChars="200" w:firstLine="420"/>
        <w:jc w:val="left"/>
        <w:rPr>
          <w:rFonts w:ascii="宋体" w:hAnsi="宋体" w:cs="宋体"/>
          <w:kern w:val="0"/>
          <w:szCs w:val="21"/>
        </w:rPr>
      </w:pPr>
      <w:r w:rsidRPr="00DA76B3">
        <w:rPr>
          <w:rFonts w:ascii="宋体" w:hAnsi="宋体" w:cs="宋体" w:hint="eastAsia"/>
          <w:kern w:val="0"/>
          <w:szCs w:val="21"/>
        </w:rPr>
        <w:t>主要投资于经中国证监会依法核准或注册的公开募集证券投资基金（含QDII基金、香港互认基金等）。</w:t>
      </w:r>
    </w:p>
    <w:p w14:paraId="0F368E87" w14:textId="77777777" w:rsidR="00C96543" w:rsidRPr="00DA76B3" w:rsidRDefault="009B5B1C">
      <w:pPr>
        <w:widowControl/>
        <w:spacing w:line="324" w:lineRule="auto"/>
        <w:ind w:firstLineChars="200" w:firstLine="420"/>
        <w:jc w:val="left"/>
        <w:rPr>
          <w:rFonts w:ascii="宋体" w:hAnsi="宋体" w:cs="宋体"/>
          <w:kern w:val="0"/>
          <w:szCs w:val="21"/>
        </w:rPr>
      </w:pPr>
      <w:r w:rsidRPr="00DA76B3">
        <w:rPr>
          <w:rFonts w:ascii="宋体" w:hAnsi="宋体" w:cs="宋体" w:hint="eastAsia"/>
          <w:kern w:val="0"/>
          <w:szCs w:val="21"/>
        </w:rPr>
        <w:t>为更好地实现投资目标，本基金还可投资于股票（包含中小板、创业板及其他中国证监会允许上市的其他股票）、存托凭证、债券（包含国债、央行</w:t>
      </w:r>
      <w:r w:rsidRPr="00DA76B3">
        <w:rPr>
          <w:rFonts w:ascii="宋体" w:hAnsi="宋体" w:cs="宋体"/>
          <w:kern w:val="0"/>
          <w:szCs w:val="21"/>
        </w:rPr>
        <w:t>票据、</w:t>
      </w:r>
      <w:r w:rsidRPr="00DA76B3">
        <w:rPr>
          <w:rFonts w:ascii="宋体" w:hAnsi="宋体" w:cs="宋体" w:hint="eastAsia"/>
          <w:kern w:val="0"/>
          <w:szCs w:val="21"/>
        </w:rPr>
        <w:t>金融债、地方政府债、企业债、公司债、次级债、可转换债券（含分离交易可转债）、可交换债券、中期票据、短期融资券（含超短期融资券）等）、资产支持证券、债券回购、银行存款、同业存单、货币市场工具及法律法规或中国证监会允许基金投资的其他金融工具（但须符合中国证监会的相关规定）。</w:t>
      </w:r>
    </w:p>
    <w:p w14:paraId="3B0678E8" w14:textId="77777777" w:rsidR="00C96543" w:rsidRPr="00DA76B3" w:rsidRDefault="009B5B1C">
      <w:pPr>
        <w:widowControl/>
        <w:spacing w:line="324" w:lineRule="auto"/>
        <w:ind w:firstLineChars="200" w:firstLine="420"/>
        <w:jc w:val="left"/>
        <w:rPr>
          <w:rFonts w:ascii="宋体" w:hAnsi="宋体" w:cs="宋体"/>
          <w:kern w:val="0"/>
          <w:szCs w:val="21"/>
        </w:rPr>
      </w:pPr>
      <w:r w:rsidRPr="00DA76B3">
        <w:rPr>
          <w:rFonts w:ascii="宋体" w:hAnsi="宋体" w:cs="宋体" w:hint="eastAsia"/>
          <w:kern w:val="0"/>
          <w:szCs w:val="21"/>
        </w:rPr>
        <w:t>如法律法规或监管机构以后允许基金投资其他品种，基金管理人在履行适当程序后，可以将其纳入投资范围。</w:t>
      </w:r>
    </w:p>
    <w:p w14:paraId="0259280A" w14:textId="77777777" w:rsidR="00C96543" w:rsidRPr="00DA76B3" w:rsidRDefault="009B5B1C">
      <w:pPr>
        <w:widowControl/>
        <w:spacing w:line="324" w:lineRule="auto"/>
        <w:ind w:firstLineChars="200" w:firstLine="420"/>
        <w:jc w:val="left"/>
        <w:rPr>
          <w:rFonts w:ascii="宋体" w:hAnsi="宋体"/>
          <w:kern w:val="0"/>
          <w:szCs w:val="21"/>
        </w:rPr>
      </w:pPr>
      <w:r w:rsidRPr="00DA76B3">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3161AD3F" w14:textId="77777777" w:rsidR="00C96543" w:rsidRPr="00DA76B3" w:rsidRDefault="009B5B1C">
      <w:pPr>
        <w:widowControl/>
        <w:spacing w:line="324" w:lineRule="auto"/>
        <w:ind w:firstLineChars="200" w:firstLine="420"/>
        <w:jc w:val="left"/>
        <w:rPr>
          <w:rFonts w:ascii="宋体" w:hAnsi="宋体"/>
          <w:kern w:val="0"/>
          <w:szCs w:val="21"/>
        </w:rPr>
      </w:pPr>
      <w:r w:rsidRPr="00DA76B3">
        <w:rPr>
          <w:rFonts w:ascii="宋体" w:hAnsi="宋体" w:hint="eastAsia"/>
          <w:kern w:val="0"/>
          <w:szCs w:val="21"/>
        </w:rPr>
        <w:t>本基金不得投资于相关法律、法规、部门规章及《基金合同》禁止投资的投资工具。</w:t>
      </w:r>
    </w:p>
    <w:p w14:paraId="0B402AC6" w14:textId="77777777" w:rsidR="00C96543" w:rsidRPr="00DA76B3" w:rsidRDefault="009B5B1C">
      <w:pPr>
        <w:spacing w:after="120" w:line="324" w:lineRule="auto"/>
        <w:ind w:firstLineChars="200" w:firstLine="420"/>
        <w:rPr>
          <w:rFonts w:ascii="宋体" w:hAnsi="宋体"/>
          <w:szCs w:val="21"/>
        </w:rPr>
      </w:pPr>
      <w:r w:rsidRPr="00DA76B3">
        <w:rPr>
          <w:rFonts w:ascii="宋体" w:hAnsi="宋体" w:hint="eastAsia"/>
          <w:szCs w:val="21"/>
        </w:rPr>
        <w:t>2.基金托管人根据有关法律法规的规定及《基金合同》的约定对下述基金投资比例进行监督：</w:t>
      </w:r>
    </w:p>
    <w:p w14:paraId="37B5B317"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（1）按法律法规的规定及《基金合同》的约定，本基金的投资资产配置比例为：</w:t>
      </w:r>
    </w:p>
    <w:p w14:paraId="50A445EE" w14:textId="77777777" w:rsidR="00C96543" w:rsidRPr="00DA76B3" w:rsidRDefault="009B5B1C">
      <w:pPr>
        <w:widowControl/>
        <w:spacing w:line="324" w:lineRule="auto"/>
        <w:ind w:firstLineChars="200" w:firstLine="420"/>
        <w:jc w:val="left"/>
        <w:rPr>
          <w:rFonts w:ascii="宋体" w:hAnsi="宋体" w:cs="宋体"/>
          <w:kern w:val="0"/>
          <w:szCs w:val="21"/>
        </w:rPr>
      </w:pPr>
      <w:r w:rsidRPr="00DA76B3">
        <w:rPr>
          <w:rFonts w:ascii="宋体" w:hAnsi="宋体" w:cs="宋体" w:hint="eastAsia"/>
          <w:kern w:val="0"/>
          <w:szCs w:val="21"/>
        </w:rPr>
        <w:t>本基金为混合型基金中基金（FOF），投资于证券投资基金的比例不低于基金资产的80%，投资于股票、股票型证券投资基金、混合型证券投资基金、商品基金（含商品期货基金和黄金ETF）等品种的比例合计原则上不高于基金资产的30%，持有现金或到期日在一年以内的政府债券的投资比例合计不低于基金资产净值的5%，</w:t>
      </w:r>
      <w:r w:rsidRPr="00DA76B3">
        <w:rPr>
          <w:rFonts w:ascii="宋体" w:hAnsi="宋体" w:cs="宋体"/>
          <w:kern w:val="0"/>
          <w:szCs w:val="21"/>
        </w:rPr>
        <w:t>其中，</w:t>
      </w:r>
      <w:r w:rsidRPr="00DA76B3">
        <w:rPr>
          <w:rFonts w:ascii="宋体" w:hAnsi="宋体" w:cs="宋体" w:hint="eastAsia"/>
          <w:kern w:val="0"/>
          <w:szCs w:val="21"/>
        </w:rPr>
        <w:t>现金不包括结算备付金、存出保证金、应收申购款等。</w:t>
      </w:r>
    </w:p>
    <w:p w14:paraId="491BADBA" w14:textId="77777777" w:rsidR="00C96543" w:rsidRPr="00DA76B3" w:rsidRDefault="009B5B1C">
      <w:pPr>
        <w:spacing w:line="360" w:lineRule="auto"/>
        <w:ind w:firstLine="420"/>
        <w:rPr>
          <w:rFonts w:ascii="宋体" w:hAnsi="宋体"/>
          <w:szCs w:val="21"/>
        </w:rPr>
      </w:pPr>
      <w:r w:rsidRPr="00DA76B3">
        <w:rPr>
          <w:rFonts w:ascii="宋体" w:hAnsi="宋体" w:hint="eastAsia"/>
          <w:kern w:val="0"/>
          <w:szCs w:val="21"/>
        </w:rPr>
        <w:t>本基金在投资商品基金前与基金托管人确认系统开发完成后再进行投资。</w:t>
      </w:r>
      <w:r w:rsidRPr="00DA76B3">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45E4927C"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如法律法规或监管机构变更投资品种的投资比例限制，基金管理人在履行适当程序后，可以调整上述投资品种的投资比例。</w:t>
      </w:r>
    </w:p>
    <w:p w14:paraId="6CD477AF"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（2）根据法律法规的规定及《基金合同》的约定，本基金投资组合遵循以下投资限制：</w:t>
      </w:r>
    </w:p>
    <w:p w14:paraId="2E007035"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1）本基金投资于证券投资基金的比例不低于本基金资产的80%，投资于股票、股票型证券投资基金、混合型证券投资基金、商品基金（含商品期货基金和黄金ETF）等品种的比例合计原则上不高于基金资产的30%；</w:t>
      </w:r>
    </w:p>
    <w:p w14:paraId="61DD7000"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2）保持不低于基金资产净值5%的现金或者到期日在一年以内的政府债券，其中，现金不包括结算备付金、存出保证金和应收申购款等；</w:t>
      </w:r>
    </w:p>
    <w:p w14:paraId="071EAC89"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3）本基金持有其他单只证券投资基金的市值不超过本基金资产净值的20%，且不得投资于其他基金中基金；</w:t>
      </w:r>
    </w:p>
    <w:p w14:paraId="3ECDB2E6"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4）本基金管理人管理的全部基金中基金（ETF联接基金除外）持有单只证券投资基金不得超过被投资基金净资产的20%，被投资基金净资产规模以最近定期报告披露的规模为准；</w:t>
      </w:r>
    </w:p>
    <w:p w14:paraId="7455050E"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5）本基金投资的证券投资基金（指数基金、ETF 和商品基金等品种除外）运作期限应当不少于2 年，最近2年平均季末基金净资产应当不低于2亿元；本基金投资的证券投资基金为指数基金、ETF 和商品基金等品种的，运作期限应当不少于1 年，最近定期报告披露的季末基金净资产应当不低于1 亿元；</w:t>
      </w:r>
    </w:p>
    <w:p w14:paraId="7CAFF2AD"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6）本基金投资于封闭运作基金、定期开放基金等流通受限基金资产合计不得超过基金资产净值的10%；流通受限基金是指封闭运作基金、定期开放基金等由基金合同规定明确在一定期限锁定期内不可赎回的基金，但不包括ETF、LOF 等可上市交易的基金；</w:t>
      </w:r>
    </w:p>
    <w:p w14:paraId="04FDDC26"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7）本基金持有一家公司发行的证券，其市值不超过基金资产净值的10%；</w:t>
      </w:r>
    </w:p>
    <w:p w14:paraId="19F356AE"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8）本基金管理人管理的全部基金持有一家公司发行的证券，不超过该证券的10%，由完全按照有关指数的构成比例进行证券投资的基金的证券持仓不受此条款规定的比例限制；</w:t>
      </w:r>
    </w:p>
    <w:p w14:paraId="2750FF85"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9）本基金投资于同一原始权益人的各类资产支持证券的比例，不得超过基金资产净值的10％；</w:t>
      </w:r>
    </w:p>
    <w:p w14:paraId="69674E88"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10本基金持有的全部资产支持证券，其市值不得超过基金资产净值的20％；</w:t>
      </w:r>
    </w:p>
    <w:p w14:paraId="3B3CA09B"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11）本基金持有的同一(指同一信用级别)资产支持证券的比例，不得超过该资产支持证券规模的10％；</w:t>
      </w:r>
    </w:p>
    <w:p w14:paraId="1FEA350D"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12）本基金管理人管理的全部基金投资于同一原始权益人的各类资产支持证券，不得超过其各类资产支持证券合计规模的10％；</w:t>
      </w:r>
    </w:p>
    <w:p w14:paraId="7701E5EC"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13）本基金应投资于信用级别评级为BBB以上(含BBB)的资产支持证券。基金持有资产支持证券期间，如果其信用等级下降、不再符合投资标准，应在评级报告发布之日起3个月内予以全部卖出；</w:t>
      </w:r>
    </w:p>
    <w:p w14:paraId="1EDE8366"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14）基金财产参与股票发行申购，本基金所申报的金额不超过本基金的总资产，本基金所申报的股票数量不超过拟发行股票公司本次发行股票的总量；</w:t>
      </w:r>
    </w:p>
    <w:p w14:paraId="5963B2D9"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15）本基金进入全国银行间同业市场进行债券回购的资金余额不得超过基金资产净值的40%，进入全国银行间同业市场进行债券回购的最长期限为1年，债券回购到期后不得展期；</w:t>
      </w:r>
    </w:p>
    <w:p w14:paraId="60D12405"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16）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525FB0F4"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17）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3C145203"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18）本基金与私募类证券资管产品及中国证监会认定的其他主体为交易对手开展逆回购交易的，可接受质押品的资质要求应当与本基金合同约定的投资范围保持一致；</w:t>
      </w:r>
    </w:p>
    <w:p w14:paraId="729B20F7"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19）本基金资产总值不超过基金资产净值的140%；</w:t>
      </w:r>
    </w:p>
    <w:p w14:paraId="444CA8CE"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20）本基金投资于货币市场基金的比例不超过基金资产的15%；</w:t>
      </w:r>
    </w:p>
    <w:p w14:paraId="4BF4B117"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 xml:space="preserve">21）本基金投资于商品基金（含商品期货基金和黄金ETF）的比例不超过基金资产的10%； </w:t>
      </w:r>
    </w:p>
    <w:p w14:paraId="053A996C"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2</w:t>
      </w:r>
      <w:r w:rsidRPr="00DA76B3">
        <w:rPr>
          <w:rFonts w:ascii="宋体" w:hAnsi="宋体"/>
          <w:szCs w:val="21"/>
        </w:rPr>
        <w:t>2</w:t>
      </w:r>
      <w:r w:rsidRPr="00DA76B3">
        <w:rPr>
          <w:rFonts w:ascii="宋体" w:hAnsi="宋体" w:hint="eastAsia"/>
          <w:szCs w:val="21"/>
        </w:rPr>
        <w:t>）本基金投资存托凭证的比例限制依照境内上市交易的股票执行，与境内上市交易的股票合并计算，法律法规或监管机构另有规定从其规定；</w:t>
      </w:r>
    </w:p>
    <w:p w14:paraId="341C8473"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2</w:t>
      </w:r>
      <w:r w:rsidRPr="00DA76B3">
        <w:rPr>
          <w:rFonts w:ascii="宋体" w:hAnsi="宋体"/>
          <w:szCs w:val="21"/>
        </w:rPr>
        <w:t>3</w:t>
      </w:r>
      <w:r w:rsidRPr="00DA76B3">
        <w:rPr>
          <w:rFonts w:ascii="宋体" w:hAnsi="宋体" w:hint="eastAsia"/>
          <w:szCs w:val="21"/>
        </w:rPr>
        <w:t>）法律法规及中国证监会规定的和《基金合同》约定的其他投资限制。</w:t>
      </w:r>
    </w:p>
    <w:p w14:paraId="4511FCCE"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因证券市场波动、基金规模变动等基金管理人之外的因素致使基金投资比例不符合上述第3）、4）项规定投资比例的，基金管理人应当在20个交易日内进行调整，但中国证监会规定的特殊情形除外。</w:t>
      </w:r>
    </w:p>
    <w:p w14:paraId="5E1C3A2F"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除第2）、3）、4）、13）、17）、18）项外，因证券市场波动、上市公司合并、基金规模变动等基金管理人之外的因素致使基金投资比例不符合上述规定投资比例的，基金管理人应当在10个交易日内进行调整，但中国证监会规定的特殊情形除外。</w:t>
      </w:r>
    </w:p>
    <w:p w14:paraId="7BF1049F"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84B4903" w14:textId="77777777" w:rsidR="00C96543" w:rsidRPr="00DA76B3" w:rsidRDefault="009B5B1C">
      <w:pPr>
        <w:spacing w:line="324" w:lineRule="auto"/>
        <w:ind w:firstLine="480"/>
        <w:rPr>
          <w:rFonts w:ascii="宋体" w:hAnsi="宋体"/>
          <w:szCs w:val="21"/>
        </w:rPr>
      </w:pPr>
      <w:r w:rsidRPr="00DA76B3">
        <w:rPr>
          <w:rFonts w:ascii="宋体" w:hAnsi="宋体" w:hint="eastAsia"/>
          <w:szCs w:val="21"/>
        </w:rPr>
        <w:t>法律法规或监管部门取消或调整上述限制，如适用于本基金，基金管理人在履行适当程序后，则本基金投资不再受相关限制或按照调整后的规定执行。</w:t>
      </w:r>
    </w:p>
    <w:p w14:paraId="2B3CDEAB" w14:textId="77777777" w:rsidR="00C96543" w:rsidRPr="00DA76B3" w:rsidRDefault="009B5B1C">
      <w:pPr>
        <w:spacing w:line="360" w:lineRule="auto"/>
        <w:ind w:firstLineChars="200" w:firstLine="420"/>
        <w:rPr>
          <w:rFonts w:ascii="宋体" w:hAnsi="宋体" w:cs="宋体"/>
          <w:kern w:val="0"/>
          <w:szCs w:val="21"/>
        </w:rPr>
      </w:pPr>
      <w:r w:rsidRPr="00DA76B3">
        <w:rPr>
          <w:rFonts w:ascii="宋体" w:hAnsi="宋体" w:cs="宋体" w:hint="eastAsia"/>
          <w:kern w:val="0"/>
          <w:szCs w:val="21"/>
        </w:rPr>
        <w:t>基金托管人对上述指标的监督义务，仅限于监督由基金管理人管理且由托管人托管的全部公募基金是否符合上述比例限制。</w:t>
      </w:r>
    </w:p>
    <w:p w14:paraId="59371325" w14:textId="77777777" w:rsidR="00C96543" w:rsidRPr="00DA76B3" w:rsidRDefault="009B5B1C">
      <w:pPr>
        <w:spacing w:line="360" w:lineRule="auto"/>
        <w:ind w:firstLineChars="200" w:firstLine="420"/>
        <w:rPr>
          <w:rFonts w:ascii="宋体" w:hAnsi="宋体"/>
          <w:szCs w:val="21"/>
        </w:rPr>
      </w:pPr>
      <w:r w:rsidRPr="00DA76B3">
        <w:rPr>
          <w:rFonts w:ascii="宋体" w:hAnsi="宋体" w:cs="宋体" w:hint="eastAsia"/>
          <w:kern w:val="0"/>
          <w:szCs w:val="21"/>
        </w:rPr>
        <w:t>除投资资产配置外，基金托管人对基金投资的监督和检查自本托管协议生效之日起开始。</w:t>
      </w:r>
    </w:p>
    <w:p w14:paraId="30E66828"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（3）基金管理人应在出现可预见资产规模大幅变动的情况下，至少提前2个工作日正式向基金托管人发函说明基金可能的变动规模和公司应对措施，便于基金托管人实施交易监督。</w:t>
      </w:r>
    </w:p>
    <w:p w14:paraId="123687B9" w14:textId="77777777" w:rsidR="00C96543" w:rsidRPr="00DA76B3" w:rsidRDefault="009B5B1C">
      <w:pPr>
        <w:spacing w:line="440" w:lineRule="atLeast"/>
        <w:ind w:right="28" w:firstLineChars="200" w:firstLine="420"/>
        <w:rPr>
          <w:rFonts w:ascii="宋体" w:hAnsi="宋体"/>
          <w:szCs w:val="21"/>
        </w:rPr>
      </w:pPr>
      <w:r w:rsidRPr="00DA76B3">
        <w:rPr>
          <w:rFonts w:ascii="宋体" w:hAnsi="宋体" w:hint="eastAsia"/>
          <w:szCs w:val="21"/>
        </w:rPr>
        <w:t>（4）本基金可以按照国家的有关规定进行融资融券。</w:t>
      </w:r>
    </w:p>
    <w:p w14:paraId="510178BB" w14:textId="77777777" w:rsidR="00C96543" w:rsidRPr="00DA76B3" w:rsidRDefault="009B5B1C">
      <w:pPr>
        <w:widowControl/>
        <w:spacing w:line="440" w:lineRule="atLeast"/>
        <w:ind w:firstLineChars="200" w:firstLine="420"/>
        <w:jc w:val="left"/>
        <w:rPr>
          <w:rFonts w:ascii="宋体" w:hAnsi="宋体" w:cs="宋体"/>
          <w:kern w:val="0"/>
          <w:szCs w:val="21"/>
        </w:rPr>
      </w:pPr>
      <w:r w:rsidRPr="00DA76B3">
        <w:rPr>
          <w:rFonts w:ascii="宋体" w:hAnsi="宋体" w:cs="宋体" w:hint="eastAsia"/>
          <w:kern w:val="0"/>
          <w:szCs w:val="21"/>
        </w:rPr>
        <w:t>（5）相关法律、法规或部门规章规定的其他比例限制。</w:t>
      </w:r>
    </w:p>
    <w:p w14:paraId="40818470" w14:textId="77777777" w:rsidR="00C96543" w:rsidRPr="00DA76B3" w:rsidRDefault="009B5B1C">
      <w:pPr>
        <w:spacing w:after="120" w:line="440" w:lineRule="exact"/>
        <w:ind w:firstLineChars="200" w:firstLine="420"/>
        <w:rPr>
          <w:rFonts w:ascii="宋体" w:hAnsi="宋体"/>
          <w:szCs w:val="21"/>
        </w:rPr>
      </w:pPr>
      <w:r w:rsidRPr="00DA76B3">
        <w:rPr>
          <w:rFonts w:ascii="宋体" w:hAnsi="宋体" w:hint="eastAsia"/>
          <w:szCs w:val="21"/>
        </w:rPr>
        <w:t xml:space="preserve">3.基金托管人根据有关法律法规的规定及《基金合同》的约定对下述基金投资禁止行为进行监督： </w:t>
      </w:r>
    </w:p>
    <w:p w14:paraId="43C282BF"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根据法律法规的规定及《基金合同》的约定，本基金禁止从事下列行为：</w:t>
      </w:r>
    </w:p>
    <w:p w14:paraId="181EACDC"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（1）承销证券；</w:t>
      </w:r>
    </w:p>
    <w:p w14:paraId="6BDA34BC"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（2）违反规定向他人贷款或者提供担保；</w:t>
      </w:r>
    </w:p>
    <w:p w14:paraId="2D25EEB5"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（3）从事承担无限责任的投资；</w:t>
      </w:r>
    </w:p>
    <w:p w14:paraId="23436A80"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（4）向其基金管理人、基金托管人出资；</w:t>
      </w:r>
    </w:p>
    <w:p w14:paraId="6C5974AF"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（5）从事内幕交易、操纵证券交易价格及其他不正当的证券交易活动；</w:t>
      </w:r>
    </w:p>
    <w:p w14:paraId="3EDE42A7"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（6）本基金不得持有具有复杂、衍生品性质的基金份额，包括分级基金份额和中国证监会认定的其他基金份额；</w:t>
      </w:r>
    </w:p>
    <w:p w14:paraId="6FAFDBDA"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（7）法律、行政法规和中国证监会规定禁止的其他活动。</w:t>
      </w:r>
    </w:p>
    <w:p w14:paraId="48923C92" w14:textId="77777777" w:rsidR="00C96543" w:rsidRPr="00DA76B3" w:rsidRDefault="009B5B1C">
      <w:pPr>
        <w:spacing w:line="360" w:lineRule="auto"/>
        <w:ind w:left="1" w:firstLineChars="225" w:firstLine="473"/>
        <w:rPr>
          <w:rFonts w:ascii="宋体" w:hAnsi="宋体"/>
          <w:szCs w:val="21"/>
        </w:rPr>
      </w:pPr>
      <w:r w:rsidRPr="00DA76B3">
        <w:rPr>
          <w:rFonts w:ascii="宋体" w:hAnsi="宋体" w:hint="eastAsia"/>
          <w:szCs w:val="21"/>
        </w:rPr>
        <w:t>如法律、行政法规或监管部门取消或变更上述禁止性规定，如适用于本基金，基金管理人在履行适当程序后可不受上述规定的限制或以变更后的规定为准。</w:t>
      </w:r>
    </w:p>
    <w:p w14:paraId="2D2A88FA" w14:textId="77777777" w:rsidR="00C96543" w:rsidRPr="00DA76B3" w:rsidRDefault="009B5B1C">
      <w:pPr>
        <w:spacing w:line="440" w:lineRule="exact"/>
        <w:ind w:firstLine="397"/>
        <w:rPr>
          <w:rFonts w:ascii="宋体" w:hAnsi="宋体"/>
          <w:szCs w:val="21"/>
        </w:rPr>
      </w:pPr>
      <w:r w:rsidRPr="00DA76B3">
        <w:rPr>
          <w:rFonts w:ascii="宋体" w:hAnsi="宋体" w:cs="宋体" w:hint="eastAsia"/>
          <w:kern w:val="0"/>
          <w:szCs w:val="21"/>
        </w:rPr>
        <w:t>4.基金托管人依据有关法律法规的规定和《基金合同》的约定对于基金关联投资限制进行监督。</w:t>
      </w:r>
    </w:p>
    <w:p w14:paraId="53D5B3CA" w14:textId="77777777" w:rsidR="00C96543" w:rsidRPr="00DA76B3" w:rsidRDefault="009B5B1C">
      <w:pPr>
        <w:spacing w:after="120" w:line="440" w:lineRule="exact"/>
        <w:ind w:firstLineChars="200" w:firstLine="420"/>
        <w:rPr>
          <w:rFonts w:ascii="宋体" w:hAnsi="宋体"/>
          <w:szCs w:val="21"/>
        </w:rPr>
      </w:pPr>
      <w:r w:rsidRPr="00DA76B3">
        <w:rPr>
          <w:rFonts w:ascii="宋体" w:hAnsi="宋体"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485F2579" w14:textId="77777777" w:rsidR="00C96543" w:rsidRPr="00DA76B3" w:rsidRDefault="009B5B1C">
      <w:pPr>
        <w:spacing w:after="120" w:line="440" w:lineRule="exact"/>
        <w:ind w:firstLineChars="200" w:firstLine="420"/>
        <w:rPr>
          <w:rFonts w:ascii="宋体" w:hAnsi="宋体"/>
          <w:szCs w:val="21"/>
        </w:rPr>
      </w:pPr>
      <w:r w:rsidRPr="00DA76B3">
        <w:rPr>
          <w:rFonts w:ascii="宋体" w:hAnsi="宋体" w:hint="eastAsia"/>
          <w:szCs w:val="21"/>
        </w:rPr>
        <w:t>本基金投资基金管理人或基金管理人关联方管理基金的情况，不属于前述重大关联交易，但是应当按照法律法规或监管规定的要求履行信息披露义务。</w:t>
      </w:r>
    </w:p>
    <w:p w14:paraId="052D6BAD" w14:textId="77777777" w:rsidR="00C96543" w:rsidRPr="00DA76B3" w:rsidRDefault="009B5B1C">
      <w:pPr>
        <w:spacing w:after="120" w:line="440" w:lineRule="exact"/>
        <w:ind w:firstLineChars="200" w:firstLine="420"/>
        <w:rPr>
          <w:rFonts w:ascii="宋体" w:hAnsi="宋体"/>
          <w:szCs w:val="21"/>
        </w:rPr>
      </w:pPr>
      <w:r w:rsidRPr="00DA76B3">
        <w:rPr>
          <w:rFonts w:ascii="宋体" w:hAnsi="宋体" w:hint="eastAsia"/>
          <w:szCs w:val="21"/>
        </w:rPr>
        <w:t>法律、行政法规或监管部门取消或变更上述禁止或限制性规定，如适用于本基金，基金管理人在履行适当程序后，则本基金投资不再受相关限制或以变更后的规定为准。</w:t>
      </w:r>
    </w:p>
    <w:p w14:paraId="3A8881B9" w14:textId="77777777" w:rsidR="00C96543" w:rsidRPr="00DA76B3" w:rsidRDefault="009B5B1C">
      <w:pPr>
        <w:spacing w:after="120" w:line="440" w:lineRule="exact"/>
        <w:ind w:firstLineChars="200" w:firstLine="420"/>
        <w:rPr>
          <w:rFonts w:ascii="宋体" w:hAnsi="宋体"/>
          <w:szCs w:val="21"/>
        </w:rPr>
      </w:pPr>
      <w:r w:rsidRPr="00DA76B3">
        <w:rPr>
          <w:rFonts w:ascii="宋体" w:hAnsi="宋体" w:hint="eastAsia"/>
          <w:szCs w:val="21"/>
        </w:rPr>
        <w:t>基金管理人和基金托管人事先相互提供与本机构有控股关系的股东、与本机构有其他重大利害关系的公司名单及有关关联方发行的证券清单，加盖公章并书面提交。基金管理人有责任确保关联交易名单的真实性、准确性、完整性，并负责及时将更新后的名单发送给基金托管人。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21E560B0" w14:textId="77777777" w:rsidR="00C96543" w:rsidRPr="00DA76B3" w:rsidRDefault="009B5B1C">
      <w:pPr>
        <w:spacing w:line="440" w:lineRule="exact"/>
        <w:ind w:firstLineChars="200" w:firstLine="420"/>
        <w:rPr>
          <w:rFonts w:ascii="宋体" w:hAnsi="宋体"/>
          <w:szCs w:val="21"/>
        </w:rPr>
      </w:pPr>
      <w:r w:rsidRPr="00DA76B3">
        <w:rPr>
          <w:rFonts w:ascii="宋体" w:hAnsi="宋体" w:hint="eastAsia"/>
          <w:szCs w:val="21"/>
        </w:rPr>
        <w:t>5.基金托管人</w:t>
      </w:r>
      <w:r w:rsidRPr="00DA76B3">
        <w:rPr>
          <w:rFonts w:ascii="宋体" w:hAnsi="宋体" w:cs="宋体" w:hint="eastAsia"/>
          <w:kern w:val="0"/>
          <w:szCs w:val="21"/>
        </w:rPr>
        <w:t>依据有关法律法规的规定和《基金合同》的约定</w:t>
      </w:r>
      <w:r w:rsidRPr="00DA76B3">
        <w:rPr>
          <w:rFonts w:ascii="宋体" w:hAnsi="宋体" w:hint="eastAsia"/>
          <w:szCs w:val="21"/>
        </w:rPr>
        <w:t>对基金管理人参与银行间债券市场进行监督。</w:t>
      </w:r>
    </w:p>
    <w:p w14:paraId="77BB088A" w14:textId="77777777" w:rsidR="00C96543" w:rsidRPr="00DA76B3" w:rsidRDefault="009B5B1C">
      <w:pPr>
        <w:spacing w:line="440" w:lineRule="exact"/>
        <w:ind w:firstLineChars="200" w:firstLine="420"/>
        <w:rPr>
          <w:rFonts w:ascii="宋体" w:hAnsi="宋体"/>
          <w:szCs w:val="21"/>
        </w:rPr>
      </w:pPr>
      <w:r w:rsidRPr="00DA76B3">
        <w:rPr>
          <w:rFonts w:ascii="宋体" w:hAnsi="宋体" w:hint="eastAsia"/>
          <w:szCs w:val="21"/>
        </w:rPr>
        <w:t>基金托管人根据基金管理人提供的银行间债券市场交易对手名单进行监督。基金管理人有责任控制交易对手的资信风险，由于交易对手的资信风险引起的损失，基金管理人应当负责向相关责任人追偿。</w:t>
      </w:r>
    </w:p>
    <w:p w14:paraId="5D4396B5" w14:textId="77777777" w:rsidR="00C96543" w:rsidRPr="00DA76B3" w:rsidRDefault="009B5B1C">
      <w:pPr>
        <w:spacing w:line="440" w:lineRule="exact"/>
        <w:ind w:firstLineChars="200" w:firstLine="420"/>
        <w:rPr>
          <w:rFonts w:ascii="宋体" w:hAnsi="宋体"/>
          <w:szCs w:val="21"/>
        </w:rPr>
      </w:pPr>
      <w:r w:rsidRPr="00DA76B3">
        <w:rPr>
          <w:rFonts w:ascii="宋体" w:hAnsi="宋体" w:hint="eastAsia"/>
          <w:szCs w:val="21"/>
        </w:rPr>
        <w:t>6. 基金托管人依据有关法律法规的规定和《基金合同》的约定，对基金银行存款业务进行监督。</w:t>
      </w:r>
    </w:p>
    <w:p w14:paraId="04F99245" w14:textId="77777777" w:rsidR="00C96543" w:rsidRPr="00DA76B3" w:rsidRDefault="009B5B1C">
      <w:pPr>
        <w:spacing w:line="440" w:lineRule="exact"/>
        <w:ind w:firstLineChars="215" w:firstLine="451"/>
        <w:rPr>
          <w:rFonts w:ascii="宋体" w:hAnsi="宋体"/>
          <w:kern w:val="0"/>
          <w:szCs w:val="21"/>
        </w:rPr>
      </w:pPr>
      <w:r w:rsidRPr="00DA76B3">
        <w:rPr>
          <w:rFonts w:ascii="宋体" w:hAnsi="宋体" w:hint="eastAsia"/>
          <w:szCs w:val="21"/>
        </w:rPr>
        <w:t>基金管理人应当加强对基金投资银行存款风险的评估与研究，严格测算与控制投资银行存款的风险敞口，针对不同类型存款银行建立相关投资限制制度。</w:t>
      </w:r>
    </w:p>
    <w:p w14:paraId="756D25D9" w14:textId="77777777" w:rsidR="00C96543" w:rsidRPr="00DA76B3" w:rsidRDefault="009B5B1C">
      <w:pPr>
        <w:spacing w:line="440" w:lineRule="exact"/>
        <w:ind w:firstLineChars="215" w:firstLine="451"/>
        <w:rPr>
          <w:rFonts w:ascii="宋体" w:hAnsi="宋体"/>
          <w:szCs w:val="21"/>
        </w:rPr>
      </w:pPr>
      <w:r w:rsidRPr="00DA76B3">
        <w:rPr>
          <w:rFonts w:ascii="宋体" w:hAnsi="宋体" w:hint="eastAsia"/>
          <w:szCs w:val="21"/>
        </w:rPr>
        <w:t>7.基金托管人对基金投资流通受限证券的监督</w:t>
      </w:r>
    </w:p>
    <w:p w14:paraId="7751EC4A" w14:textId="77777777" w:rsidR="00C96543" w:rsidRPr="00DA76B3" w:rsidRDefault="009B5B1C">
      <w:pPr>
        <w:widowControl/>
        <w:spacing w:line="360" w:lineRule="auto"/>
        <w:ind w:firstLineChars="200" w:firstLine="420"/>
        <w:jc w:val="left"/>
        <w:rPr>
          <w:rFonts w:ascii="宋体" w:hAnsi="宋体"/>
          <w:szCs w:val="21"/>
        </w:rPr>
      </w:pPr>
      <w:r w:rsidRPr="00DA76B3">
        <w:rPr>
          <w:rFonts w:ascii="宋体" w:hAnsi="宋体" w:hint="eastAsia"/>
          <w:szCs w:val="21"/>
        </w:rPr>
        <w:t>如下所指“流通受限证券”与本协议以及基金合同所指“流动性受限资产”定义存在不同。就流动性受限资产定义，请参照基金合同的“第二部分: 释义”部分。</w:t>
      </w:r>
    </w:p>
    <w:p w14:paraId="1CE2D9D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5CB791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9F1A12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35C1272C"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出现困难时，基金管理人应保证提供足额现金确保基金的支付结算，并承担所有损失。对本基金因投资流通受限证券导致的流动性风险，基金托管人不承担任何责任。如因基金管理人原因导致本基金出现损失的，基金托管人不承担任何责任。</w:t>
      </w:r>
    </w:p>
    <w:p w14:paraId="4E08851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基金管理人应在基金投资非公开发行股票后两个交易日内，在中国证监会指定媒体披露所投资非公开发行股票的名称、数量、总成本、账面价值，以及总成本和账面价值占基金资产净值的比例、锁定期等信息。</w:t>
      </w:r>
    </w:p>
    <w:p w14:paraId="37E5E55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099B563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如基金管理人未遵守相关制度、流动性风险处置方案以及投资额度和比例限制要求，导致基金出现风险使乙方承担连带赔偿责任的，若基金托管人此前已切实履行监督职责的，基金管理人应赔偿基金托管人由此遭受的损失。</w:t>
      </w:r>
    </w:p>
    <w:p w14:paraId="2746D37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有关资料如有调整，基金管理人应及时提供调整后的资料。上述书面资料包括但不限于：</w:t>
      </w:r>
    </w:p>
    <w:p w14:paraId="632A8BFC"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1）中国证监会批准发行非公开发行股票的批准文件。</w:t>
      </w:r>
    </w:p>
    <w:p w14:paraId="72493F0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2）有关非公开发行股票的发行数量、发行价格、锁定期等发行资料。</w:t>
      </w:r>
    </w:p>
    <w:p w14:paraId="7F02D7E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3）基金拟认购的数量、价格、总成本、账面价值。</w:t>
      </w:r>
    </w:p>
    <w:p w14:paraId="2B210718"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4）该基金投资流通受限证券的投资额度和投资比例控制</w:t>
      </w:r>
    </w:p>
    <w:p w14:paraId="2D19DF4A"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5）</w:t>
      </w:r>
      <w:r w:rsidRPr="00DA76B3">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sidRPr="00DA76B3">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任何责任，并有权报告中国证监会。</w:t>
      </w:r>
    </w:p>
    <w:p w14:paraId="5497DCDE"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如基金管理人和基金托管人无法就上述问题达成一致，应及时上报中国证监会请求解决。基金托管人履行了本协议规定的监督职责后，不承担任何责任。</w:t>
      </w:r>
    </w:p>
    <w:p w14:paraId="61011952" w14:textId="77777777" w:rsidR="00C96543" w:rsidRPr="00DA76B3" w:rsidRDefault="009B5B1C">
      <w:pPr>
        <w:widowControl/>
        <w:spacing w:line="360" w:lineRule="auto"/>
        <w:ind w:firstLineChars="200" w:firstLine="420"/>
        <w:jc w:val="left"/>
        <w:rPr>
          <w:rFonts w:ascii="宋体" w:hAnsi="宋体"/>
          <w:szCs w:val="21"/>
        </w:rPr>
      </w:pPr>
      <w:r w:rsidRPr="00DA76B3">
        <w:rPr>
          <w:rFonts w:ascii="宋体" w:hAnsi="宋体" w:hint="eastAsia"/>
          <w:szCs w:val="21"/>
        </w:rPr>
        <w:t>(5)相关法律法规对基金投资流通受限证券有新规定的，从其规定。</w:t>
      </w:r>
    </w:p>
    <w:p w14:paraId="0235557B"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任何责任。如因基金管理人原因导致基金出现损失的，基金托管人不承担任何责任。</w:t>
      </w:r>
    </w:p>
    <w:p w14:paraId="531CF85E"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基金管理人管理的基金在投资中期票据前，基金管理人须根据法律、法规、监管部门的规定，制定严格的关于投资中期票据的风险控制制度和流动性风险处置预案，基金管理人在此承诺将严格执行该风险控制制度和流动性风险处置预案。</w:t>
      </w:r>
    </w:p>
    <w:p w14:paraId="19712032" w14:textId="32ADF180" w:rsidR="00C96543" w:rsidRPr="00DA76B3" w:rsidRDefault="009B5B1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4"/>
      <w:r w:rsidRPr="00DA76B3">
        <w:rPr>
          <w:rFonts w:ascii="宋体" w:eastAsia="宋体" w:hAnsi="宋体" w:hint="eastAsia"/>
          <w:b w:val="0"/>
          <w:sz w:val="21"/>
          <w:szCs w:val="21"/>
        </w:rPr>
        <w:t>（二）基金托管人应根据有关法律法规的规定及《基金合同》的约定，对基金资产净值计算、</w:t>
      </w:r>
      <w:r w:rsidR="00552030" w:rsidRPr="00DA76B3">
        <w:rPr>
          <w:rFonts w:ascii="宋体" w:eastAsia="宋体" w:hAnsi="宋体" w:hint="eastAsia"/>
          <w:b w:val="0"/>
          <w:sz w:val="21"/>
          <w:szCs w:val="21"/>
        </w:rPr>
        <w:t>各类</w:t>
      </w:r>
      <w:r w:rsidRPr="00DA76B3">
        <w:rPr>
          <w:rFonts w:ascii="宋体" w:eastAsia="宋体" w:hAnsi="宋体" w:hint="eastAsia"/>
          <w:b w:val="0"/>
          <w:sz w:val="21"/>
          <w:szCs w:val="21"/>
        </w:rPr>
        <w:t>基金份额净值计算、应收资金到账、基金费用开支及收入确定、基金收益分配、相关信息披露、基金宣传推介材料中登载基金业绩表现数据等进行监督和核查。</w:t>
      </w:r>
      <w:bookmarkEnd w:id="14"/>
    </w:p>
    <w:p w14:paraId="23ECD3D1" w14:textId="77777777" w:rsidR="00C96543" w:rsidRPr="00DA76B3" w:rsidRDefault="009B5B1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5" w:name="_Toc382819075"/>
      <w:r w:rsidRPr="00DA76B3">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5"/>
    </w:p>
    <w:p w14:paraId="4F86AE8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7CE13977" w14:textId="77777777" w:rsidR="00C96543" w:rsidRPr="00DA76B3" w:rsidRDefault="009B5B1C">
      <w:pPr>
        <w:spacing w:line="440" w:lineRule="exact"/>
        <w:ind w:firstLineChars="200" w:firstLine="420"/>
        <w:rPr>
          <w:rFonts w:ascii="宋体" w:hAnsi="宋体"/>
          <w:szCs w:val="21"/>
        </w:rPr>
      </w:pPr>
      <w:r w:rsidRPr="00DA76B3">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676689AE" w14:textId="77777777" w:rsidR="00C96543" w:rsidRPr="00DA76B3" w:rsidRDefault="009B5B1C">
      <w:pPr>
        <w:spacing w:line="440" w:lineRule="exact"/>
        <w:ind w:firstLineChars="200" w:firstLine="420"/>
        <w:rPr>
          <w:rFonts w:ascii="宋体" w:hAnsi="宋体"/>
          <w:szCs w:val="21"/>
        </w:rPr>
      </w:pPr>
      <w:r w:rsidRPr="00DA76B3">
        <w:rPr>
          <w:rFonts w:ascii="宋体" w:hAnsi="宋体" w:hint="eastAsia"/>
          <w:szCs w:val="21"/>
        </w:rPr>
        <w:t>若基金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63BCD75D" w14:textId="77777777" w:rsidR="00C96543" w:rsidRPr="00DA76B3" w:rsidRDefault="009B5B1C">
      <w:pPr>
        <w:spacing w:line="440" w:lineRule="exact"/>
        <w:ind w:firstLineChars="200" w:firstLine="420"/>
        <w:rPr>
          <w:rFonts w:ascii="宋体" w:hAnsi="宋体"/>
          <w:szCs w:val="21"/>
        </w:rPr>
      </w:pPr>
      <w:r w:rsidRPr="00DA76B3">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5E9EEDFD" w14:textId="77777777" w:rsidR="00C96543" w:rsidRPr="00DA76B3" w:rsidRDefault="009B5B1C">
      <w:pPr>
        <w:spacing w:line="440" w:lineRule="exact"/>
        <w:ind w:firstLineChars="200" w:firstLine="420"/>
        <w:rPr>
          <w:rFonts w:ascii="宋体" w:hAnsi="宋体"/>
          <w:szCs w:val="21"/>
        </w:rPr>
      </w:pPr>
      <w:r w:rsidRPr="00DA76B3">
        <w:rPr>
          <w:rFonts w:ascii="宋体" w:hAnsi="宋体" w:hint="eastAsia"/>
          <w:szCs w:val="21"/>
        </w:rPr>
        <w:t>基金托管人发现基金管理人有重大违规行为，应立即报告中国证监会，同时通知基金管理人限期纠正。</w:t>
      </w:r>
    </w:p>
    <w:p w14:paraId="121CEFA2" w14:textId="77777777" w:rsidR="00C96543" w:rsidRPr="00DA76B3" w:rsidRDefault="009B5B1C">
      <w:pPr>
        <w:spacing w:line="440" w:lineRule="exact"/>
        <w:ind w:firstLineChars="200" w:firstLine="420"/>
        <w:rPr>
          <w:rFonts w:ascii="宋体" w:hAnsi="宋体"/>
          <w:szCs w:val="21"/>
        </w:rPr>
      </w:pPr>
      <w:r w:rsidRPr="00DA76B3">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7B21E2D4"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16" w:name="_Toc382819076"/>
      <w:r w:rsidRPr="00DA76B3">
        <w:rPr>
          <w:rFonts w:ascii="宋体" w:eastAsia="宋体" w:hAnsi="宋体" w:cs="Arial" w:hint="eastAsia"/>
          <w:sz w:val="28"/>
          <w:szCs w:val="28"/>
        </w:rPr>
        <w:t>基金管理人对基金托管人的业务核查</w:t>
      </w:r>
      <w:bookmarkEnd w:id="16"/>
    </w:p>
    <w:p w14:paraId="5E07DC12" w14:textId="73E0DFED"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对基金托管人履行托管职责情况进行核查，核查事项包括但不限于基金托管人是否安全保管基金财产、是否分别开设基金财产的资金账户和证券账户及投资所需其他账户、是否复核基金管理人计算的基金资产净值和</w:t>
      </w:r>
      <w:r w:rsidR="00552030" w:rsidRPr="00DA76B3">
        <w:rPr>
          <w:rFonts w:ascii="宋体" w:hAnsi="宋体" w:hint="eastAsia"/>
          <w:szCs w:val="21"/>
        </w:rPr>
        <w:t>各类</w:t>
      </w:r>
      <w:r w:rsidRPr="00DA76B3">
        <w:rPr>
          <w:rFonts w:ascii="宋体" w:hAnsi="宋体" w:hint="eastAsia"/>
          <w:szCs w:val="21"/>
        </w:rPr>
        <w:t>基金份额净值、是否根据基金管理人指令办理清算交收、进行相关信息披露和监督基金投资运作等行为。</w:t>
      </w:r>
    </w:p>
    <w:p w14:paraId="6E927E8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050CA84F"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基金托管人应积极配合基金管理人的核查行为，包括但不限于：提交相关资料以供基金管理人核查托管财产的完整性和真实性，在规定时间内答复基金管理人并改正。</w:t>
      </w:r>
    </w:p>
    <w:p w14:paraId="51A19911" w14:textId="77777777" w:rsidR="00C96543" w:rsidRPr="00DA76B3" w:rsidRDefault="009B5B1C">
      <w:pPr>
        <w:pStyle w:val="20"/>
        <w:rPr>
          <w:rFonts w:ascii="宋体" w:eastAsia="宋体" w:hAnsi="宋体"/>
          <w:sz w:val="21"/>
          <w:szCs w:val="21"/>
        </w:rPr>
      </w:pPr>
      <w:bookmarkStart w:id="17" w:name="_Toc382818598"/>
      <w:bookmarkStart w:id="18" w:name="_Toc382819077"/>
      <w:r w:rsidRPr="00DA76B3">
        <w:rPr>
          <w:rFonts w:ascii="宋体" w:eastAsia="宋体" w:hAnsi="宋体" w:hint="eastAsia"/>
          <w:sz w:val="21"/>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7"/>
      <w:bookmarkEnd w:id="18"/>
    </w:p>
    <w:p w14:paraId="3F7A0E1F"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19" w:name="_Toc382819078"/>
      <w:r w:rsidRPr="00DA76B3">
        <w:rPr>
          <w:rFonts w:ascii="宋体" w:eastAsia="宋体" w:hAnsi="宋体" w:cs="Arial" w:hint="eastAsia"/>
          <w:sz w:val="28"/>
          <w:szCs w:val="28"/>
        </w:rPr>
        <w:t>基金财产保管</w:t>
      </w:r>
      <w:bookmarkEnd w:id="19"/>
    </w:p>
    <w:p w14:paraId="487C9926" w14:textId="77777777" w:rsidR="00C96543" w:rsidRPr="00DA76B3" w:rsidRDefault="009B5B1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20" w:name="_Toc382819079"/>
      <w:r w:rsidRPr="00DA76B3">
        <w:rPr>
          <w:rFonts w:ascii="宋体" w:eastAsia="宋体" w:hAnsi="宋体" w:hint="eastAsia"/>
          <w:b w:val="0"/>
          <w:bCs w:val="0"/>
          <w:sz w:val="21"/>
          <w:szCs w:val="21"/>
        </w:rPr>
        <w:t>（一）基金财产保管的原则</w:t>
      </w:r>
      <w:bookmarkEnd w:id="20"/>
    </w:p>
    <w:p w14:paraId="6F0C112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1.基金财产应独立于基金管理人、基金托管人的固有财产。</w:t>
      </w:r>
    </w:p>
    <w:p w14:paraId="3CFA266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基金托管人应按本协议规定安全保管托管财产。未经基金管理人的指令，不得自行运用、处分、分配基金的任何财产（基金托管人主动扣收的汇划费除外）。基金托管人不对处于自身实际控制之外的账户及财产承担责任。</w:t>
      </w:r>
    </w:p>
    <w:p w14:paraId="639F602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3.基金托管人按照规定为托管的基金财产开设资金账户和证券账户及投资所需其他账户。</w:t>
      </w:r>
    </w:p>
    <w:p w14:paraId="7437CCB8"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1BB59CEA"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21519068"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0"/>
      <w:r w:rsidRPr="00DA76B3">
        <w:rPr>
          <w:rFonts w:ascii="宋体" w:eastAsia="宋体" w:hAnsi="宋体" w:hint="eastAsia"/>
          <w:b w:val="0"/>
          <w:bCs w:val="0"/>
          <w:sz w:val="21"/>
          <w:szCs w:val="21"/>
        </w:rPr>
        <w:t>（二）募集资金的验证</w:t>
      </w:r>
      <w:bookmarkEnd w:id="21"/>
    </w:p>
    <w:p w14:paraId="511D9FA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募集期内销售机构按销售与服务代理协议的约定，将认购资金划入基金管理人在具有托管资格的商业银行开设的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章方为有效。验资完成，基金管理人应将募集的属于本基金财产的全部资金划入基金托管人为基金开立的资产托管专户中，并确保划入的资金与验资金额相一致。基金托管人收到有效认购资金当日以书面形式确认资金到账情况，并及时将资金到账凭证传真给基金管理人，双方进行账务处理。</w:t>
      </w:r>
    </w:p>
    <w:p w14:paraId="78819FA7" w14:textId="77777777" w:rsidR="00C96543" w:rsidRPr="00DA76B3" w:rsidRDefault="009B5B1C">
      <w:pPr>
        <w:spacing w:line="360" w:lineRule="auto"/>
        <w:ind w:firstLineChars="200" w:firstLine="420"/>
        <w:rPr>
          <w:rFonts w:ascii="宋体" w:hAnsi="宋体" w:cs="Arial"/>
          <w:szCs w:val="21"/>
        </w:rPr>
      </w:pPr>
      <w:r w:rsidRPr="00DA76B3">
        <w:rPr>
          <w:rFonts w:ascii="宋体" w:hAnsi="宋体" w:cs="Arial" w:hint="eastAsia"/>
          <w:szCs w:val="21"/>
        </w:rPr>
        <w:t>若基金募集期限届满，未能达到《基金合同》备案的条件，由基金管理人按规定办理退款事宜。</w:t>
      </w:r>
    </w:p>
    <w:p w14:paraId="1FD6C467"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1"/>
      <w:r w:rsidRPr="00DA76B3">
        <w:rPr>
          <w:rFonts w:ascii="宋体" w:eastAsia="宋体" w:hAnsi="宋体" w:hint="eastAsia"/>
          <w:b w:val="0"/>
          <w:bCs w:val="0"/>
          <w:sz w:val="21"/>
          <w:szCs w:val="21"/>
        </w:rPr>
        <w:t>（三）基金资产托管专户的开立和管理</w:t>
      </w:r>
      <w:bookmarkEnd w:id="22"/>
    </w:p>
    <w:p w14:paraId="0D396B47"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托管人以基金的名义在其营业机构开设资产托管专户，并根据基金管理人合法合规的有效指令办理资金收付。基金管理人应根据法律法规及托管行的相关要求，提供开户所需的资料并提供其他必要协助。本基金的资产托管专户的预留印鉴的印章由基金托管人刻制、保管和使用。</w:t>
      </w:r>
    </w:p>
    <w:p w14:paraId="6ED53DAF"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05AC59F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40030D4D"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2"/>
      <w:r w:rsidRPr="00DA76B3">
        <w:rPr>
          <w:rFonts w:ascii="宋体" w:eastAsia="宋体" w:hAnsi="宋体" w:hint="eastAsia"/>
          <w:b w:val="0"/>
          <w:bCs w:val="0"/>
          <w:sz w:val="21"/>
          <w:szCs w:val="21"/>
        </w:rPr>
        <w:t>（四）基金证券账户与证券交易资金账户的开设和管理</w:t>
      </w:r>
      <w:bookmarkEnd w:id="23"/>
    </w:p>
    <w:p w14:paraId="502216E4"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基金托管人以基金托管人和本基金联名的方式在中国证券登记结算有限公司上海分公司/深圳分公司开立专门的证券账户。</w:t>
      </w:r>
    </w:p>
    <w:p w14:paraId="46D51373"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77580ED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证券账户的开立和原始开户材料的保管由基金托管人负责，账户资产的管理和运用由基金管理人负责。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083D8BA6"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4" w:name="_Toc382819083"/>
      <w:r w:rsidRPr="00DA76B3">
        <w:rPr>
          <w:rFonts w:ascii="宋体" w:eastAsia="宋体" w:hAnsi="宋体" w:hint="eastAsia"/>
          <w:b w:val="0"/>
          <w:bCs w:val="0"/>
          <w:sz w:val="21"/>
          <w:szCs w:val="21"/>
        </w:rPr>
        <w:t>（五）银行间市场债券托管和资金结算专户的开立和管理及市场准入备案</w:t>
      </w:r>
      <w:bookmarkEnd w:id="24"/>
    </w:p>
    <w:p w14:paraId="3C230E6F" w14:textId="77777777" w:rsidR="00C96543" w:rsidRPr="00DA76B3" w:rsidRDefault="009B5B1C">
      <w:pPr>
        <w:spacing w:line="360" w:lineRule="auto"/>
        <w:ind w:firstLineChars="200" w:firstLine="420"/>
        <w:rPr>
          <w:rFonts w:ascii="宋体" w:hAnsi="宋体"/>
          <w:szCs w:val="21"/>
        </w:rPr>
      </w:pPr>
      <w:bookmarkStart w:id="25" w:name="_Toc382819084"/>
      <w:r w:rsidRPr="00DA76B3">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5"/>
    </w:p>
    <w:p w14:paraId="27ED9BD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（六）其他账户的开设和管理</w:t>
      </w:r>
    </w:p>
    <w:p w14:paraId="617FF63F"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0516ADC0"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2、法律、法规等有关规定对相关账户的开立和管理另有规定的，从其规定办理。</w:t>
      </w:r>
    </w:p>
    <w:p w14:paraId="52145094"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6" w:name="_Toc382819085"/>
      <w:r w:rsidRPr="00DA76B3">
        <w:rPr>
          <w:rFonts w:ascii="宋体" w:eastAsia="宋体" w:hAnsi="宋体" w:hint="eastAsia"/>
          <w:b w:val="0"/>
          <w:bCs w:val="0"/>
          <w:sz w:val="21"/>
          <w:szCs w:val="21"/>
        </w:rPr>
        <w:t>（七）基金投资银行存款账户的开立和管理</w:t>
      </w:r>
      <w:bookmarkEnd w:id="26"/>
    </w:p>
    <w:p w14:paraId="70640F96"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基金投资银行定期存款，基金管理人与基金托管人应比照相关规定，就本基金投资银行存款业务签订书面协议。</w:t>
      </w:r>
    </w:p>
    <w:p w14:paraId="49B6D4D1"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基金投资银行定期存款应由基金管理人与存款银行总行或其授权分行签订总体合作协议，并将资金存放于存款银行总行或其授权分行指定的分支机构。</w:t>
      </w:r>
    </w:p>
    <w:p w14:paraId="060F425A"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存款账户必须以基金名义开立，账户名称为基金名称，存款账户开户文件上加盖预留印鉴及基金管理人公章。</w:t>
      </w:r>
    </w:p>
    <w:p w14:paraId="127123CE"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本基金投资银行存款时，基金管理人应当与存款银行签订具体存款协议，明确存款的类型、期限、利率、金额、账号、对账方式、支取方式、账户管理等细则。</w:t>
      </w:r>
    </w:p>
    <w:p w14:paraId="197756A7"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为防范特殊情况下的流动性风险，定期存款协议中应当约定提前支取条款。</w:t>
      </w:r>
    </w:p>
    <w:p w14:paraId="1243FCB8"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6"/>
      <w:r w:rsidRPr="00DA76B3">
        <w:rPr>
          <w:rFonts w:ascii="宋体" w:eastAsia="宋体" w:hAnsi="宋体" w:hint="eastAsia"/>
          <w:b w:val="0"/>
          <w:bCs w:val="0"/>
          <w:sz w:val="21"/>
          <w:szCs w:val="21"/>
        </w:rPr>
        <w:t>基金所投资定期存款存续期间，基金管理人、基金托管人应当与存款银行建立定期对账机制，确保基金银行存款业务账目及核对的真实、准确。</w:t>
      </w:r>
      <w:bookmarkEnd w:id="27"/>
    </w:p>
    <w:p w14:paraId="5542CD39"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8" w:name="_Toc382819087"/>
      <w:r w:rsidRPr="00DA76B3">
        <w:rPr>
          <w:rFonts w:ascii="宋体" w:eastAsia="宋体" w:hAnsi="宋体" w:hint="eastAsia"/>
          <w:b w:val="0"/>
          <w:bCs w:val="0"/>
          <w:sz w:val="21"/>
          <w:szCs w:val="21"/>
        </w:rPr>
        <w:t>（八）基金财产投资的有关实物证券、银行定期存款存单等有价凭证的保管</w:t>
      </w:r>
      <w:bookmarkEnd w:id="28"/>
    </w:p>
    <w:p w14:paraId="7EC7EE4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570C18B1"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sidRPr="00DA76B3">
        <w:rPr>
          <w:rFonts w:ascii="宋体" w:eastAsia="宋体" w:hAnsi="宋体" w:hint="eastAsia"/>
          <w:b w:val="0"/>
          <w:bCs w:val="0"/>
          <w:sz w:val="21"/>
          <w:szCs w:val="21"/>
        </w:rPr>
        <w:t>（九）与基金财产有关的重大合同的保管</w:t>
      </w:r>
    </w:p>
    <w:p w14:paraId="061C197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F0AAC6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5785872C"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29" w:name="_Toc382819088"/>
      <w:r w:rsidRPr="00DA76B3">
        <w:rPr>
          <w:rFonts w:ascii="宋体" w:eastAsia="宋体" w:hAnsi="宋体" w:cs="Arial" w:hint="eastAsia"/>
          <w:sz w:val="28"/>
          <w:szCs w:val="28"/>
        </w:rPr>
        <w:t>指令的发送、确认和执行</w:t>
      </w:r>
      <w:bookmarkEnd w:id="29"/>
    </w:p>
    <w:p w14:paraId="389F7807"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0" w:name="_Toc382819089"/>
      <w:r w:rsidRPr="00DA76B3">
        <w:rPr>
          <w:rFonts w:ascii="宋体" w:eastAsia="宋体" w:hAnsi="宋体" w:hint="eastAsia"/>
          <w:b w:val="0"/>
          <w:bCs w:val="0"/>
          <w:sz w:val="21"/>
          <w:szCs w:val="21"/>
        </w:rPr>
        <w:t>基金管理人在运用基金财产时向基金托管人发送资金划拨及其他款项付款指令，基金托管人执行基金管理人合法合规且符合本协议相关约定的指令、办理基金名下的资金往来等有关事项。</w:t>
      </w:r>
      <w:bookmarkEnd w:id="30"/>
    </w:p>
    <w:p w14:paraId="58CC849A"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r w:rsidRPr="00DA76B3">
        <w:rPr>
          <w:rFonts w:ascii="宋体" w:eastAsia="宋体" w:hAnsi="宋体" w:hint="eastAsia"/>
          <w:b w:val="0"/>
          <w:bCs w:val="0"/>
          <w:sz w:val="21"/>
          <w:szCs w:val="21"/>
        </w:rPr>
        <w:t>（一）基金管理人对发送指令人员的书面授权</w:t>
      </w:r>
      <w:bookmarkEnd w:id="31"/>
    </w:p>
    <w:p w14:paraId="3907DC8A" w14:textId="77777777" w:rsidR="00C96543" w:rsidRPr="00DA76B3" w:rsidRDefault="009B5B1C">
      <w:pPr>
        <w:pStyle w:val="20"/>
        <w:rPr>
          <w:rFonts w:ascii="宋体" w:eastAsia="宋体" w:hAnsi="宋体"/>
          <w:sz w:val="21"/>
          <w:szCs w:val="21"/>
        </w:rPr>
      </w:pPr>
      <w:bookmarkStart w:id="32" w:name="_Toc382818601"/>
      <w:bookmarkStart w:id="33" w:name="_Toc382819091"/>
      <w:r w:rsidRPr="00DA76B3">
        <w:rPr>
          <w:rFonts w:ascii="宋体" w:eastAsia="宋体" w:hAnsi="宋体" w:hint="eastAsia"/>
          <w:sz w:val="21"/>
          <w:szCs w:val="21"/>
        </w:rPr>
        <w:t>基金管理人应向基金托管人提供预留印鉴和被授权人签章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产品成立时或后续更新，必须提前至少一个交易日，发送扫描件或其他基金托管人和基金管理人书面确认的方式向基金托管人发出加盖基金管理人公章，并由法定代表人或其授权代理人签章的被授权人变更通知，同时电话通知基金托管人。变更通知应载明生效时间，并提供新的被授权人的签章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失。基金管理人和基金托管人对授权文件负有保密义务，其内容不得向授权人、被授权人及相关操作人员以外的任何人泄露。</w:t>
      </w:r>
      <w:bookmarkEnd w:id="32"/>
      <w:bookmarkEnd w:id="33"/>
      <w:r w:rsidRPr="00DA76B3">
        <w:rPr>
          <w:rFonts w:ascii="宋体" w:eastAsia="宋体" w:hAnsi="宋体" w:hint="eastAsia"/>
          <w:sz w:val="21"/>
          <w:szCs w:val="21"/>
        </w:rPr>
        <w:t>，但法律法规或有权机关另有要求的除外。</w:t>
      </w:r>
    </w:p>
    <w:p w14:paraId="7DA476BE"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sidRPr="00DA76B3">
        <w:rPr>
          <w:rFonts w:ascii="宋体" w:eastAsia="宋体" w:hAnsi="宋体" w:hint="eastAsia"/>
          <w:b w:val="0"/>
          <w:bCs w:val="0"/>
          <w:sz w:val="21"/>
          <w:szCs w:val="21"/>
        </w:rPr>
        <w:t>（二）指令的内容</w:t>
      </w:r>
      <w:bookmarkEnd w:id="34"/>
    </w:p>
    <w:p w14:paraId="296C4458"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3986BE68"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2、基金管理人发给基金托管人的指令应写明付款账号、付款户名、开户行、收款账号、收款户名、开户行、款项事由、支付时间、到账时间、金额、账户等，加盖预留印鉴并有被授权人签章。</w:t>
      </w:r>
    </w:p>
    <w:p w14:paraId="01437ED7"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sidRPr="00DA76B3">
        <w:rPr>
          <w:rFonts w:ascii="宋体" w:eastAsia="宋体" w:hAnsi="宋体" w:hint="eastAsia"/>
          <w:b w:val="0"/>
          <w:bCs w:val="0"/>
          <w:sz w:val="21"/>
          <w:szCs w:val="21"/>
        </w:rPr>
        <w:t>（三）指令的发送、确认和执行的时间和程序</w:t>
      </w:r>
      <w:bookmarkEnd w:id="35"/>
    </w:p>
    <w:p w14:paraId="1565B688"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任何责任。基金托管人依照“授权通知”规定的方法确认指令有效后，方可执行指令。对于被授权人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托管人，如基金管理人要求当天某一时点到账，则指令需提前2个工作小时(工作时间9点至11点30分,13点至17点)提交基金托管人。</w:t>
      </w:r>
    </w:p>
    <w:p w14:paraId="7A182A43"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14:paraId="0C1A5427"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如划款指令中给予基金托管人的划拨时间小于2个工作小时或晚于前述指令截至时间的，基金托管人应尽力在指定时间内完成资金划拨,但不承担因时间不足导致执行失败的责任。</w:t>
      </w:r>
    </w:p>
    <w:p w14:paraId="691B0527"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基金管理人原因造成的指令传输不及时、未能留出足够划款所需时间，致使资金未能及时到账所造成的损失由基金管理人承担。基金管理人应在交易结束后将同业市场债券交易成交单加盖预留印鉴后及时传真给基金托管人并电话通知基金托管人。</w:t>
      </w:r>
    </w:p>
    <w:p w14:paraId="4CA190B8"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6D39BDB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任何责任。</w:t>
      </w:r>
    </w:p>
    <w:p w14:paraId="5B30956F"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基金管理人应将同业市场国债交易通知单加盖预留印鉴后传真给基金托管人。</w:t>
      </w:r>
    </w:p>
    <w:p w14:paraId="71E1AFBE"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sidRPr="00DA76B3">
        <w:rPr>
          <w:rFonts w:ascii="宋体" w:eastAsia="宋体" w:hAnsi="宋体" w:hint="eastAsia"/>
          <w:b w:val="0"/>
          <w:bCs w:val="0"/>
          <w:sz w:val="21"/>
          <w:szCs w:val="21"/>
        </w:rPr>
        <w:t>（四）基金管理人发送错误指令的情形和处理程序</w:t>
      </w:r>
      <w:bookmarkEnd w:id="36"/>
    </w:p>
    <w:p w14:paraId="7A2005DB" w14:textId="77777777" w:rsidR="00C96543" w:rsidRPr="00DA76B3" w:rsidRDefault="009B5B1C">
      <w:pPr>
        <w:spacing w:after="120" w:line="360" w:lineRule="auto"/>
        <w:ind w:firstLineChars="200" w:firstLine="420"/>
        <w:rPr>
          <w:rFonts w:ascii="宋体" w:hAnsi="宋体"/>
          <w:szCs w:val="21"/>
        </w:rPr>
      </w:pPr>
      <w:r w:rsidRPr="00DA76B3">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398D89E3" w14:textId="77777777" w:rsidR="00C96543" w:rsidRPr="00DA76B3" w:rsidRDefault="009B5B1C">
      <w:pPr>
        <w:spacing w:line="360" w:lineRule="auto"/>
        <w:ind w:firstLineChars="200" w:firstLine="420"/>
        <w:rPr>
          <w:rFonts w:ascii="宋体" w:hAnsi="宋体"/>
          <w:szCs w:val="21"/>
          <w:lang w:val="zh-CN"/>
        </w:rPr>
      </w:pPr>
      <w:r w:rsidRPr="00DA76B3">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05EF8F87"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sidRPr="00DA76B3">
        <w:rPr>
          <w:rFonts w:ascii="宋体" w:eastAsia="宋体" w:hAnsi="宋体" w:hint="eastAsia"/>
          <w:b w:val="0"/>
          <w:bCs w:val="0"/>
          <w:sz w:val="21"/>
          <w:szCs w:val="21"/>
        </w:rPr>
        <w:t>（五）基金托管人未按照基金管理人指令执行的处理方法</w:t>
      </w:r>
      <w:bookmarkEnd w:id="37"/>
    </w:p>
    <w:p w14:paraId="5261DB2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0F2127FC"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sidRPr="00DA76B3">
        <w:rPr>
          <w:rFonts w:ascii="宋体" w:eastAsia="宋体" w:hAnsi="宋体" w:hint="eastAsia"/>
          <w:b w:val="0"/>
          <w:bCs w:val="0"/>
          <w:sz w:val="21"/>
          <w:szCs w:val="21"/>
        </w:rPr>
        <w:t>（六）更换被授权人的程序</w:t>
      </w:r>
      <w:bookmarkEnd w:id="38"/>
    </w:p>
    <w:p w14:paraId="0607A69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章的被授权人变更通知，同时电话通知基金托管人。变更通知应载明生效时间，并提供新的被授权人的签章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如果基金管理人授权人员名单、权限有变化时，未能按本协议约定及时通知基金托管人并预留新的印鉴和签章样本而导致基金份额持有人受损的，基金托管人不承担任何形式的责任。基金托管人更换接收基金管理人指令的人员，应提前通过邮件、传真或录音电话等方式通知基金管理人。</w:t>
      </w:r>
    </w:p>
    <w:p w14:paraId="6E8EE9F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（七）其它事项</w:t>
      </w:r>
    </w:p>
    <w:p w14:paraId="7BB26CE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0709323D"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39" w:name="_Toc382819097"/>
      <w:r w:rsidRPr="00DA76B3">
        <w:rPr>
          <w:rFonts w:ascii="宋体" w:eastAsia="宋体" w:hAnsi="宋体" w:cs="Arial" w:hint="eastAsia"/>
          <w:sz w:val="28"/>
          <w:szCs w:val="28"/>
        </w:rPr>
        <w:t>交易及清算交收安排</w:t>
      </w:r>
      <w:bookmarkEnd w:id="39"/>
    </w:p>
    <w:p w14:paraId="06D910ED" w14:textId="77777777" w:rsidR="00C96543" w:rsidRPr="00DA76B3" w:rsidRDefault="009B5B1C">
      <w:pPr>
        <w:pStyle w:val="2"/>
        <w:keepNext w:val="0"/>
        <w:keepLines w:val="0"/>
        <w:spacing w:before="0" w:after="0"/>
        <w:ind w:firstLineChars="200" w:firstLine="420"/>
        <w:jc w:val="left"/>
        <w:rPr>
          <w:rFonts w:ascii="宋体" w:eastAsia="宋体" w:hAnsi="宋体"/>
          <w:b w:val="0"/>
          <w:sz w:val="21"/>
          <w:szCs w:val="21"/>
        </w:rPr>
      </w:pPr>
      <w:bookmarkStart w:id="40" w:name="_Toc382819098"/>
      <w:r w:rsidRPr="00DA76B3">
        <w:rPr>
          <w:rFonts w:ascii="宋体" w:eastAsia="宋体" w:hAnsi="宋体" w:hint="eastAsia"/>
          <w:b w:val="0"/>
          <w:sz w:val="21"/>
          <w:szCs w:val="21"/>
        </w:rPr>
        <w:t>（一）选择代理证券买卖的证券经营机构的标准和程序</w:t>
      </w:r>
      <w:bookmarkEnd w:id="40"/>
    </w:p>
    <w:p w14:paraId="506B018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基金管理人负责选择代理本基金证券买卖的证券经营机构。</w:t>
      </w:r>
    </w:p>
    <w:p w14:paraId="34258E8D"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负责根据相关标准以及内部管理制度对有关证券经营机构进行考察后确定代理本基金证券买卖证券经营机构，并承担相应责任。基金管理人和被选择的证券经营机构签订交易单元使用协议，由基金管理人通知基金托管人，并在法定信息披露公告中披露有关内容。</w:t>
      </w:r>
    </w:p>
    <w:p w14:paraId="1FDA852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应在基金起始运作前将基金专用交易单元号、佣金费率等基本信息以及变更情况及时以书面形式通知基金托管人,并将被选中证券经营机构提供的《交易单元租用协议》及时送达基金托管人，确保基金托管人申请接收结算数据。</w:t>
      </w:r>
    </w:p>
    <w:p w14:paraId="1D32D90D" w14:textId="77777777" w:rsidR="00C96543" w:rsidRPr="00DA76B3" w:rsidRDefault="009B5B1C">
      <w:pPr>
        <w:pStyle w:val="2"/>
        <w:keepNext w:val="0"/>
        <w:keepLines w:val="0"/>
        <w:spacing w:before="0" w:after="0"/>
        <w:ind w:firstLineChars="200" w:firstLine="420"/>
        <w:jc w:val="left"/>
        <w:rPr>
          <w:rFonts w:ascii="宋体" w:eastAsia="宋体" w:hAnsi="宋体"/>
          <w:b w:val="0"/>
          <w:sz w:val="21"/>
          <w:szCs w:val="21"/>
        </w:rPr>
      </w:pPr>
      <w:bookmarkStart w:id="41" w:name="_Toc382819099"/>
      <w:r w:rsidRPr="00DA76B3">
        <w:rPr>
          <w:rFonts w:ascii="宋体" w:eastAsia="宋体" w:hAnsi="宋体" w:hint="eastAsia"/>
          <w:b w:val="0"/>
          <w:sz w:val="21"/>
          <w:szCs w:val="21"/>
        </w:rPr>
        <w:t>（二）基金投资证券后的清算交收安排</w:t>
      </w:r>
      <w:bookmarkStart w:id="42" w:name="_Toc382819100"/>
      <w:bookmarkEnd w:id="41"/>
    </w:p>
    <w:p w14:paraId="42BD7DD2"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A76B3">
        <w:rPr>
          <w:rFonts w:ascii="宋体" w:eastAsia="宋体" w:hAnsi="宋体" w:hint="eastAsia"/>
          <w:b w:val="0"/>
          <w:bCs w:val="0"/>
          <w:sz w:val="21"/>
          <w:szCs w:val="21"/>
        </w:rPr>
        <w:t>1、本基金投资于证券发生的所有场内、场外交易的资金清算交割，全部由基金托管人负责办理。</w:t>
      </w:r>
      <w:bookmarkStart w:id="43" w:name="_Toc382819101"/>
      <w:bookmarkEnd w:id="42"/>
    </w:p>
    <w:p w14:paraId="7A90C0AB"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A76B3">
        <w:rPr>
          <w:rFonts w:ascii="宋体" w:eastAsia="宋体" w:hAnsi="宋体" w:hint="eastAsia"/>
          <w:b w:val="0"/>
          <w:bCs w:val="0"/>
          <w:sz w:val="21"/>
          <w:szCs w:val="21"/>
        </w:rPr>
        <w:t>2、本基金投资于场内交易的投资品种前，基金管理人和基金托管人应当另行签署托管银行证券资金结算协议。</w:t>
      </w:r>
      <w:bookmarkEnd w:id="43"/>
    </w:p>
    <w:p w14:paraId="1E3C6918" w14:textId="77777777" w:rsidR="00C96543" w:rsidRPr="00DA76B3" w:rsidRDefault="009B5B1C">
      <w:pPr>
        <w:pStyle w:val="a0"/>
        <w:spacing w:line="360" w:lineRule="auto"/>
        <w:jc w:val="left"/>
        <w:rPr>
          <w:rFonts w:ascii="宋体" w:hAnsi="宋体"/>
          <w:szCs w:val="21"/>
        </w:rPr>
      </w:pPr>
      <w:r w:rsidRPr="00DA76B3">
        <w:rPr>
          <w:rFonts w:ascii="宋体" w:hAnsi="宋体" w:hint="eastAsia"/>
          <w:szCs w:val="21"/>
        </w:rPr>
        <w:t>3、本基金投资于非担保交收的投资品种时，基金管理人应遵守基金托管人提前以告客户书形式提供的书面通知。</w:t>
      </w:r>
    </w:p>
    <w:p w14:paraId="0E9872B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4、银行间债券券款对付结算</w:t>
      </w:r>
    </w:p>
    <w:p w14:paraId="0974DA4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 xml:space="preserve">基金管理人应及时将银行间上清所、中债登划款指令和成交通知单按相关规定提交基金托管人，基金管理人应为基金托管人留出执行指令所必需的时间。  </w:t>
      </w:r>
    </w:p>
    <w:p w14:paraId="62E59CF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投资管理人应根据中债登、上清所提供的查询功能，实时跟踪交易结算情况、证券与资金到账与余额变动情况，便于监控结算过程，做好资金与交易匹配的前端控制。</w:t>
      </w:r>
    </w:p>
    <w:p w14:paraId="1DC2C5A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5、定期投资基金管理人与存款行签订的存款协议条款格式应在定期存款起息日的前一个工作日发送给基金托管人，</w:t>
      </w:r>
      <w:r w:rsidRPr="00DA76B3">
        <w:rPr>
          <w:rFonts w:ascii="宋体" w:hAnsi="宋体" w:cs="Arial" w:hint="eastAsia"/>
          <w:color w:val="000000"/>
          <w:szCs w:val="21"/>
        </w:rPr>
        <w:t>基金管理人应将</w:t>
      </w:r>
      <w:r w:rsidRPr="00DA76B3">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14:paraId="5424A9E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基金管理人在发送投资指令时，应为基金托管人执行投资指令留出执行指令所必需的时间。投资指令传输不及时、未能留出足够的划款时间，导致资金未能及时到账所造成的损失由基金管理人承担。</w:t>
      </w:r>
    </w:p>
    <w:p w14:paraId="1D96B26D"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3947B938"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基金管理人与存款银行签订的存款协议，应包括：</w:t>
      </w:r>
    </w:p>
    <w:p w14:paraId="0F9966F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（1）存款银行为托管资产办理定期存款业务的存款账户开立、资金存入和支取提供必要的支持和高效的结算服务；</w:t>
      </w:r>
    </w:p>
    <w:p w14:paraId="0B1018D4"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存款银行为托管资产所投资的定期存款的存款证明文件提供寄送服务，即：定期存款资金到账后，存款银行派授权代理人按照基金托管人要求及时将“存款证实书”（以下简称“证实书”）妥善送至基金托管人处。“证实书”移交给基金托管人之前，因“证实书”丢失、损毁而造成的一切损失由存款银行承担。</w:t>
      </w:r>
    </w:p>
    <w:p w14:paraId="0395439A"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定期存款到期日或提前支取日前，存款银行应按照基金托管人要求派授权代理人前往托管人处提取“证实书”。“证实书”移交给存款行授权代理人之后，因“证实书”丢失、损毁而造成的一切损失由存款银行承担。</w:t>
      </w:r>
    </w:p>
    <w:p w14:paraId="104F2278"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46EA1FEC"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（4）存款银行应保证及时支付存款本金和利息，于支取当日将本息划付至企业年金开立在托管人（上海浦东发展银行）处的托管账户， 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14:paraId="1ED781C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4C9A1EA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（6）在存款存续期内， “证实书”的预留印鉴发生变更的，存款银行应配合办理变更手续。</w:t>
      </w:r>
    </w:p>
    <w:p w14:paraId="4F9706CB" w14:textId="77777777" w:rsidR="00C96543" w:rsidRPr="00DA76B3" w:rsidRDefault="009B5B1C">
      <w:pPr>
        <w:pStyle w:val="2"/>
        <w:keepNext w:val="0"/>
        <w:keepLines w:val="0"/>
        <w:spacing w:before="0" w:after="0"/>
        <w:ind w:firstLineChars="200" w:firstLine="420"/>
        <w:jc w:val="left"/>
        <w:rPr>
          <w:rFonts w:ascii="宋体" w:eastAsia="宋体" w:hAnsi="宋体"/>
          <w:b w:val="0"/>
          <w:sz w:val="21"/>
          <w:szCs w:val="21"/>
        </w:rPr>
      </w:pPr>
      <w:bookmarkStart w:id="44" w:name="_Toc382819102"/>
      <w:r w:rsidRPr="00DA76B3">
        <w:rPr>
          <w:rFonts w:ascii="宋体" w:eastAsia="宋体" w:hAnsi="宋体" w:hint="eastAsia"/>
          <w:b w:val="0"/>
          <w:sz w:val="21"/>
          <w:szCs w:val="21"/>
        </w:rPr>
        <w:t>（三）可用资金余额的确认</w:t>
      </w:r>
      <w:bookmarkEnd w:id="44"/>
    </w:p>
    <w:p w14:paraId="6FEC8BEF" w14:textId="77777777" w:rsidR="00C96543" w:rsidRPr="00DA76B3" w:rsidRDefault="009B5B1C">
      <w:pPr>
        <w:spacing w:line="360" w:lineRule="auto"/>
        <w:ind w:firstLineChars="200" w:firstLine="420"/>
      </w:pPr>
      <w:r w:rsidRPr="00DA76B3">
        <w:rPr>
          <w:rFonts w:ascii="宋体" w:hAnsi="宋体" w:hint="eastAsia"/>
          <w:szCs w:val="21"/>
        </w:rPr>
        <w:t>基金托管人应于每个工作日上午9：30 前将托管账户的可用资金余额以双方认可的方式提供给基金管理人。</w:t>
      </w:r>
    </w:p>
    <w:p w14:paraId="60C14922" w14:textId="77777777" w:rsidR="00C96543" w:rsidRPr="00DA76B3" w:rsidRDefault="009B5B1C">
      <w:pPr>
        <w:tabs>
          <w:tab w:val="left" w:pos="4680"/>
        </w:tabs>
        <w:spacing w:line="360" w:lineRule="auto"/>
        <w:ind w:firstLineChars="200" w:firstLine="420"/>
        <w:jc w:val="left"/>
        <w:rPr>
          <w:rFonts w:ascii="宋体" w:hAnsi="宋体"/>
          <w:bCs/>
          <w:szCs w:val="21"/>
        </w:rPr>
      </w:pPr>
      <w:r w:rsidRPr="00DA76B3">
        <w:rPr>
          <w:rFonts w:ascii="宋体" w:hAnsi="宋体" w:hint="eastAsia"/>
          <w:bCs/>
          <w:szCs w:val="21"/>
        </w:rPr>
        <w:t>（四）交易记录、资金、证券账目的核对</w:t>
      </w:r>
    </w:p>
    <w:p w14:paraId="721F7A2F"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1、交易记录的核对</w:t>
      </w:r>
    </w:p>
    <w:p w14:paraId="3C9F5F4D"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基金管理人和基金托管人按日进行交易记录的核对。每日对外披露净值之前，必须保证当天所有实际交易记录与基金会计账簿上的交易记录一致。</w:t>
      </w:r>
    </w:p>
    <w:p w14:paraId="4917DB1F"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2、资金账目的核对</w:t>
      </w:r>
    </w:p>
    <w:p w14:paraId="333E1F69"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资金账目包括基金的银行存款等会计资料。资金账目由基金托管人每日进行账实核对，基金管理人复核托管人提供的可用头寸表核对资金余额。银行存款账户每日核对，做到账账相符、账实相符。</w:t>
      </w:r>
    </w:p>
    <w:p w14:paraId="7147CF3D"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3、证券账目的核对</w:t>
      </w:r>
    </w:p>
    <w:p w14:paraId="6AE65E07"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22B230F3"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（五）基金申购、赎回、转换业务处理的基本规定</w:t>
      </w:r>
    </w:p>
    <w:p w14:paraId="290C9E3D"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1、本基金自《基金合同》生效后不超过3个月的时间起开始办理申购与赎回，具体办理时间以公告为准。基金份额申购、赎回的确认、清算由基金管理人或其委托的登记机构负责。</w:t>
      </w:r>
    </w:p>
    <w:p w14:paraId="641F5A55"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2、基金管理人应在每个交易日按本协议第七条相关规定向基金托管人发送基金管理人确认的申购、赎回和转换开放式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21D9565B"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29D2B4FB"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4、基金管理人应保证其发送的注册登记数据的接口规范与基金托管人的接口规范保持一致。</w:t>
      </w:r>
    </w:p>
    <w:p w14:paraId="1375C572"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5、基金注册登记清算专用账户的开立和管理</w:t>
      </w:r>
    </w:p>
    <w:p w14:paraId="28246C19"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为满足申购、赎回等资金汇划的需要，基金管理人应开立用于基金申购、赎回等资金清算的基金注册登记清算专用账户。</w:t>
      </w:r>
    </w:p>
    <w:p w14:paraId="1853D214" w14:textId="77777777" w:rsidR="00C96543" w:rsidRPr="00DA76B3" w:rsidRDefault="009B5B1C">
      <w:pPr>
        <w:tabs>
          <w:tab w:val="left" w:pos="4680"/>
        </w:tabs>
        <w:spacing w:line="360" w:lineRule="auto"/>
        <w:ind w:firstLineChars="200" w:firstLine="420"/>
        <w:jc w:val="left"/>
        <w:rPr>
          <w:rFonts w:ascii="宋体" w:hAnsi="宋体"/>
          <w:kern w:val="21"/>
          <w:szCs w:val="21"/>
        </w:rPr>
      </w:pPr>
      <w:r w:rsidRPr="00DA76B3">
        <w:rPr>
          <w:rFonts w:ascii="宋体" w:hAnsi="宋体" w:hint="eastAsia"/>
          <w:szCs w:val="21"/>
        </w:rPr>
        <w:t>6、</w:t>
      </w:r>
      <w:r w:rsidRPr="00DA76B3">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知基金管理人采取措施进行催收，由此给基金造成损失的，基金管理人应负责向有关当事人追偿基金的损失，</w:t>
      </w:r>
      <w:r w:rsidRPr="00DA76B3">
        <w:rPr>
          <w:rFonts w:ascii="宋体" w:hAnsi="宋体" w:hint="eastAsia"/>
          <w:szCs w:val="21"/>
        </w:rPr>
        <w:t>基金托管人不承担任何责任</w:t>
      </w:r>
      <w:r w:rsidRPr="00DA76B3">
        <w:rPr>
          <w:rFonts w:ascii="宋体" w:hAnsi="宋体" w:hint="eastAsia"/>
          <w:kern w:val="21"/>
          <w:szCs w:val="21"/>
        </w:rPr>
        <w:t>。</w:t>
      </w:r>
    </w:p>
    <w:p w14:paraId="62AEF852"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7、赎回资金的支付</w:t>
      </w:r>
    </w:p>
    <w:p w14:paraId="6D793E53"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基金托管人在根据基金管理人指令支付赎回款时，如托管专户中本基金有足够的资金，基金托管人应按《基金合同》和本协议的规定支付；如托管专户中本基金有足额的资金且基金托管人有足够合理的时间进行划款，而基金托管人未及时执行合法合规的指令的，责任由基金托管人承担，但不可抗力导致的情形除外。因托管专户中本基金没有足够的资金，导致基金托管人不能按时支付，如是基金管理人的原因造成，责任由基金管理人承担，基金托管人不承担垫款义务；如是除基金管理人、基金托管人外的第三方原因造成的，责任由第三方承担，基金托管人不承担垫款义务，若给基金份额持有人造成损失的，基金托管人负有配合基金管理人向第三方追偿的义务。</w:t>
      </w:r>
    </w:p>
    <w:p w14:paraId="5F58DC81"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8、资金支付执行和责任界定</w:t>
      </w:r>
    </w:p>
    <w:p w14:paraId="6F101F7F"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 xml:space="preserve"> 除申购款项到达基金托管人处的基金账户需双方按约定方式对账外，净额划出、赎回资金支付时，应按照本协议相关规定执行。若本协议没有规定的按双方协商一致内容执行。</w:t>
      </w:r>
    </w:p>
    <w:p w14:paraId="589534C9"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议力原因导致资金不能按时到账的，基金管理人和基金托管人不承担由此产生的责任。如因此给基金造成损失的，基金管理人应负责向第三方追偿，基金托管人有义务协助追偿。</w:t>
      </w:r>
    </w:p>
    <w:p w14:paraId="6F16E15A"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9、暂停赎回和巨额赎回处理</w:t>
      </w:r>
    </w:p>
    <w:p w14:paraId="5BD02DD5"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5C7B3332"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（六）申购赎回资金结算</w:t>
      </w:r>
    </w:p>
    <w:p w14:paraId="7D67F7CD"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基金托管账户与“基金清算账户”间的资金结算遵循“全额清算、净额交收”的原则，每日按照托管账户应收资金与应付资金的差额来确定当日托管账户净应收额或净应付额，以此确定资金交收额。如存在托管账户净应收额时，基金管理人应在交收日 15:00 之前从基金清算账户划到基金托管账户，基金托管人在资金到账后应立即通知基金管理人，并将有关书面凭证传真给基金管理人进行账务管理；如存在托管账户净应付额时，基金管理人应在交收日10：00之</w:t>
      </w:r>
      <w:r w:rsidRPr="00DA76B3">
        <w:rPr>
          <w:rFonts w:ascii="宋体" w:hAnsi="宋体"/>
          <w:szCs w:val="21"/>
        </w:rPr>
        <w:t>前</w:t>
      </w:r>
      <w:r w:rsidRPr="00DA76B3">
        <w:rPr>
          <w:rFonts w:ascii="宋体" w:hAnsi="宋体" w:hint="eastAsia"/>
          <w:szCs w:val="21"/>
        </w:rPr>
        <w:t>将划款指令发送给基金托管人，基金托管人按基金管理人的划款指令将托管账户净应付额在交收日12:00 之前划往基金清算账户，基金托管人在资金划出后立即通知基金管理人，并将有关书面凭证交给基金管理人进行账务管理。</w:t>
      </w:r>
    </w:p>
    <w:p w14:paraId="189A703B"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系基金管理人的原因造成，责任由基金管理人承担，基金托管人不承担垫款义务。</w:t>
      </w:r>
    </w:p>
    <w:p w14:paraId="77D04B8A" w14:textId="77777777" w:rsidR="00C96543" w:rsidRPr="00DA76B3" w:rsidRDefault="009B5B1C">
      <w:pPr>
        <w:tabs>
          <w:tab w:val="left" w:pos="4680"/>
        </w:tabs>
        <w:spacing w:line="360" w:lineRule="auto"/>
        <w:ind w:firstLineChars="200" w:firstLine="420"/>
        <w:jc w:val="left"/>
        <w:rPr>
          <w:rFonts w:ascii="宋体" w:hAnsi="宋体"/>
          <w:bCs/>
          <w:szCs w:val="21"/>
        </w:rPr>
      </w:pPr>
      <w:r w:rsidRPr="00DA76B3">
        <w:rPr>
          <w:rFonts w:ascii="宋体" w:hAnsi="宋体" w:hint="eastAsia"/>
          <w:bCs/>
          <w:szCs w:val="21"/>
        </w:rPr>
        <w:t>（七）基金转换</w:t>
      </w:r>
    </w:p>
    <w:p w14:paraId="0CEEF19C" w14:textId="77777777" w:rsidR="00C96543" w:rsidRPr="00DA76B3" w:rsidRDefault="009B5B1C">
      <w:pPr>
        <w:tabs>
          <w:tab w:val="left" w:pos="4680"/>
        </w:tabs>
        <w:spacing w:line="360" w:lineRule="auto"/>
        <w:ind w:firstLineChars="200" w:firstLine="420"/>
        <w:jc w:val="left"/>
        <w:rPr>
          <w:rFonts w:ascii="宋体" w:hAnsi="宋体"/>
          <w:szCs w:val="21"/>
        </w:rPr>
      </w:pPr>
      <w:r w:rsidRPr="00DA76B3">
        <w:rPr>
          <w:rFonts w:ascii="宋体" w:hAnsi="宋体" w:hint="eastAsia"/>
          <w:szCs w:val="21"/>
        </w:rPr>
        <w:t>基金管理人与基金托管人按照相关法律法规、《基金合同》、以及本协议的规定办理基金转换。</w:t>
      </w:r>
    </w:p>
    <w:p w14:paraId="45B7A68B" w14:textId="77777777" w:rsidR="00C96543" w:rsidRPr="00DA76B3" w:rsidRDefault="009B5B1C">
      <w:pPr>
        <w:tabs>
          <w:tab w:val="left" w:pos="4680"/>
        </w:tabs>
        <w:spacing w:line="360" w:lineRule="auto"/>
        <w:ind w:firstLineChars="200" w:firstLine="420"/>
        <w:jc w:val="left"/>
        <w:rPr>
          <w:rFonts w:ascii="宋体" w:hAnsi="宋体"/>
          <w:bCs/>
          <w:szCs w:val="21"/>
        </w:rPr>
      </w:pPr>
      <w:r w:rsidRPr="00DA76B3">
        <w:rPr>
          <w:rFonts w:ascii="宋体" w:hAnsi="宋体" w:hint="eastAsia"/>
          <w:bCs/>
          <w:szCs w:val="21"/>
        </w:rPr>
        <w:t>(八)基金出现超买或超卖的责任认定及处理程序</w:t>
      </w:r>
    </w:p>
    <w:p w14:paraId="317CF72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非因基金托管人原因发生超买行为，基金管理人必须于T+1日上午12时之前划拨资金，用以完成清算交收。</w:t>
      </w:r>
    </w:p>
    <w:p w14:paraId="2222E9D7"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45" w:name="_Toc382819103"/>
      <w:r w:rsidRPr="00DA76B3">
        <w:rPr>
          <w:rFonts w:ascii="宋体" w:eastAsia="宋体" w:hAnsi="宋体" w:cs="Arial" w:hint="eastAsia"/>
          <w:sz w:val="28"/>
          <w:szCs w:val="28"/>
        </w:rPr>
        <w:t>基金资产净值计算和会计核算</w:t>
      </w:r>
      <w:bookmarkEnd w:id="45"/>
    </w:p>
    <w:p w14:paraId="30719FF1"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6" w:name="_Toc382819104"/>
      <w:r w:rsidRPr="00DA76B3">
        <w:rPr>
          <w:rFonts w:ascii="宋体" w:eastAsia="宋体" w:hAnsi="宋体" w:hint="eastAsia"/>
          <w:b w:val="0"/>
          <w:bCs w:val="0"/>
          <w:sz w:val="21"/>
          <w:szCs w:val="21"/>
        </w:rPr>
        <w:t>（一）基金资产净值的计算</w:t>
      </w:r>
      <w:r w:rsidRPr="00DA76B3">
        <w:rPr>
          <w:rFonts w:ascii="宋体" w:eastAsia="宋体" w:hAnsi="宋体" w:hint="eastAsia"/>
          <w:sz w:val="21"/>
          <w:szCs w:val="21"/>
        </w:rPr>
        <w:t>、</w:t>
      </w:r>
      <w:r w:rsidRPr="00DA76B3">
        <w:rPr>
          <w:rFonts w:ascii="宋体" w:eastAsia="宋体" w:hAnsi="宋体" w:hint="eastAsia"/>
          <w:b w:val="0"/>
          <w:bCs w:val="0"/>
          <w:sz w:val="21"/>
          <w:szCs w:val="21"/>
        </w:rPr>
        <w:t>复核的时间和程序</w:t>
      </w:r>
      <w:bookmarkEnd w:id="46"/>
    </w:p>
    <w:p w14:paraId="1211BB4B" w14:textId="57647345" w:rsidR="00C96543" w:rsidRPr="00DA76B3" w:rsidRDefault="009B5B1C">
      <w:pPr>
        <w:spacing w:line="440" w:lineRule="atLeast"/>
        <w:ind w:right="28" w:firstLineChars="200" w:firstLine="420"/>
        <w:rPr>
          <w:rFonts w:ascii="宋体" w:hAnsi="宋体"/>
          <w:szCs w:val="21"/>
        </w:rPr>
      </w:pPr>
      <w:r w:rsidRPr="00DA76B3">
        <w:rPr>
          <w:rFonts w:ascii="宋体" w:hAnsi="宋体" w:hint="eastAsia"/>
          <w:szCs w:val="21"/>
        </w:rPr>
        <w:t>基金资产净值是指基金资产总值减去负债后的价值。</w:t>
      </w:r>
      <w:r w:rsidR="0082585E" w:rsidRPr="00DA76B3">
        <w:rPr>
          <w:rFonts w:ascii="宋体" w:hAnsi="宋体" w:hint="eastAsia"/>
          <w:szCs w:val="21"/>
        </w:rPr>
        <w:t>各类</w:t>
      </w:r>
      <w:r w:rsidRPr="00DA76B3">
        <w:rPr>
          <w:rFonts w:ascii="宋体" w:hAnsi="宋体" w:hint="eastAsia"/>
          <w:szCs w:val="21"/>
        </w:rPr>
        <w:t>基金份额净值是指计算日</w:t>
      </w:r>
      <w:r w:rsidR="0015240B" w:rsidRPr="00DA76B3">
        <w:rPr>
          <w:rFonts w:ascii="宋体" w:hAnsi="宋体" w:hint="eastAsia"/>
          <w:szCs w:val="21"/>
        </w:rPr>
        <w:t>各类</w:t>
      </w:r>
      <w:r w:rsidRPr="00DA76B3">
        <w:rPr>
          <w:rFonts w:ascii="宋体" w:hAnsi="宋体" w:hint="eastAsia"/>
          <w:szCs w:val="21"/>
        </w:rPr>
        <w:t>基金资产净值除以该计算日</w:t>
      </w:r>
      <w:r w:rsidR="0015240B" w:rsidRPr="00DA76B3">
        <w:rPr>
          <w:rFonts w:ascii="宋体" w:hAnsi="宋体" w:hint="eastAsia"/>
          <w:szCs w:val="21"/>
        </w:rPr>
        <w:t>该类</w:t>
      </w:r>
      <w:r w:rsidRPr="00DA76B3">
        <w:rPr>
          <w:rFonts w:ascii="宋体" w:hAnsi="宋体" w:hint="eastAsia"/>
          <w:szCs w:val="21"/>
        </w:rPr>
        <w:t>基金份额总份额后的数值。</w:t>
      </w:r>
      <w:r w:rsidR="0015240B" w:rsidRPr="00DA76B3">
        <w:rPr>
          <w:rFonts w:ascii="宋体" w:hAnsi="宋体" w:hint="eastAsia"/>
          <w:szCs w:val="21"/>
        </w:rPr>
        <w:t>各类</w:t>
      </w:r>
      <w:r w:rsidRPr="00DA76B3">
        <w:rPr>
          <w:rFonts w:ascii="宋体" w:hAnsi="宋体" w:hint="eastAsia"/>
          <w:szCs w:val="21"/>
        </w:rPr>
        <w:t>基金份额净值的计算</w:t>
      </w:r>
      <w:r w:rsidR="0015240B" w:rsidRPr="00DA76B3">
        <w:rPr>
          <w:rFonts w:ascii="宋体" w:hAnsi="宋体" w:hint="eastAsia"/>
          <w:szCs w:val="21"/>
        </w:rPr>
        <w:t>均</w:t>
      </w:r>
      <w:r w:rsidRPr="00DA76B3">
        <w:rPr>
          <w:rFonts w:ascii="宋体" w:hAnsi="宋体" w:hint="eastAsia"/>
          <w:szCs w:val="21"/>
        </w:rPr>
        <w:t>保留到小数点后4位，小数点后第5位四舍五入，由此产生的误差计入基金财产。基金管理人可以设立大额赎回情形下的净值精度应急调整机制。国家另有规定的，从其规定。</w:t>
      </w:r>
    </w:p>
    <w:p w14:paraId="4D4ADE73" w14:textId="3B4F8354" w:rsidR="00C96543" w:rsidRPr="00DA76B3" w:rsidRDefault="009B5B1C">
      <w:pPr>
        <w:spacing w:line="440" w:lineRule="atLeast"/>
        <w:ind w:right="28" w:firstLineChars="200" w:firstLine="420"/>
        <w:rPr>
          <w:rFonts w:ascii="宋体" w:hAnsi="宋体"/>
          <w:color w:val="000000"/>
          <w:kern w:val="0"/>
        </w:rPr>
      </w:pPr>
      <w:r w:rsidRPr="00DA76B3">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信息的计算结果对外予以公布。基金管理人于每个估值日的后两个工作日内计算该估值日基金资产净值及</w:t>
      </w:r>
      <w:r w:rsidR="00C628C2" w:rsidRPr="00DA76B3">
        <w:rPr>
          <w:rFonts w:ascii="宋体" w:hAnsi="宋体" w:hint="eastAsia"/>
          <w:szCs w:val="21"/>
        </w:rPr>
        <w:t>各类</w:t>
      </w:r>
      <w:r w:rsidRPr="00DA76B3">
        <w:rPr>
          <w:rFonts w:ascii="宋体" w:hAnsi="宋体" w:hint="eastAsia"/>
          <w:szCs w:val="21"/>
        </w:rPr>
        <w:t>基金份额净值，但基金管理人根据法律法规或基金合同的规定暂停估值时除外。估值原则应符合《基金合同》、《证券投资基金会计核算业务指引》及其他法律、法规的规定。</w:t>
      </w:r>
      <w:r w:rsidRPr="00DA76B3">
        <w:rPr>
          <w:rFonts w:ascii="宋体" w:hAnsi="宋体" w:cs="宋体" w:hint="eastAsia"/>
          <w:color w:val="000000"/>
          <w:kern w:val="0"/>
          <w:szCs w:val="21"/>
        </w:rPr>
        <w:t>基金管理人应于每个估值日的后两个工作日内计算该估值日的</w:t>
      </w:r>
      <w:r w:rsidR="00C628C2" w:rsidRPr="00DA76B3">
        <w:rPr>
          <w:rFonts w:ascii="宋体" w:hAnsi="宋体" w:cs="宋体" w:hint="eastAsia"/>
          <w:color w:val="000000"/>
          <w:kern w:val="0"/>
          <w:szCs w:val="21"/>
        </w:rPr>
        <w:t>各类</w:t>
      </w:r>
      <w:r w:rsidRPr="00DA76B3">
        <w:rPr>
          <w:rFonts w:ascii="宋体" w:hAnsi="宋体" w:cs="宋体" w:hint="eastAsia"/>
          <w:color w:val="000000"/>
          <w:kern w:val="0"/>
          <w:szCs w:val="21"/>
        </w:rPr>
        <w:t>基金份额净值和基金资产净值并以双方认可的方式发送给基金托管人。基金托管人对净值计算结果复核后以双方认可的方式发送给基金管理人，由基金管理人按约定对外公布。</w:t>
      </w:r>
    </w:p>
    <w:p w14:paraId="4C44B014" w14:textId="77777777" w:rsidR="00C96543" w:rsidRPr="00DA76B3" w:rsidRDefault="009B5B1C">
      <w:pPr>
        <w:tabs>
          <w:tab w:val="left" w:pos="900"/>
        </w:tabs>
        <w:spacing w:line="360" w:lineRule="auto"/>
        <w:ind w:right="28" w:firstLineChars="200" w:firstLine="420"/>
        <w:rPr>
          <w:rFonts w:ascii="宋体" w:hAnsi="宋体"/>
          <w:szCs w:val="21"/>
        </w:rPr>
      </w:pPr>
      <w:r w:rsidRPr="00DA76B3">
        <w:rPr>
          <w:rFonts w:ascii="宋体" w:hAnsi="宋体" w:hint="eastAsia"/>
          <w:szCs w:val="21"/>
        </w:rPr>
        <w:t>法律法规以及监管部门有强制规定的，从其规定。如有新增事项，按国家最新规定估值。</w:t>
      </w:r>
    </w:p>
    <w:p w14:paraId="0223C1FE" w14:textId="77777777" w:rsidR="00C96543" w:rsidRPr="00DA76B3" w:rsidRDefault="009B5B1C">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7" w:name="_Toc382819105"/>
      <w:r w:rsidRPr="00DA76B3">
        <w:rPr>
          <w:rFonts w:ascii="宋体" w:eastAsia="宋体" w:hAnsi="宋体" w:hint="eastAsia"/>
          <w:b w:val="0"/>
          <w:bCs w:val="0"/>
          <w:sz w:val="21"/>
          <w:szCs w:val="21"/>
        </w:rPr>
        <w:t>（二）基金资产估值</w:t>
      </w:r>
      <w:bookmarkEnd w:id="47"/>
    </w:p>
    <w:p w14:paraId="30D5CEC5" w14:textId="77777777" w:rsidR="00C96543" w:rsidRPr="00DA76B3" w:rsidRDefault="009B5B1C">
      <w:pPr>
        <w:spacing w:line="440" w:lineRule="atLeast"/>
        <w:ind w:right="28" w:firstLineChars="200" w:firstLine="420"/>
        <w:rPr>
          <w:rFonts w:ascii="宋体" w:hAnsi="宋体"/>
          <w:szCs w:val="21"/>
        </w:rPr>
      </w:pPr>
      <w:r w:rsidRPr="00DA76B3">
        <w:rPr>
          <w:rFonts w:ascii="宋体" w:hAnsi="宋体" w:hint="eastAsia"/>
          <w:szCs w:val="21"/>
        </w:rPr>
        <w:t>估值原则应符合《基金合同》、《证券投资基金会计核算业务指引》及其他法律法规的规定的约定。</w:t>
      </w:r>
    </w:p>
    <w:p w14:paraId="156A1677" w14:textId="77777777" w:rsidR="00C96543" w:rsidRPr="00DA76B3" w:rsidRDefault="009B5B1C">
      <w:pPr>
        <w:spacing w:line="440" w:lineRule="atLeast"/>
        <w:ind w:right="28" w:firstLineChars="200" w:firstLine="420"/>
        <w:rPr>
          <w:rFonts w:ascii="宋体" w:hAnsi="宋体"/>
          <w:szCs w:val="21"/>
        </w:rPr>
      </w:pPr>
      <w:r w:rsidRPr="00DA76B3">
        <w:rPr>
          <w:rFonts w:ascii="宋体" w:hAnsi="宋体" w:hint="eastAsia"/>
          <w:szCs w:val="21"/>
        </w:rPr>
        <w:t>当相关法律法规或《基金合同》规定的估值方法不能客观反映基金财产公允价值时，基金管理人可根据具体情况，并与基金托管人商定后，按最能反映公允价值的价格估值。</w:t>
      </w:r>
    </w:p>
    <w:p w14:paraId="21EC94DF"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8" w:name="_Toc382819106"/>
      <w:r w:rsidRPr="00DA76B3">
        <w:rPr>
          <w:rFonts w:ascii="宋体" w:eastAsia="宋体" w:hAnsi="宋体" w:hint="eastAsia"/>
          <w:b w:val="0"/>
          <w:bCs w:val="0"/>
          <w:sz w:val="21"/>
          <w:szCs w:val="21"/>
        </w:rPr>
        <w:t>（三）估值错误处理</w:t>
      </w:r>
      <w:bookmarkEnd w:id="48"/>
    </w:p>
    <w:p w14:paraId="0C17E6FD" w14:textId="25BFA1D5"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9" w:name="_Toc382819107"/>
      <w:r w:rsidRPr="00DA76B3">
        <w:rPr>
          <w:rFonts w:ascii="宋体" w:eastAsia="宋体" w:hAnsi="宋体" w:hint="eastAsia"/>
          <w:b w:val="0"/>
          <w:bCs w:val="0"/>
          <w:sz w:val="21"/>
          <w:szCs w:val="21"/>
        </w:rPr>
        <w:t>1.当</w:t>
      </w:r>
      <w:r w:rsidR="008E3AF8" w:rsidRPr="00DA76B3">
        <w:rPr>
          <w:rFonts w:ascii="宋体" w:eastAsia="宋体" w:hAnsi="宋体" w:hint="eastAsia"/>
          <w:b w:val="0"/>
          <w:bCs w:val="0"/>
          <w:sz w:val="21"/>
          <w:szCs w:val="21"/>
        </w:rPr>
        <w:t>任一类</w:t>
      </w:r>
      <w:r w:rsidRPr="00DA76B3">
        <w:rPr>
          <w:rFonts w:ascii="宋体" w:eastAsia="宋体" w:hAnsi="宋体" w:hint="eastAsia"/>
          <w:b w:val="0"/>
          <w:bCs w:val="0"/>
          <w:sz w:val="21"/>
          <w:szCs w:val="21"/>
        </w:rPr>
        <w:t>基金份额净值小数点后</w:t>
      </w:r>
      <w:r w:rsidRPr="00DA76B3">
        <w:rPr>
          <w:rFonts w:ascii="宋体" w:eastAsia="宋体" w:hAnsi="宋体"/>
          <w:b w:val="0"/>
          <w:bCs w:val="0"/>
          <w:sz w:val="21"/>
          <w:szCs w:val="21"/>
        </w:rPr>
        <w:t>4位以内(含第4位)</w:t>
      </w:r>
      <w:r w:rsidRPr="00DA76B3">
        <w:rPr>
          <w:rFonts w:ascii="宋体" w:eastAsia="宋体" w:hAnsi="宋体" w:hint="eastAsia"/>
          <w:b w:val="0"/>
          <w:bCs w:val="0"/>
          <w:sz w:val="21"/>
          <w:szCs w:val="21"/>
        </w:rPr>
        <w:t>发生差错时，视为</w:t>
      </w:r>
      <w:r w:rsidR="008E3AF8" w:rsidRPr="00DA76B3">
        <w:rPr>
          <w:rFonts w:ascii="宋体" w:eastAsia="宋体" w:hAnsi="宋体" w:hint="eastAsia"/>
          <w:b w:val="0"/>
          <w:bCs w:val="0"/>
          <w:sz w:val="21"/>
          <w:szCs w:val="21"/>
        </w:rPr>
        <w:t>该类</w:t>
      </w:r>
      <w:r w:rsidRPr="00DA76B3">
        <w:rPr>
          <w:rFonts w:ascii="宋体" w:eastAsia="宋体" w:hAnsi="宋体" w:hint="eastAsia"/>
          <w:b w:val="0"/>
          <w:bCs w:val="0"/>
          <w:sz w:val="21"/>
          <w:szCs w:val="21"/>
        </w:rPr>
        <w:t>基金份额净值错误；基金份额净值出现错误时，基金管理人应当立即予以纠正，通报基金托管人，并采取合理的措施防止损失进一步扩大；错误偏差达到</w:t>
      </w:r>
      <w:r w:rsidR="008E3AF8" w:rsidRPr="00DA76B3">
        <w:rPr>
          <w:rFonts w:ascii="宋体" w:eastAsia="宋体" w:hAnsi="宋体" w:hint="eastAsia"/>
          <w:b w:val="0"/>
          <w:bCs w:val="0"/>
          <w:sz w:val="21"/>
          <w:szCs w:val="21"/>
        </w:rPr>
        <w:t>该类</w:t>
      </w:r>
      <w:r w:rsidRPr="00DA76B3">
        <w:rPr>
          <w:rFonts w:ascii="宋体" w:eastAsia="宋体" w:hAnsi="宋体" w:hint="eastAsia"/>
          <w:b w:val="0"/>
          <w:bCs w:val="0"/>
          <w:sz w:val="21"/>
          <w:szCs w:val="21"/>
        </w:rPr>
        <w:t>基金份额净值的0.25%时，基金管理人应当通报基金托管人并报中国证监会备案；错误偏差达到</w:t>
      </w:r>
      <w:r w:rsidR="00DC7C87" w:rsidRPr="00DA76B3">
        <w:rPr>
          <w:rFonts w:ascii="宋体" w:eastAsia="宋体" w:hAnsi="宋体" w:hint="eastAsia"/>
          <w:b w:val="0"/>
          <w:bCs w:val="0"/>
          <w:sz w:val="21"/>
          <w:szCs w:val="21"/>
        </w:rPr>
        <w:t>该类</w:t>
      </w:r>
      <w:r w:rsidRPr="00DA76B3">
        <w:rPr>
          <w:rFonts w:ascii="宋体" w:eastAsia="宋体" w:hAnsi="宋体" w:hint="eastAsia"/>
          <w:b w:val="0"/>
          <w:bCs w:val="0"/>
          <w:sz w:val="21"/>
          <w:szCs w:val="21"/>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任何责任。</w:t>
      </w:r>
      <w:bookmarkEnd w:id="49"/>
    </w:p>
    <w:p w14:paraId="0C051F53" w14:textId="5EB7549D"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0" w:name="_Toc382819108"/>
      <w:r w:rsidRPr="00DA76B3">
        <w:rPr>
          <w:rFonts w:ascii="宋体" w:eastAsia="宋体" w:hAnsi="宋体" w:hint="eastAsia"/>
          <w:b w:val="0"/>
          <w:bCs w:val="0"/>
          <w:sz w:val="21"/>
          <w:szCs w:val="21"/>
        </w:rPr>
        <w:t>2.当因基金管理人和基金托管人原因致使基金份额净值计算差错给基金和基金份额持有人造成损失需要进行赔偿时，基金管理人和基金托管人应根据实际情况界定双方承担的责任，经确认后按以下条款进行赔偿：</w:t>
      </w:r>
      <w:bookmarkEnd w:id="50"/>
    </w:p>
    <w:p w14:paraId="3B8F7B75" w14:textId="4D9E1396"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1" w:name="_Toc382819109"/>
      <w:r w:rsidRPr="00DA76B3">
        <w:rPr>
          <w:rFonts w:ascii="宋体" w:eastAsia="宋体" w:hAnsi="宋体" w:hint="eastAsia"/>
          <w:b w:val="0"/>
          <w:bCs w:val="0"/>
          <w:sz w:val="21"/>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若基金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bookmarkStart w:id="52" w:name="_Toc382819110"/>
      <w:bookmarkEnd w:id="51"/>
    </w:p>
    <w:p w14:paraId="0A801C36"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A76B3">
        <w:rPr>
          <w:rFonts w:ascii="宋体" w:eastAsia="宋体" w:hAnsi="宋体" w:hint="eastAsia"/>
          <w:b w:val="0"/>
          <w:bCs w:val="0"/>
          <w:sz w:val="21"/>
          <w:szCs w:val="21"/>
        </w:rPr>
        <w:t>3.</w:t>
      </w:r>
      <w:r w:rsidRPr="00DA76B3">
        <w:rPr>
          <w:rFonts w:hint="eastAsia"/>
        </w:rPr>
        <w:t xml:space="preserve"> </w:t>
      </w:r>
      <w:r w:rsidRPr="00DA76B3">
        <w:rPr>
          <w:rFonts w:ascii="宋体" w:eastAsia="宋体" w:hAnsi="宋体" w:hint="eastAsia"/>
          <w:b w:val="0"/>
          <w:bCs w:val="0"/>
          <w:sz w:val="21"/>
          <w:szCs w:val="21"/>
        </w:rPr>
        <w:t>由于不可抗力原因，或证券交易所及登记结算公司、存款银行等第三方机构发送的数据错误等，致使基金管理人和基金托管人虽然已经采取必要、适当、合理的措施进行检查，但是仍未能发现该错误而造成的基金份额净值计算错误，基金管理人、基金托管人免除赔偿责任。但基金管理人、基金托管人应积极采取必要的措施消除或减轻由此造成的影响。</w:t>
      </w:r>
      <w:bookmarkStart w:id="53" w:name="_Toc382819111"/>
      <w:bookmarkEnd w:id="52"/>
    </w:p>
    <w:p w14:paraId="6FC6FBE3"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A76B3">
        <w:rPr>
          <w:rFonts w:ascii="宋体" w:eastAsia="宋体" w:hAnsi="宋体" w:hint="eastAsia"/>
          <w:b w:val="0"/>
          <w:bCs w:val="0"/>
          <w:sz w:val="21"/>
          <w:szCs w:val="21"/>
        </w:rPr>
        <w:t>4.基金管理人和基金托管人由于各自技术系统设置而产生的净值计算尾差，以基金管理人计算结果为准。</w:t>
      </w:r>
      <w:bookmarkStart w:id="54" w:name="_Toc382819112"/>
      <w:bookmarkEnd w:id="53"/>
    </w:p>
    <w:p w14:paraId="3FBA1D1D"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A76B3">
        <w:rPr>
          <w:rFonts w:ascii="宋体" w:eastAsia="宋体" w:hAnsi="宋体" w:hint="eastAsia"/>
          <w:b w:val="0"/>
          <w:bCs w:val="0"/>
          <w:sz w:val="21"/>
          <w:szCs w:val="21"/>
        </w:rPr>
        <w:t>5.前述内容如法律法规或者监管部门另有规定的，从其规定。如果行业有通行做法，在不违背法律法规且不损害投资者利益的前提下，基金管理人和基金托管人应本着平等和保护基金份额持有人利益的原则重新协商确定处理原则。</w:t>
      </w:r>
      <w:bookmarkStart w:id="55" w:name="_Toc382819113"/>
      <w:bookmarkEnd w:id="54"/>
    </w:p>
    <w:p w14:paraId="61FBBFDE"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sidRPr="00DA76B3">
        <w:rPr>
          <w:rFonts w:ascii="宋体" w:eastAsia="宋体" w:hAnsi="宋体" w:hint="eastAsia"/>
          <w:b w:val="0"/>
          <w:bCs w:val="0"/>
          <w:sz w:val="21"/>
          <w:szCs w:val="21"/>
        </w:rPr>
        <w:t>（四）暂停估值与公告基金份额净值的情形</w:t>
      </w:r>
      <w:bookmarkStart w:id="56" w:name="_Toc382819114"/>
      <w:bookmarkEnd w:id="55"/>
    </w:p>
    <w:p w14:paraId="11FC9BCA" w14:textId="77777777" w:rsidR="00C96543" w:rsidRPr="00DA76B3" w:rsidRDefault="009B5B1C">
      <w:pPr>
        <w:spacing w:line="360" w:lineRule="auto"/>
        <w:ind w:firstLineChars="200" w:firstLine="420"/>
        <w:rPr>
          <w:rFonts w:asciiTheme="minorEastAsia" w:eastAsiaTheme="minorEastAsia" w:hAnsiTheme="minorEastAsia"/>
          <w:bCs/>
          <w:szCs w:val="21"/>
        </w:rPr>
      </w:pPr>
      <w:r w:rsidRPr="00DA76B3">
        <w:rPr>
          <w:rFonts w:ascii="宋体" w:hAnsi="宋体" w:hint="eastAsia"/>
          <w:bCs/>
          <w:szCs w:val="21"/>
        </w:rPr>
        <w:t>1.</w:t>
      </w:r>
      <w:r w:rsidRPr="00DA76B3">
        <w:rPr>
          <w:rFonts w:asciiTheme="minorEastAsia" w:eastAsiaTheme="minorEastAsia" w:hAnsiTheme="minorEastAsia"/>
          <w:szCs w:val="21"/>
        </w:rPr>
        <w:t>基金投资所涉及的证券交易市场遇法定节假日或因其他原因暂停营业时；</w:t>
      </w:r>
    </w:p>
    <w:p w14:paraId="22F15CB1" w14:textId="77777777" w:rsidR="00C96543" w:rsidRPr="00DA76B3" w:rsidRDefault="009B5B1C">
      <w:pPr>
        <w:spacing w:line="360" w:lineRule="auto"/>
        <w:ind w:firstLineChars="200" w:firstLine="420"/>
        <w:rPr>
          <w:rFonts w:asciiTheme="minorEastAsia" w:eastAsiaTheme="minorEastAsia" w:hAnsiTheme="minorEastAsia"/>
          <w:bCs/>
          <w:szCs w:val="21"/>
        </w:rPr>
      </w:pPr>
      <w:r w:rsidRPr="00DA76B3">
        <w:rPr>
          <w:rFonts w:ascii="宋体" w:hAnsi="宋体"/>
          <w:bCs/>
          <w:szCs w:val="21"/>
        </w:rPr>
        <w:t>2</w:t>
      </w:r>
      <w:r w:rsidRPr="00DA76B3">
        <w:rPr>
          <w:rFonts w:ascii="宋体" w:hAnsi="宋体" w:hint="eastAsia"/>
          <w:bCs/>
          <w:szCs w:val="21"/>
        </w:rPr>
        <w:t>.</w:t>
      </w:r>
      <w:r w:rsidRPr="00DA76B3">
        <w:rPr>
          <w:rFonts w:asciiTheme="minorEastAsia" w:eastAsiaTheme="minorEastAsia" w:hAnsiTheme="minorEastAsia" w:hint="eastAsia"/>
          <w:szCs w:val="21"/>
        </w:rPr>
        <w:t>若占本基金相当比例的被投资基金暂停估值时；</w:t>
      </w:r>
    </w:p>
    <w:p w14:paraId="207DB0A5" w14:textId="77777777" w:rsidR="00C96543" w:rsidRPr="00DA76B3" w:rsidRDefault="009B5B1C">
      <w:pPr>
        <w:spacing w:line="360" w:lineRule="auto"/>
        <w:ind w:firstLineChars="200" w:firstLine="420"/>
        <w:rPr>
          <w:rFonts w:asciiTheme="minorEastAsia" w:eastAsiaTheme="minorEastAsia" w:hAnsiTheme="minorEastAsia"/>
          <w:b/>
          <w:szCs w:val="21"/>
        </w:rPr>
      </w:pPr>
      <w:r w:rsidRPr="00DA76B3">
        <w:rPr>
          <w:rFonts w:asciiTheme="minorEastAsia" w:eastAsiaTheme="minorEastAsia" w:hAnsiTheme="minorEastAsia"/>
          <w:szCs w:val="21"/>
        </w:rPr>
        <w:t>3.因不可抗力致使基金管理人、基金托管人无法准确评估基金资产价值时；</w:t>
      </w:r>
    </w:p>
    <w:p w14:paraId="10EE6237" w14:textId="77777777" w:rsidR="00C96543" w:rsidRPr="00DA76B3" w:rsidRDefault="009B5B1C">
      <w:pPr>
        <w:spacing w:line="360" w:lineRule="auto"/>
        <w:ind w:firstLineChars="200" w:firstLine="420"/>
        <w:rPr>
          <w:rFonts w:asciiTheme="minorEastAsia" w:eastAsiaTheme="minorEastAsia" w:hAnsiTheme="minorEastAsia"/>
          <w:bCs/>
          <w:szCs w:val="21"/>
        </w:rPr>
      </w:pPr>
      <w:r w:rsidRPr="00DA76B3">
        <w:rPr>
          <w:rFonts w:asciiTheme="minorEastAsia" w:eastAsiaTheme="minorEastAsia" w:hAnsiTheme="minorEastAsia"/>
          <w:szCs w:val="21"/>
        </w:rPr>
        <w:t>4.</w:t>
      </w:r>
      <w:r w:rsidRPr="00DA76B3">
        <w:rPr>
          <w:rFonts w:asciiTheme="minorEastAsia" w:eastAsiaTheme="minorEastAsia" w:hAnsiTheme="minorEastAsia" w:hint="eastAsia"/>
          <w:szCs w:val="21"/>
        </w:rPr>
        <w:t>当前一估值日基金资产净值50%以上的资产出现无可参考的活跃市场价格且采用估值技术仍导致公允价值存在重大不确定性时，经与基金托管人协商确认后，基金管理人应当暂停估值；</w:t>
      </w:r>
    </w:p>
    <w:p w14:paraId="243A9B45" w14:textId="77777777" w:rsidR="00C96543" w:rsidRPr="00DA76B3" w:rsidRDefault="009B5B1C">
      <w:pPr>
        <w:spacing w:line="360" w:lineRule="auto"/>
        <w:ind w:firstLineChars="200" w:firstLine="420"/>
        <w:rPr>
          <w:rFonts w:asciiTheme="minorEastAsia" w:eastAsiaTheme="minorEastAsia" w:hAnsiTheme="minorEastAsia"/>
          <w:bCs/>
          <w:szCs w:val="21"/>
        </w:rPr>
      </w:pPr>
      <w:r w:rsidRPr="00DA76B3">
        <w:rPr>
          <w:rFonts w:asciiTheme="minorEastAsia" w:eastAsiaTheme="minorEastAsia" w:hAnsiTheme="minorEastAsia"/>
          <w:bCs/>
          <w:szCs w:val="21"/>
        </w:rPr>
        <w:t>5</w:t>
      </w:r>
      <w:r w:rsidRPr="00DA76B3">
        <w:rPr>
          <w:rFonts w:asciiTheme="minorEastAsia" w:eastAsiaTheme="minorEastAsia" w:hAnsiTheme="minorEastAsia" w:hint="eastAsia"/>
          <w:bCs/>
          <w:szCs w:val="21"/>
        </w:rPr>
        <w:t>.中国证监会和基金合同认定的其它情形。</w:t>
      </w:r>
    </w:p>
    <w:p w14:paraId="77635DE3"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7" w:name="_Toc382819116"/>
      <w:bookmarkEnd w:id="56"/>
      <w:r w:rsidRPr="00DA76B3">
        <w:rPr>
          <w:rFonts w:ascii="宋体" w:eastAsia="宋体" w:hAnsi="宋体" w:hint="eastAsia"/>
          <w:b w:val="0"/>
          <w:bCs w:val="0"/>
          <w:sz w:val="21"/>
          <w:szCs w:val="21"/>
        </w:rPr>
        <w:t>（五）基金账册的建立</w:t>
      </w:r>
      <w:bookmarkEnd w:id="57"/>
    </w:p>
    <w:p w14:paraId="3A15B3A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6D9A77A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59EDBF13"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8" w:name="_Toc382819117"/>
      <w:r w:rsidRPr="00DA76B3">
        <w:rPr>
          <w:rFonts w:ascii="宋体" w:eastAsia="宋体" w:hAnsi="宋体" w:hint="eastAsia"/>
          <w:b w:val="0"/>
          <w:bCs w:val="0"/>
          <w:sz w:val="21"/>
          <w:szCs w:val="21"/>
        </w:rPr>
        <w:t>（六）基金定期报告的编制和复核</w:t>
      </w:r>
      <w:bookmarkEnd w:id="58"/>
    </w:p>
    <w:p w14:paraId="10C821BC"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基金财务报表由基金管理人和基金托管人每月分别独立编制。月度报表的编制，应于每月终了后5个工作日内完成。</w:t>
      </w:r>
    </w:p>
    <w:p w14:paraId="68C2D70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DA76B3">
        <w:rPr>
          <w:rFonts w:ascii="宋体" w:hAnsi="宋体" w:hint="eastAsia"/>
          <w:kern w:val="44"/>
          <w:szCs w:val="21"/>
        </w:rPr>
        <w:t>。</w:t>
      </w:r>
      <w:r w:rsidRPr="00DA76B3">
        <w:rPr>
          <w:rFonts w:ascii="宋体" w:hAnsi="宋体" w:hint="eastAsia"/>
          <w:szCs w:val="21"/>
        </w:rPr>
        <w:t>季度报告应在季度结束之日起15个工作日内编制完毕并登载在指定网站上，基金管理人将季度报告提示性公告登载在指定报刊上；中期报告在上半年结束之日起两个月内编制完毕并登载在指定网站上，基金管理人将中期报告提示性公告登载在指定报刊上；年度报告在每年结束之日起三个月内编制完毕并登载在指定网站上，基金管理人将年度报告提示性公告登载在指定报刊上。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w:t>
      </w:r>
      <w:r w:rsidRPr="00DA76B3">
        <w:rPr>
          <w:rFonts w:ascii="宋体" w:hAnsi="宋体"/>
          <w:szCs w:val="21"/>
        </w:rPr>
        <w:t>45</w:t>
      </w:r>
      <w:r w:rsidRPr="00DA76B3">
        <w:rPr>
          <w:rFonts w:ascii="宋体" w:hAnsi="宋体" w:hint="eastAsia"/>
          <w:szCs w:val="21"/>
        </w:rPr>
        <w:t>日内完成中期报告，在中期报告完成当日，将有关报告提供基金托管人复核，基金托管人在收到后</w:t>
      </w:r>
      <w:r w:rsidRPr="00DA76B3">
        <w:rPr>
          <w:rFonts w:ascii="宋体" w:hAnsi="宋体"/>
          <w:szCs w:val="21"/>
        </w:rPr>
        <w:t>15</w:t>
      </w:r>
      <w:r w:rsidRPr="00DA76B3">
        <w:rPr>
          <w:rFonts w:ascii="宋体" w:hAnsi="宋体" w:hint="eastAsia"/>
          <w:szCs w:val="21"/>
        </w:rPr>
        <w:t>日内进行复核，并将复核结果书面通知基金管理人。基金管理人在</w:t>
      </w:r>
      <w:r w:rsidRPr="00DA76B3">
        <w:rPr>
          <w:rFonts w:ascii="宋体" w:hAnsi="宋体"/>
          <w:szCs w:val="21"/>
        </w:rPr>
        <w:t>60</w:t>
      </w:r>
      <w:r w:rsidRPr="00DA76B3">
        <w:rPr>
          <w:rFonts w:ascii="宋体" w:hAnsi="宋体" w:hint="eastAsia"/>
          <w:szCs w:val="21"/>
        </w:rPr>
        <w:t>日内完成年度报告，在年度报告完成当日，将有关报告提供基金托管人复核，基金托管人在收到后</w:t>
      </w:r>
      <w:r w:rsidRPr="00DA76B3">
        <w:rPr>
          <w:rFonts w:ascii="宋体" w:hAnsi="宋体"/>
          <w:szCs w:val="21"/>
        </w:rPr>
        <w:t>30</w:t>
      </w:r>
      <w:r w:rsidRPr="00DA76B3">
        <w:rPr>
          <w:rFonts w:ascii="宋体" w:hAnsi="宋体" w:hint="eastAsia"/>
          <w:szCs w:val="21"/>
        </w:rPr>
        <w:t>日内复核，并将复核结果书面通知基金管理人。</w:t>
      </w:r>
    </w:p>
    <w:p w14:paraId="15BF139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sidRPr="00DA76B3">
        <w:rPr>
          <w:rFonts w:ascii="宋体" w:hAnsi="宋体" w:hint="eastAsia"/>
          <w:kern w:val="44"/>
          <w:szCs w:val="21"/>
        </w:rPr>
        <w:t>如果基金管理人与基金托管人不能于应当发布公告之日之前就相关报表达成一致，基金管理人有权按照其编制的报表对外发布公告，基金托管人有权就相关情况报中国证监会备案。</w:t>
      </w:r>
    </w:p>
    <w:p w14:paraId="5E5E38C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基金托管人在对财务会计报告、中期报告或年度报告复核完毕后，需盖章确认或出具相应的复核确认书，以备有权机构对相关文件审核时提示。</w:t>
      </w:r>
    </w:p>
    <w:p w14:paraId="5FB41BDA"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59" w:name="_Toc382819118"/>
      <w:r w:rsidRPr="00DA76B3">
        <w:rPr>
          <w:rFonts w:ascii="宋体" w:eastAsia="宋体" w:hAnsi="宋体" w:cs="Arial" w:hint="eastAsia"/>
          <w:sz w:val="28"/>
          <w:szCs w:val="28"/>
        </w:rPr>
        <w:t>基金收益分配</w:t>
      </w:r>
      <w:bookmarkEnd w:id="59"/>
    </w:p>
    <w:p w14:paraId="1B9D6EF0" w14:textId="77777777" w:rsidR="00C96543" w:rsidRPr="00DA76B3" w:rsidRDefault="009B5B1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0" w:name="_Toc382819119"/>
      <w:r w:rsidRPr="00DA76B3">
        <w:rPr>
          <w:rFonts w:ascii="宋体" w:eastAsia="宋体" w:hAnsi="宋体" w:hint="eastAsia"/>
          <w:b w:val="0"/>
          <w:bCs w:val="0"/>
          <w:sz w:val="21"/>
          <w:szCs w:val="21"/>
        </w:rPr>
        <w:t>（一）基金收益分配的原则</w:t>
      </w:r>
      <w:bookmarkEnd w:id="60"/>
    </w:p>
    <w:p w14:paraId="01B5A084"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基金收益分配是指将该基金可供分配利润按收益分配方案确定的分配金额和比例根据持有该基金份额的数量按比例向该基金份额持有人进行分配。</w:t>
      </w:r>
    </w:p>
    <w:p w14:paraId="2FDBABB1"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收益分配应该符合《基金合同》关于收益分配原则的规定。</w:t>
      </w:r>
      <w:bookmarkStart w:id="61" w:name="_Toc382819120"/>
    </w:p>
    <w:p w14:paraId="19566093"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（二）基金收益分配方案的制定和实施程序</w:t>
      </w:r>
      <w:bookmarkEnd w:id="61"/>
    </w:p>
    <w:p w14:paraId="21C3A585" w14:textId="77777777" w:rsidR="00C96543" w:rsidRPr="00DA76B3" w:rsidRDefault="009B5B1C">
      <w:pPr>
        <w:ind w:firstLine="640"/>
        <w:rPr>
          <w:rFonts w:ascii="宋体" w:hAnsi="宋体"/>
          <w:szCs w:val="21"/>
        </w:rPr>
      </w:pPr>
      <w:r w:rsidRPr="00DA76B3">
        <w:rPr>
          <w:rFonts w:ascii="宋体" w:hAnsi="宋体" w:hint="eastAsia"/>
          <w:szCs w:val="21"/>
        </w:rPr>
        <w:t>基金收益分配方案由基金管理人根据《基金合同》的相关规定制定。</w:t>
      </w:r>
    </w:p>
    <w:p w14:paraId="69B1A90B" w14:textId="77777777" w:rsidR="00C96543" w:rsidRPr="00DA76B3" w:rsidRDefault="009B5B1C">
      <w:pPr>
        <w:spacing w:line="360" w:lineRule="auto"/>
        <w:ind w:right="28" w:firstLineChars="300" w:firstLine="630"/>
        <w:rPr>
          <w:rFonts w:ascii="宋体" w:hAnsi="宋体"/>
          <w:szCs w:val="21"/>
        </w:rPr>
      </w:pPr>
      <w:r w:rsidRPr="00DA76B3">
        <w:rPr>
          <w:rFonts w:ascii="宋体" w:hAnsi="宋体" w:hint="eastAsia"/>
          <w:szCs w:val="21"/>
        </w:rPr>
        <w:t>基金收益分配方案由基金管理人拟定，并由基金托管人复核。复核通过后基金管理人应当将收益分配方案在指定媒介公告；如果基金管理人与基金托管人不能于收益分配日之前就收益分配方案达成一致，基金托管人有义务将收益分配方案及相关情况的说明提交中国证监会备案并书面通知基金管理人，在上述文件提交完毕之日起基金管理人有权利对外公告其拟订的收益分配方案，且基金托管人有义务协助基金管理人实施该收益分配方案，但有证据证明该方案违反法律法规及《基金合同》的除外。</w:t>
      </w:r>
    </w:p>
    <w:p w14:paraId="5FAF0102"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62" w:name="_Toc382819121"/>
      <w:r w:rsidRPr="00DA76B3">
        <w:rPr>
          <w:rFonts w:ascii="宋体" w:eastAsia="宋体" w:hAnsi="宋体" w:cs="Arial" w:hint="eastAsia"/>
          <w:sz w:val="28"/>
          <w:szCs w:val="28"/>
        </w:rPr>
        <w:t>信息披露</w:t>
      </w:r>
      <w:bookmarkEnd w:id="62"/>
    </w:p>
    <w:p w14:paraId="57C686C9" w14:textId="77777777" w:rsidR="00C96543" w:rsidRPr="00DA76B3" w:rsidRDefault="009B5B1C">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3" w:name="_Toc382819122"/>
      <w:r w:rsidRPr="00DA76B3">
        <w:rPr>
          <w:rFonts w:ascii="宋体" w:eastAsia="宋体" w:hAnsi="宋体" w:hint="eastAsia"/>
          <w:b w:val="0"/>
          <w:sz w:val="21"/>
          <w:szCs w:val="21"/>
        </w:rPr>
        <w:t>（一）</w:t>
      </w:r>
      <w:r w:rsidRPr="00DA76B3">
        <w:rPr>
          <w:rFonts w:ascii="宋体" w:eastAsia="宋体" w:hAnsi="宋体" w:cs="Arial" w:hint="eastAsia"/>
          <w:b w:val="0"/>
          <w:kern w:val="0"/>
          <w:sz w:val="21"/>
          <w:szCs w:val="21"/>
        </w:rPr>
        <w:t>保密义务</w:t>
      </w:r>
      <w:bookmarkEnd w:id="63"/>
    </w:p>
    <w:p w14:paraId="762DBDC9" w14:textId="77777777" w:rsidR="00C96543" w:rsidRPr="00DA76B3" w:rsidRDefault="009B5B1C">
      <w:pPr>
        <w:spacing w:line="360" w:lineRule="auto"/>
        <w:ind w:right="28" w:firstLineChars="200" w:firstLine="420"/>
        <w:rPr>
          <w:rFonts w:ascii="宋体" w:hAnsi="宋体"/>
          <w:szCs w:val="21"/>
        </w:rPr>
      </w:pPr>
      <w:r w:rsidRPr="00DA76B3">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53D6B005" w14:textId="77777777" w:rsidR="00C96543" w:rsidRPr="00DA76B3" w:rsidRDefault="009B5B1C">
      <w:pPr>
        <w:pStyle w:val="a6"/>
        <w:ind w:firstLineChars="200" w:firstLine="420"/>
        <w:rPr>
          <w:rFonts w:ascii="宋体" w:hAnsi="宋体"/>
          <w:szCs w:val="21"/>
        </w:rPr>
      </w:pPr>
      <w:r w:rsidRPr="00DA76B3">
        <w:rPr>
          <w:rFonts w:ascii="宋体" w:hAnsi="宋体" w:hint="eastAsia"/>
          <w:szCs w:val="21"/>
        </w:rPr>
        <w:t>1.非因基金管理人和基金托管人的原因导致保密信息被披露、泄露或公开；</w:t>
      </w:r>
    </w:p>
    <w:p w14:paraId="6E2B8E2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2.基金管理人和基金托管人为遵守和服从法院判决、仲裁裁决或中国证监会等监管机构的命令、决定所做出的信息披露或公开。</w:t>
      </w:r>
    </w:p>
    <w:p w14:paraId="17F93BF2" w14:textId="77777777" w:rsidR="00C96543" w:rsidRPr="00DA76B3" w:rsidRDefault="009B5B1C">
      <w:pPr>
        <w:tabs>
          <w:tab w:val="left" w:pos="4680"/>
        </w:tabs>
        <w:spacing w:line="360" w:lineRule="auto"/>
        <w:ind w:firstLineChars="200" w:firstLine="422"/>
        <w:rPr>
          <w:rFonts w:ascii="宋体" w:hAnsi="宋体"/>
          <w:szCs w:val="21"/>
        </w:rPr>
      </w:pPr>
      <w:r w:rsidRPr="00DA76B3">
        <w:rPr>
          <w:rFonts w:ascii="宋体" w:hAnsi="宋体" w:hint="eastAsia"/>
          <w:b/>
          <w:szCs w:val="21"/>
        </w:rPr>
        <w:t>（二）</w:t>
      </w:r>
      <w:r w:rsidRPr="00DA76B3">
        <w:rPr>
          <w:rFonts w:ascii="宋体" w:hAnsi="宋体" w:hint="eastAsia"/>
          <w:szCs w:val="21"/>
        </w:rPr>
        <w:t>信息披露的内容</w:t>
      </w:r>
    </w:p>
    <w:p w14:paraId="4F7D7B5E"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1BF2B7CB" w14:textId="67CD24C8"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本基金的信息披露主要包括基金招募说明书、基金产品资料概要、《基金合同》、基金托管协议、基金份额发售公告、《基金合同》生效公告、定期报告、临时公告、</w:t>
      </w:r>
      <w:r w:rsidR="00701E7E" w:rsidRPr="00DA76B3">
        <w:rPr>
          <w:rFonts w:ascii="宋体" w:hAnsi="宋体" w:hint="eastAsia"/>
          <w:szCs w:val="21"/>
        </w:rPr>
        <w:t>各类基金份额的</w:t>
      </w:r>
      <w:r w:rsidRPr="00DA76B3">
        <w:rPr>
          <w:rFonts w:ascii="宋体" w:hAnsi="宋体" w:hint="eastAsia"/>
          <w:szCs w:val="21"/>
        </w:rPr>
        <w:t>基金份额净值和基金份额累计净值等其他必要的公告文件，由基金管理人拟定并负责公布。</w:t>
      </w:r>
    </w:p>
    <w:p w14:paraId="498196C6"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基金管理人与基金托管人应严格遵守《基金合同》所规定的信息披露要求。基金资产净值、基金份额净值、基金业绩表现数据、基金定期报告、更新的招募说明书、基金产品资料概要、基金清算报告等公开披露的相关基金信息按有关规定需经基金托管人复核的，须由基金托管人进行复核、审查，并向基金管理人</w:t>
      </w:r>
      <w:r w:rsidRPr="00DA76B3">
        <w:rPr>
          <w:rFonts w:ascii="宋体" w:hAnsi="宋体" w:hint="eastAsia"/>
          <w:bCs/>
          <w:szCs w:val="21"/>
        </w:rPr>
        <w:t>进行书面或电子确认</w:t>
      </w:r>
      <w:r w:rsidRPr="00DA76B3">
        <w:rPr>
          <w:rFonts w:ascii="宋体" w:hAnsi="宋体" w:hint="eastAsia"/>
          <w:szCs w:val="21"/>
        </w:rPr>
        <w:t>。相关信息经基金托管人复核无误后方可公布。其他不需经基金托管人复核的信息披露内容，应及时告知基金托管人。</w:t>
      </w:r>
    </w:p>
    <w:p w14:paraId="0B821455"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年度报告中的财务会计报告部分，需经有证券、期货相关业务资格的会计师事务所审计后，方可披露。</w:t>
      </w:r>
    </w:p>
    <w:p w14:paraId="1852B1A9" w14:textId="77777777" w:rsidR="00C96543" w:rsidRPr="00DA76B3" w:rsidRDefault="009B5B1C">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4" w:name="_Toc382819123"/>
      <w:r w:rsidRPr="00DA76B3">
        <w:rPr>
          <w:rFonts w:ascii="宋体" w:eastAsia="宋体" w:hAnsi="宋体" w:hint="eastAsia"/>
          <w:b w:val="0"/>
          <w:bCs w:val="0"/>
          <w:sz w:val="21"/>
          <w:szCs w:val="21"/>
        </w:rPr>
        <w:t>基金管理人应当在中国证监会规定的时间内，将应予披露的基金信息通过中国证监会指定媒介披露。根据法律法规应由基金托管人公开披露的信息，基金托管人将通过指定报刊或基金托管人的互联网网站公开披露。</w:t>
      </w:r>
      <w:bookmarkEnd w:id="64"/>
    </w:p>
    <w:p w14:paraId="37765D63" w14:textId="77777777" w:rsidR="00C96543" w:rsidRPr="00DA76B3" w:rsidRDefault="009B5B1C">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5" w:name="_Toc382819124"/>
      <w:r w:rsidRPr="00DA76B3">
        <w:rPr>
          <w:rFonts w:ascii="宋体" w:eastAsia="宋体" w:hAnsi="宋体" w:hint="eastAsia"/>
          <w:b w:val="0"/>
          <w:bCs w:val="0"/>
          <w:sz w:val="21"/>
          <w:szCs w:val="21"/>
        </w:rPr>
        <w:t>（三）基金管理人和基金托管人在信息披露中的职责和信息披露程序</w:t>
      </w:r>
      <w:bookmarkEnd w:id="65"/>
    </w:p>
    <w:p w14:paraId="52E97342"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1、职责</w:t>
      </w:r>
    </w:p>
    <w:p w14:paraId="60F79214"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14ABE0B6"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2、程序</w:t>
      </w:r>
    </w:p>
    <w:p w14:paraId="20D8589F"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按有关规定须经基金托管人复核的信息披露文件，由基金管理人起草，并经基金托管人复核后由基金管理人公告。</w:t>
      </w:r>
    </w:p>
    <w:p w14:paraId="26CC8F93"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发生《基金合同》中规定需要披露的事项时，按《基金合同》规定公告。</w:t>
      </w:r>
    </w:p>
    <w:p w14:paraId="10ACBCA4" w14:textId="77777777" w:rsidR="00C96543" w:rsidRPr="00DA76B3" w:rsidRDefault="009B5B1C">
      <w:pPr>
        <w:tabs>
          <w:tab w:val="left" w:pos="4680"/>
        </w:tabs>
        <w:spacing w:line="360" w:lineRule="auto"/>
        <w:ind w:firstLineChars="200" w:firstLine="420"/>
        <w:rPr>
          <w:rFonts w:ascii="宋体" w:hAnsi="宋体"/>
          <w:szCs w:val="21"/>
        </w:rPr>
      </w:pPr>
      <w:r w:rsidRPr="00DA76B3">
        <w:rPr>
          <w:rFonts w:ascii="宋体" w:hAnsi="宋体" w:hint="eastAsia"/>
          <w:szCs w:val="21"/>
        </w:rPr>
        <w:t>3、信息文本的存放</w:t>
      </w:r>
    </w:p>
    <w:p w14:paraId="4DCDA8EF" w14:textId="77777777" w:rsidR="00C96543" w:rsidRPr="00DA76B3" w:rsidRDefault="009B5B1C">
      <w:pPr>
        <w:autoSpaceDE w:val="0"/>
        <w:autoSpaceDN w:val="0"/>
        <w:adjustRightInd w:val="0"/>
        <w:spacing w:line="360" w:lineRule="auto"/>
        <w:ind w:firstLineChars="200" w:firstLine="420"/>
        <w:rPr>
          <w:rFonts w:ascii="宋体" w:hAnsi="宋体"/>
          <w:szCs w:val="21"/>
        </w:rPr>
      </w:pPr>
      <w:r w:rsidRPr="00DA76B3">
        <w:rPr>
          <w:rFonts w:ascii="宋体" w:hAnsi="宋体" w:hint="eastAsia"/>
          <w:szCs w:val="21"/>
        </w:rPr>
        <w:t>依法必须披露的信息发布后，基金管理人、基金托管人应当按照相关法律法规规定将信息置备于各自住所，供社会公众查阅、复制。</w:t>
      </w:r>
    </w:p>
    <w:p w14:paraId="65D6ABFE" w14:textId="77777777" w:rsidR="00C96543" w:rsidRPr="00DA76B3" w:rsidRDefault="009B5B1C">
      <w:pPr>
        <w:autoSpaceDE w:val="0"/>
        <w:autoSpaceDN w:val="0"/>
        <w:adjustRightInd w:val="0"/>
        <w:spacing w:line="360" w:lineRule="auto"/>
        <w:ind w:firstLineChars="200" w:firstLine="420"/>
        <w:rPr>
          <w:rFonts w:ascii="宋体" w:hAnsi="宋体"/>
          <w:szCs w:val="21"/>
        </w:rPr>
      </w:pPr>
      <w:r w:rsidRPr="00DA76B3">
        <w:rPr>
          <w:rFonts w:ascii="宋体" w:hAnsi="宋体" w:hint="eastAsia"/>
          <w:szCs w:val="21"/>
        </w:rPr>
        <w:t>在支付工本费后可以获得上述文件的复制件或复印件。</w:t>
      </w:r>
    </w:p>
    <w:p w14:paraId="779120F0" w14:textId="77777777" w:rsidR="00C96543" w:rsidRPr="00DA76B3" w:rsidRDefault="009B5B1C">
      <w:pPr>
        <w:autoSpaceDE w:val="0"/>
        <w:autoSpaceDN w:val="0"/>
        <w:adjustRightInd w:val="0"/>
        <w:spacing w:line="360" w:lineRule="auto"/>
        <w:ind w:firstLineChars="200" w:firstLine="420"/>
        <w:rPr>
          <w:rFonts w:ascii="宋体" w:hAnsi="宋体"/>
          <w:szCs w:val="21"/>
        </w:rPr>
      </w:pPr>
      <w:r w:rsidRPr="00DA76B3">
        <w:rPr>
          <w:rFonts w:ascii="宋体" w:hAnsi="宋体" w:hint="eastAsia"/>
          <w:szCs w:val="21"/>
        </w:rPr>
        <w:t>基金管理人和基金托管人应保证文本的内容与所公告的内容完全一致。</w:t>
      </w:r>
    </w:p>
    <w:p w14:paraId="15A9861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4、暂停</w:t>
      </w:r>
      <w:r w:rsidRPr="00DA76B3">
        <w:rPr>
          <w:rFonts w:ascii="宋体" w:hAnsi="宋体" w:cs="Arial" w:hint="eastAsia"/>
          <w:szCs w:val="21"/>
        </w:rPr>
        <w:t>或延迟披露基金相关信息</w:t>
      </w:r>
      <w:r w:rsidRPr="00DA76B3">
        <w:rPr>
          <w:rFonts w:ascii="宋体" w:hAnsi="宋体" w:hint="eastAsia"/>
          <w:szCs w:val="21"/>
        </w:rPr>
        <w:t>的情形</w:t>
      </w:r>
    </w:p>
    <w:p w14:paraId="2389A6E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（1）基金投资涉及的证券交易市场遇法定节假日或因其他原因停市时；</w:t>
      </w:r>
    </w:p>
    <w:p w14:paraId="72D3B1A5" w14:textId="77777777" w:rsidR="00C96543" w:rsidRPr="00DA76B3" w:rsidRDefault="009B5B1C">
      <w:pPr>
        <w:pStyle w:val="ad"/>
        <w:spacing w:after="78"/>
        <w:ind w:firstLine="420"/>
        <w:rPr>
          <w:rFonts w:ascii="宋体" w:hAnsi="宋体"/>
          <w:sz w:val="21"/>
          <w:szCs w:val="21"/>
        </w:rPr>
      </w:pPr>
      <w:r w:rsidRPr="00DA76B3">
        <w:rPr>
          <w:rFonts w:ascii="宋体" w:hAnsi="宋体" w:hint="eastAsia"/>
          <w:sz w:val="21"/>
          <w:szCs w:val="21"/>
        </w:rPr>
        <w:t>（2）不可抗力；</w:t>
      </w:r>
    </w:p>
    <w:p w14:paraId="3E52F1B7" w14:textId="77777777" w:rsidR="00C96543" w:rsidRPr="00DA76B3" w:rsidRDefault="009B5B1C">
      <w:pPr>
        <w:spacing w:line="360" w:lineRule="auto"/>
        <w:ind w:right="28" w:firstLineChars="200" w:firstLine="420"/>
        <w:rPr>
          <w:rFonts w:ascii="宋体" w:hAnsi="宋体"/>
          <w:szCs w:val="21"/>
        </w:rPr>
      </w:pPr>
      <w:r w:rsidRPr="00DA76B3">
        <w:rPr>
          <w:rFonts w:ascii="宋体" w:hAnsi="宋体" w:hint="eastAsia"/>
          <w:szCs w:val="21"/>
        </w:rPr>
        <w:t>（3）出现基金合同约定的暂停估值的情形；</w:t>
      </w:r>
    </w:p>
    <w:p w14:paraId="0F0FCD2E" w14:textId="77777777" w:rsidR="00C96543" w:rsidRPr="00DA76B3" w:rsidRDefault="009B5B1C">
      <w:pPr>
        <w:spacing w:line="360" w:lineRule="auto"/>
        <w:ind w:right="28" w:firstLineChars="200" w:firstLine="420"/>
        <w:rPr>
          <w:rFonts w:ascii="宋体" w:hAnsi="宋体"/>
          <w:szCs w:val="21"/>
        </w:rPr>
      </w:pPr>
      <w:r w:rsidRPr="00DA76B3">
        <w:rPr>
          <w:rFonts w:ascii="宋体" w:hAnsi="宋体" w:hint="eastAsia"/>
          <w:szCs w:val="21"/>
        </w:rPr>
        <w:t>（4）中国证监会和《基金合同》认定的其他情形。</w:t>
      </w:r>
    </w:p>
    <w:p w14:paraId="6C3F0D10"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66" w:name="_Toc382819125"/>
      <w:r w:rsidRPr="00DA76B3">
        <w:rPr>
          <w:rFonts w:ascii="宋体" w:eastAsia="宋体" w:hAnsi="宋体" w:cs="Arial" w:hint="eastAsia"/>
          <w:sz w:val="28"/>
          <w:szCs w:val="28"/>
        </w:rPr>
        <w:t>基金费用</w:t>
      </w:r>
      <w:bookmarkEnd w:id="66"/>
    </w:p>
    <w:p w14:paraId="49E51739" w14:textId="77777777" w:rsidR="00C96543" w:rsidRPr="00DA76B3" w:rsidRDefault="009B5B1C">
      <w:pPr>
        <w:ind w:firstLine="420"/>
        <w:rPr>
          <w:lang w:val="zh-CN"/>
        </w:rPr>
      </w:pPr>
      <w:r w:rsidRPr="00DA76B3">
        <w:rPr>
          <w:rFonts w:ascii="宋体" w:hAnsi="宋体" w:hint="eastAsia"/>
          <w:szCs w:val="21"/>
        </w:rPr>
        <w:t>基金费用按照《基金合同》的约定计提和支付。</w:t>
      </w:r>
    </w:p>
    <w:p w14:paraId="74B8BBA6"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67" w:name="_Toc382819126"/>
      <w:r w:rsidRPr="00DA76B3">
        <w:rPr>
          <w:rFonts w:ascii="宋体" w:eastAsia="宋体" w:hAnsi="宋体" w:cs="Arial" w:hint="eastAsia"/>
          <w:sz w:val="28"/>
          <w:szCs w:val="28"/>
        </w:rPr>
        <w:t>基金份额持有人名册的保管</w:t>
      </w:r>
      <w:bookmarkEnd w:id="67"/>
    </w:p>
    <w:p w14:paraId="6E03B64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1F73CBA2"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基金份额持有人名册由基金的</w:t>
      </w:r>
      <w:r w:rsidRPr="00DA76B3">
        <w:rPr>
          <w:rFonts w:ascii="宋体" w:hAnsi="宋体" w:cs="Arial" w:hint="eastAsia"/>
          <w:szCs w:val="21"/>
        </w:rPr>
        <w:t>基金登记机构根据基金管理人的指令编制和保管</w:t>
      </w:r>
      <w:r w:rsidRPr="00DA76B3">
        <w:rPr>
          <w:rFonts w:ascii="宋体" w:hAnsi="宋体" w:hint="eastAsia"/>
          <w:szCs w:val="21"/>
        </w:rPr>
        <w:t>，基金管理人应按照目前相关规则保管基金份额持有人名册。保管方式可以采用电子或文档的形式。保管期限为15年，法律法规或监管部门另有规定的除外。</w:t>
      </w:r>
    </w:p>
    <w:p w14:paraId="3857CE9C" w14:textId="77777777" w:rsidR="00C96543" w:rsidRPr="00DA76B3" w:rsidRDefault="009B5B1C">
      <w:pPr>
        <w:spacing w:line="360" w:lineRule="auto"/>
        <w:ind w:firstLineChars="200" w:firstLine="420"/>
        <w:rPr>
          <w:rFonts w:ascii="宋体" w:hAnsi="宋体" w:cs="Arial"/>
          <w:szCs w:val="21"/>
        </w:rPr>
      </w:pPr>
      <w:r w:rsidRPr="00DA76B3">
        <w:rPr>
          <w:rFonts w:ascii="宋体" w:hAnsi="宋体" w:hint="eastAsia"/>
          <w:szCs w:val="21"/>
        </w:rPr>
        <w:t>在基金托管人编制中期报告和年度报告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1B9DF876"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68" w:name="_Toc382819127"/>
      <w:r w:rsidRPr="00DA76B3">
        <w:rPr>
          <w:rFonts w:ascii="宋体" w:eastAsia="宋体" w:hAnsi="宋体" w:cs="Arial" w:hint="eastAsia"/>
          <w:sz w:val="28"/>
          <w:szCs w:val="28"/>
        </w:rPr>
        <w:t>基金有关文件和档案的保存</w:t>
      </w:r>
      <w:bookmarkEnd w:id="68"/>
    </w:p>
    <w:p w14:paraId="16518CC7" w14:textId="77777777" w:rsidR="00C96543" w:rsidRPr="00DA76B3" w:rsidRDefault="009B5B1C">
      <w:pPr>
        <w:spacing w:line="360" w:lineRule="auto"/>
        <w:ind w:firstLineChars="200" w:firstLine="420"/>
        <w:rPr>
          <w:rFonts w:ascii="宋体" w:hAnsi="宋体" w:cs="Arial"/>
          <w:szCs w:val="21"/>
        </w:rPr>
      </w:pPr>
      <w:r w:rsidRPr="00DA76B3">
        <w:rPr>
          <w:rFonts w:ascii="宋体" w:hAnsi="宋体" w:cs="Arial" w:hint="eastAsia"/>
          <w:szCs w:val="21"/>
        </w:rPr>
        <w:t>（一）档案保存</w:t>
      </w:r>
    </w:p>
    <w:p w14:paraId="519273D3" w14:textId="77777777" w:rsidR="00C96543" w:rsidRPr="00DA76B3" w:rsidRDefault="009B5B1C">
      <w:pPr>
        <w:spacing w:line="360" w:lineRule="auto"/>
        <w:ind w:firstLineChars="200" w:firstLine="420"/>
        <w:rPr>
          <w:rFonts w:ascii="宋体" w:hAnsi="宋体" w:cs="Arial"/>
          <w:szCs w:val="21"/>
        </w:rPr>
      </w:pPr>
      <w:r w:rsidRPr="00DA76B3">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金托管业务活动的记录、账册、报表和其他相关资料。保存期限不少于15 年，法律法规或监管部门另有规定的除外。</w:t>
      </w:r>
    </w:p>
    <w:p w14:paraId="7A725511" w14:textId="77777777" w:rsidR="00C96543" w:rsidRPr="00DA76B3" w:rsidRDefault="009B5B1C">
      <w:pPr>
        <w:spacing w:line="360" w:lineRule="auto"/>
        <w:ind w:firstLineChars="200" w:firstLine="420"/>
        <w:rPr>
          <w:rFonts w:ascii="宋体" w:hAnsi="宋体" w:cs="Arial"/>
          <w:szCs w:val="21"/>
        </w:rPr>
      </w:pPr>
      <w:r w:rsidRPr="00DA76B3">
        <w:rPr>
          <w:rFonts w:ascii="宋体" w:hAnsi="宋体" w:cs="Arial" w:hint="eastAsia"/>
          <w:szCs w:val="21"/>
        </w:rPr>
        <w:t>（二）合同档案的建立</w:t>
      </w:r>
    </w:p>
    <w:p w14:paraId="0F367134" w14:textId="77777777" w:rsidR="00C96543" w:rsidRPr="00DA76B3" w:rsidRDefault="009B5B1C">
      <w:pPr>
        <w:spacing w:line="360" w:lineRule="auto"/>
        <w:ind w:firstLineChars="200" w:firstLine="420"/>
        <w:rPr>
          <w:rFonts w:ascii="宋体" w:hAnsi="宋体" w:cs="Arial"/>
          <w:szCs w:val="21"/>
        </w:rPr>
      </w:pPr>
      <w:r w:rsidRPr="00DA76B3">
        <w:rPr>
          <w:rFonts w:ascii="宋体" w:hAnsi="宋体" w:cs="Arial" w:hint="eastAsia"/>
          <w:szCs w:val="21"/>
        </w:rPr>
        <w:t>1、基金管理人或基金托管人在签署与本基金有关的合同文本后，应及时按相关法律法规及本协议的规定将合同正本或副本提交对方。</w:t>
      </w:r>
    </w:p>
    <w:p w14:paraId="36A18D77" w14:textId="77777777" w:rsidR="00C96543" w:rsidRPr="00DA76B3" w:rsidRDefault="009B5B1C">
      <w:pPr>
        <w:spacing w:line="360" w:lineRule="auto"/>
        <w:ind w:firstLineChars="200" w:firstLine="420"/>
        <w:rPr>
          <w:rFonts w:ascii="宋体" w:hAnsi="宋体" w:cs="Arial"/>
          <w:szCs w:val="21"/>
        </w:rPr>
      </w:pPr>
      <w:r w:rsidRPr="00DA76B3">
        <w:rPr>
          <w:rFonts w:ascii="宋体" w:hAnsi="宋体" w:cs="Arial" w:hint="eastAsia"/>
          <w:szCs w:val="21"/>
        </w:rPr>
        <w:t>2、基金管理人和基金托管人应按各自职责保管就基金资产对外签署的全部合同的正本。</w:t>
      </w:r>
    </w:p>
    <w:p w14:paraId="6EBCE332" w14:textId="77777777" w:rsidR="00C96543" w:rsidRPr="00DA76B3" w:rsidRDefault="009B5B1C">
      <w:pPr>
        <w:spacing w:line="360" w:lineRule="auto"/>
        <w:ind w:firstLineChars="200" w:firstLine="420"/>
        <w:rPr>
          <w:rFonts w:ascii="宋体" w:hAnsi="宋体" w:cs="Arial"/>
          <w:szCs w:val="21"/>
        </w:rPr>
      </w:pPr>
      <w:r w:rsidRPr="00DA76B3">
        <w:rPr>
          <w:rFonts w:ascii="宋体" w:hAnsi="宋体" w:cs="Arial" w:hint="eastAsia"/>
          <w:szCs w:val="21"/>
        </w:rPr>
        <w:t>（三）变更与协助</w:t>
      </w:r>
    </w:p>
    <w:p w14:paraId="5F64F49E" w14:textId="77777777" w:rsidR="00C96543" w:rsidRPr="00DA76B3" w:rsidRDefault="009B5B1C">
      <w:pPr>
        <w:spacing w:line="360" w:lineRule="auto"/>
        <w:ind w:firstLineChars="200" w:firstLine="420"/>
        <w:rPr>
          <w:rFonts w:ascii="宋体" w:hAnsi="宋体"/>
          <w:szCs w:val="21"/>
        </w:rPr>
      </w:pPr>
      <w:r w:rsidRPr="00DA76B3">
        <w:rPr>
          <w:rFonts w:ascii="宋体" w:hAnsi="宋体" w:cs="Arial" w:hint="eastAsia"/>
          <w:szCs w:val="21"/>
        </w:rPr>
        <w:t>若基金管理人和基金托管人发生变更，未变更的一方有义务协助变更后的接任人接收相应文件。</w:t>
      </w:r>
    </w:p>
    <w:p w14:paraId="3F092A30"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69" w:name="_Toc382819128"/>
      <w:r w:rsidRPr="00DA76B3">
        <w:rPr>
          <w:rFonts w:ascii="宋体" w:eastAsia="宋体" w:hAnsi="宋体" w:cs="Arial" w:hint="eastAsia"/>
          <w:sz w:val="28"/>
          <w:szCs w:val="28"/>
        </w:rPr>
        <w:t>基金管理人和基金托管人的更换</w:t>
      </w:r>
      <w:bookmarkEnd w:id="69"/>
    </w:p>
    <w:p w14:paraId="5DA456A4" w14:textId="77777777" w:rsidR="00C96543" w:rsidRPr="00DA76B3" w:rsidRDefault="009B5B1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0" w:name="_Toc382819129"/>
      <w:r w:rsidRPr="00DA76B3">
        <w:rPr>
          <w:rFonts w:ascii="宋体" w:eastAsia="宋体" w:hAnsi="宋体" w:cs="Arial" w:hint="eastAsia"/>
          <w:b w:val="0"/>
          <w:bCs w:val="0"/>
          <w:kern w:val="0"/>
          <w:sz w:val="21"/>
          <w:szCs w:val="21"/>
        </w:rPr>
        <w:t>（一）基金管理人的更换</w:t>
      </w:r>
      <w:bookmarkEnd w:id="70"/>
    </w:p>
    <w:p w14:paraId="049CBE4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1.基金管理人的更换条件</w:t>
      </w:r>
    </w:p>
    <w:p w14:paraId="0C3D58F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有下列情形之一的，基金管理人职责终止：</w:t>
      </w:r>
    </w:p>
    <w:p w14:paraId="288A5F5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 被依法取消基金管理资格；</w:t>
      </w:r>
    </w:p>
    <w:p w14:paraId="5F781FC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 被基金份额持有人大会解任；</w:t>
      </w:r>
    </w:p>
    <w:p w14:paraId="1E684F0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 依法解散、被依法撤销或被依法宣告破产；</w:t>
      </w:r>
    </w:p>
    <w:p w14:paraId="22AD177D"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 法律法规及中国证监会规定的和《基金合同》约定的其它情形。</w:t>
      </w:r>
    </w:p>
    <w:p w14:paraId="656ADC9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2.更换基金管理人的程序</w:t>
      </w:r>
    </w:p>
    <w:p w14:paraId="4F9E7AC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（1）提名：新任基金管理人由基金托管人或由单独或合计持有10%以上（含10%）基金份额的基金份额持有人提名；</w:t>
      </w:r>
    </w:p>
    <w:p w14:paraId="0DDA0FC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（2）决议：基金份额持有人大会在基金管理人职责终止后6个月内对被提名的基金管理人形成决议，该决议需经参加大会的基金份额持有人所持表决权的2/3以上（含2/3）表决通过；</w:t>
      </w:r>
    </w:p>
    <w:p w14:paraId="019BD7BB"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（3）临时基金管理人：新任基金管理人产生之前，由中国证监会指定临时基金管理人；</w:t>
      </w:r>
    </w:p>
    <w:p w14:paraId="52AFC84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（4）备案：基金份额持有人大会选任基金管理人的决议须报中国证监会备案；</w:t>
      </w:r>
    </w:p>
    <w:p w14:paraId="3CA2E6C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（5）公告：基金管理人更换后，由基金托管人在更换基金管理人的基金份额持有人大会决议生效后2日内在指定媒介公告；</w:t>
      </w:r>
    </w:p>
    <w:p w14:paraId="507BE17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资产总值；</w:t>
      </w:r>
    </w:p>
    <w:p w14:paraId="3B867504"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（7）审计：基金管理人职责终止的，应当按照法律法规规定聘请会计师事务所对基金财产进行审计，并将审计结果予以公告同时报中国证监会备案；</w:t>
      </w:r>
    </w:p>
    <w:p w14:paraId="3043F6EA"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（8）基金名称变更：基金管理人更换后，如果原任或新任基金管理人要求，应按其要求替换或删除基金名称中与原任基金管理人有关的名称字样。</w:t>
      </w:r>
    </w:p>
    <w:p w14:paraId="3A644E64"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原任基金管理人职责终止后，新任基金管理人或临时基金管理人接收基金管理业务前，原任基金管理人和基金托管人需采取审慎措施确保基金财产的安全，不对基金份额持有人的利益造成损失，并有义务协助新任基金管理人或临时基金管理人尽快恢复基金财产的投资运作。</w:t>
      </w:r>
    </w:p>
    <w:p w14:paraId="352034EF" w14:textId="77777777" w:rsidR="00C96543" w:rsidRPr="00DA76B3" w:rsidRDefault="009B5B1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1" w:name="_Toc382819130"/>
      <w:r w:rsidRPr="00DA76B3">
        <w:rPr>
          <w:rFonts w:ascii="宋体" w:eastAsia="宋体" w:hAnsi="宋体" w:cs="Arial" w:hint="eastAsia"/>
          <w:b w:val="0"/>
          <w:bCs w:val="0"/>
          <w:kern w:val="0"/>
          <w:sz w:val="21"/>
          <w:szCs w:val="21"/>
        </w:rPr>
        <w:t>（二）基金托管人的更换</w:t>
      </w:r>
      <w:bookmarkEnd w:id="71"/>
    </w:p>
    <w:p w14:paraId="2F9B902A"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1.基金托管人的更换条件</w:t>
      </w:r>
    </w:p>
    <w:p w14:paraId="7DF65ED7"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有下列情形之一的，基金托管人职责终止：</w:t>
      </w:r>
    </w:p>
    <w:p w14:paraId="6FA1582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 被依法取消基金托管人资格；</w:t>
      </w:r>
    </w:p>
    <w:p w14:paraId="1BC0190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 被基金份额持有人大会解任；</w:t>
      </w:r>
    </w:p>
    <w:p w14:paraId="338DE0D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 依法解散、被依法撤销或被依法宣告破产；</w:t>
      </w:r>
    </w:p>
    <w:p w14:paraId="64F66447"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 法律法规及中国证监会规定的和《基金合同》约定的其它情形。</w:t>
      </w:r>
    </w:p>
    <w:p w14:paraId="5B71D407"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2.更换基金托管人的程序</w:t>
      </w:r>
    </w:p>
    <w:p w14:paraId="38E00163"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（1）提名：新任基金托管人由基金管理人或由单独或合计持有10%以上（含10%）基金份额的基金份额持有人提名；</w:t>
      </w:r>
    </w:p>
    <w:p w14:paraId="04A1FB93"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（2）决议：基金份额持有人大会在基金托管人职责终止后6个月内对被提名的基金托管人形成决议，该决议需经参加大会的基金份额持有人所持表决权的2/3以上（含2/3）表决通过，并自表决通过之日起生效；</w:t>
      </w:r>
    </w:p>
    <w:p w14:paraId="553CEA40"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（3）临时基金托管人：新任基金托管人产生之前，由中国证监会指定临时基金托管人；</w:t>
      </w:r>
    </w:p>
    <w:p w14:paraId="1CF38DC4"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（4）备案：基金份额持有人大会更换基金托管人的决议须报中国证监会备案；</w:t>
      </w:r>
    </w:p>
    <w:p w14:paraId="46925CFD"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（5）公告：基金托管人更换后，由基金管理人在更换基金托管人的基金份额持有人大会决议生效后2日内在指定媒介公告。</w:t>
      </w:r>
    </w:p>
    <w:p w14:paraId="7806260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（6）</w:t>
      </w:r>
      <w:r w:rsidRPr="00DA76B3">
        <w:rPr>
          <w:rFonts w:ascii="宋体" w:hAnsi="宋体"/>
          <w:szCs w:val="21"/>
        </w:rPr>
        <w:t>交接：</w:t>
      </w:r>
      <w:r w:rsidRPr="00DA76B3">
        <w:rPr>
          <w:rFonts w:ascii="宋体" w:hAnsi="宋体"/>
          <w:bCs/>
          <w:szCs w:val="21"/>
        </w:rPr>
        <w:t>基金托管人职责终止的，应当妥善保管基金财产和基金托管业务资料，及时办理基金财产和基金托管业务的移交手续，新任基金托管人或者临时基金托管人应当及时接收。新任基金托管人</w:t>
      </w:r>
      <w:r w:rsidRPr="00DA76B3">
        <w:rPr>
          <w:rFonts w:ascii="宋体" w:hAnsi="宋体" w:hint="eastAsia"/>
          <w:bCs/>
          <w:szCs w:val="21"/>
        </w:rPr>
        <w:t>或临时基金托管人</w:t>
      </w:r>
      <w:r w:rsidRPr="00DA76B3">
        <w:rPr>
          <w:rFonts w:ascii="宋体" w:hAnsi="宋体"/>
          <w:bCs/>
          <w:szCs w:val="21"/>
        </w:rPr>
        <w:t>与基金管理人核对基金资产总值；</w:t>
      </w:r>
    </w:p>
    <w:p w14:paraId="1EECFB3D"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（7）审计：基金托管人职责终止的，应当按照法律法规规定聘请会计师事务所对基金财产进行审计，并予以公告，同时报中国证监会备案。</w:t>
      </w:r>
    </w:p>
    <w:p w14:paraId="046F04D7"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3.原基金托管人职责终止后，新任基金托管人或临时基金托管人接收基金财产和基金托管业务前，原基金托管人和基金管理人需采取审慎措施确保基金财产的安全，不对基金份额持有人的利益造成损失，并有义务协助新任基金托管人或临时基金托管人尽快交接基金资产。</w:t>
      </w:r>
    </w:p>
    <w:p w14:paraId="32196FFE" w14:textId="77777777" w:rsidR="00C96543" w:rsidRPr="00DA76B3" w:rsidRDefault="009B5B1C">
      <w:pPr>
        <w:spacing w:line="360" w:lineRule="auto"/>
        <w:ind w:firstLineChars="200" w:firstLine="420"/>
        <w:rPr>
          <w:rFonts w:ascii="宋体" w:hAnsi="宋体"/>
          <w:bCs/>
          <w:szCs w:val="21"/>
        </w:rPr>
      </w:pPr>
      <w:r w:rsidRPr="00DA76B3">
        <w:rPr>
          <w:rFonts w:ascii="宋体" w:hAnsi="宋体" w:hint="eastAsia"/>
          <w:bCs/>
          <w:szCs w:val="21"/>
        </w:rPr>
        <w:t>（三）</w:t>
      </w:r>
      <w:r w:rsidRPr="00DA76B3">
        <w:rPr>
          <w:rFonts w:ascii="宋体" w:hAnsi="宋体" w:hint="eastAsia"/>
          <w:bCs/>
          <w:szCs w:val="21"/>
        </w:rPr>
        <w:tab/>
        <w:t>基金管理人和基金托管人的同时更换程序</w:t>
      </w:r>
    </w:p>
    <w:p w14:paraId="14EA2C7B"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同时更换</w:t>
      </w:r>
      <w:r w:rsidRPr="00DA76B3">
        <w:rPr>
          <w:rFonts w:ascii="宋体" w:hAnsi="宋体" w:hint="eastAsia"/>
          <w:bCs/>
          <w:szCs w:val="21"/>
        </w:rPr>
        <w:t>基金管理人和基金托管人，分别按照上述基金管理人和基金托管人更换程序进行。</w:t>
      </w:r>
    </w:p>
    <w:p w14:paraId="76B92FEA"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72" w:name="_Toc382819131"/>
      <w:r w:rsidRPr="00DA76B3">
        <w:rPr>
          <w:rFonts w:ascii="宋体" w:eastAsia="宋体" w:hAnsi="宋体" w:cs="Arial" w:hint="eastAsia"/>
          <w:sz w:val="28"/>
          <w:szCs w:val="28"/>
        </w:rPr>
        <w:t>禁止行为</w:t>
      </w:r>
      <w:bookmarkEnd w:id="72"/>
    </w:p>
    <w:p w14:paraId="39701DEB"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托管协议当事人禁止从事的行为，包括但不限于：</w:t>
      </w:r>
    </w:p>
    <w:p w14:paraId="1D38883B"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（一）基金管理人、基金托管人将其固有财产或者他人财产混同于基金财产从事证券投资。</w:t>
      </w:r>
    </w:p>
    <w:p w14:paraId="1CCEFA54"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（二）基金管理人、基金托管人不公平地对待其管理或托管的不同基金财产。</w:t>
      </w:r>
    </w:p>
    <w:p w14:paraId="4B663983"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（三）基金管理人、基金托管人利用基金财产为基金份额持有人以外的第三人牟取利益。</w:t>
      </w:r>
    </w:p>
    <w:p w14:paraId="2BB93DFE"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（四）基金管理人、基金托管人向基金份额持有人违规承诺收益或者承担损失。</w:t>
      </w:r>
    </w:p>
    <w:p w14:paraId="7C8C0639"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（五）基金管理人、基金托管人对他人泄漏基金经营过程中任何尚未按法律法规规定的方式公开披露的信息。</w:t>
      </w:r>
    </w:p>
    <w:p w14:paraId="22D7A774"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（六）基金管理人在没有充足资金的情况下向基金托管人发出投资指令和赎回、分红资金的划拨指令，或违规向基金托管人发出指令。</w:t>
      </w:r>
    </w:p>
    <w:p w14:paraId="463FD299"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（七）基金托管人对基金管理人的符合本协议约定的有效指令拖延或拒绝执行。</w:t>
      </w:r>
    </w:p>
    <w:p w14:paraId="197F2009"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 xml:space="preserve">（八）基金管理人、基金托管人在行政上、财务上不独立，其高级基金管理人员相互兼职。 </w:t>
      </w:r>
    </w:p>
    <w:p w14:paraId="3CFCB4B0"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 xml:space="preserve">（九）基金托管人私自动用或处分基金资产，根据基金管理人的合法指令、基金合同或托管协议的规定进行处分的除外。 </w:t>
      </w:r>
    </w:p>
    <w:p w14:paraId="45AC9F5A"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十）基金管理人、基金托管人不得利用基金财产用于下列投资或者活动：（1）承销证券；（2）违反规定向他人贷款或者提供担保；（3）从事承担无限责任的投资；（4）向其基金管理人、基金托管人出资；（5）本基金不得持有具有复杂、衍生品性质的基金份额，包括分级基金份额和中国证监会认定的其他基金份额；（6）从事内幕交易、操纵证券交易价格及其他不正当的证券交易活动；（7）法律、行政法规和中国证监会规定禁止的其他活动。</w:t>
      </w:r>
    </w:p>
    <w:p w14:paraId="0A6A0A41"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（十一）法律法规和基金合同禁止的其他行为，以及依照法律法规有关规定，由中国证监会规定禁止基金管理人、基金托管人从事的其他行为。</w:t>
      </w:r>
    </w:p>
    <w:p w14:paraId="211808D3" w14:textId="77777777" w:rsidR="00C96543" w:rsidRPr="00DA76B3" w:rsidRDefault="009B5B1C">
      <w:pPr>
        <w:spacing w:line="360" w:lineRule="auto"/>
        <w:ind w:firstLineChars="225" w:firstLine="473"/>
        <w:rPr>
          <w:rFonts w:ascii="宋体" w:hAnsi="宋体"/>
          <w:szCs w:val="21"/>
        </w:rPr>
      </w:pPr>
      <w:r w:rsidRPr="00DA76B3">
        <w:rPr>
          <w:rFonts w:ascii="宋体" w:hAnsi="宋体" w:hint="eastAsia"/>
          <w:szCs w:val="21"/>
        </w:rPr>
        <w:t>（十二）法律、行政法规或监管部门取消或变更上述禁止性规定，如适用于本基金，基金管理人有权在履行适当程序后按照法律法规或监管部门调整或修改后的规定执行，并应向投资者履行信息披露义务。</w:t>
      </w:r>
      <w:bookmarkStart w:id="73" w:name="_Toc382819132"/>
    </w:p>
    <w:p w14:paraId="32175CBF"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r w:rsidRPr="00DA76B3">
        <w:rPr>
          <w:rFonts w:ascii="宋体" w:eastAsia="宋体" w:hAnsi="宋体" w:cs="Arial" w:hint="eastAsia"/>
          <w:sz w:val="28"/>
          <w:szCs w:val="28"/>
        </w:rPr>
        <w:t>基金托管协议的变更、终止与基金财产的清算</w:t>
      </w:r>
      <w:bookmarkEnd w:id="73"/>
    </w:p>
    <w:p w14:paraId="454DD9E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（一）托管协议的变更与终止</w:t>
      </w:r>
    </w:p>
    <w:p w14:paraId="56ADA74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1.托管协议的变更程序</w:t>
      </w:r>
    </w:p>
    <w:p w14:paraId="5EF6E3EC" w14:textId="77777777" w:rsidR="00C96543" w:rsidRPr="00DA76B3" w:rsidRDefault="009B5B1C">
      <w:pPr>
        <w:autoSpaceDE w:val="0"/>
        <w:autoSpaceDN w:val="0"/>
        <w:adjustRightInd w:val="0"/>
        <w:spacing w:line="360" w:lineRule="auto"/>
        <w:ind w:firstLineChars="200" w:firstLine="444"/>
        <w:jc w:val="left"/>
        <w:rPr>
          <w:rFonts w:ascii="宋体" w:hAnsi="宋体"/>
          <w:spacing w:val="6"/>
          <w:szCs w:val="21"/>
        </w:rPr>
      </w:pPr>
      <w:r w:rsidRPr="00DA76B3">
        <w:rPr>
          <w:rFonts w:ascii="宋体" w:hAnsi="宋体" w:hint="eastAsia"/>
          <w:spacing w:val="6"/>
          <w:szCs w:val="21"/>
        </w:rPr>
        <w:t>本协议双方当事人经协商一致，可以对协议的内容进行变更。变更后的托管协议，其内容不得与《基金合同》的规定有任何冲突，并需</w:t>
      </w:r>
      <w:r w:rsidRPr="00DA76B3">
        <w:rPr>
          <w:rFonts w:ascii="宋体" w:hAnsi="宋体" w:hint="eastAsia"/>
          <w:szCs w:val="21"/>
        </w:rPr>
        <w:t>经基金管理人、基金托管人加盖公章或合同专用章以及双方法定代表人或授权代理人签字（或盖章）确认</w:t>
      </w:r>
      <w:r w:rsidRPr="00DA76B3">
        <w:rPr>
          <w:rFonts w:ascii="宋体" w:hAnsi="宋体" w:hint="eastAsia"/>
          <w:spacing w:val="6"/>
          <w:szCs w:val="21"/>
        </w:rPr>
        <w:t>。基金托管协议的变更报中国证监会备案。</w:t>
      </w:r>
    </w:p>
    <w:p w14:paraId="4092B71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2.基金托管协议终止的情形</w:t>
      </w:r>
    </w:p>
    <w:p w14:paraId="5787C054" w14:textId="77777777" w:rsidR="00C96543" w:rsidRPr="00DA76B3" w:rsidRDefault="009B5B1C">
      <w:pPr>
        <w:autoSpaceDE w:val="0"/>
        <w:autoSpaceDN w:val="0"/>
        <w:adjustRightInd w:val="0"/>
        <w:spacing w:line="360" w:lineRule="auto"/>
        <w:ind w:firstLineChars="200" w:firstLine="444"/>
        <w:jc w:val="left"/>
        <w:rPr>
          <w:rFonts w:ascii="宋体" w:hAnsi="宋体"/>
          <w:spacing w:val="6"/>
          <w:szCs w:val="21"/>
        </w:rPr>
      </w:pPr>
      <w:r w:rsidRPr="00DA76B3">
        <w:rPr>
          <w:rFonts w:ascii="宋体" w:hAnsi="宋体" w:hint="eastAsia"/>
          <w:spacing w:val="6"/>
          <w:szCs w:val="21"/>
        </w:rPr>
        <w:t>发生以下情况，本托管协议终止：</w:t>
      </w:r>
    </w:p>
    <w:p w14:paraId="0DEA4CD5" w14:textId="77777777" w:rsidR="00C96543" w:rsidRPr="00DA76B3" w:rsidRDefault="009B5B1C">
      <w:pPr>
        <w:autoSpaceDE w:val="0"/>
        <w:autoSpaceDN w:val="0"/>
        <w:adjustRightInd w:val="0"/>
        <w:spacing w:line="360" w:lineRule="auto"/>
        <w:ind w:firstLineChars="200" w:firstLine="444"/>
        <w:jc w:val="left"/>
        <w:rPr>
          <w:rFonts w:ascii="宋体" w:hAnsi="宋体"/>
          <w:spacing w:val="6"/>
          <w:szCs w:val="21"/>
        </w:rPr>
      </w:pPr>
      <w:r w:rsidRPr="00DA76B3">
        <w:rPr>
          <w:rFonts w:ascii="宋体" w:hAnsi="宋体" w:hint="eastAsia"/>
          <w:spacing w:val="6"/>
          <w:szCs w:val="21"/>
        </w:rPr>
        <w:t>（1）《基金合同》终止；</w:t>
      </w:r>
    </w:p>
    <w:p w14:paraId="70923395" w14:textId="77777777" w:rsidR="00C96543" w:rsidRPr="00DA76B3" w:rsidRDefault="009B5B1C">
      <w:pPr>
        <w:autoSpaceDE w:val="0"/>
        <w:autoSpaceDN w:val="0"/>
        <w:adjustRightInd w:val="0"/>
        <w:spacing w:line="360" w:lineRule="auto"/>
        <w:ind w:firstLineChars="200" w:firstLine="444"/>
        <w:jc w:val="left"/>
        <w:rPr>
          <w:rFonts w:ascii="宋体" w:hAnsi="宋体"/>
          <w:spacing w:val="6"/>
          <w:szCs w:val="21"/>
        </w:rPr>
      </w:pPr>
      <w:r w:rsidRPr="00DA76B3">
        <w:rPr>
          <w:rFonts w:ascii="宋体" w:hAnsi="宋体" w:hint="eastAsia"/>
          <w:spacing w:val="6"/>
          <w:szCs w:val="21"/>
        </w:rPr>
        <w:t>（2）基金托管人解散、依法被撤销、破产或有其他基金托管人接管基金资产；</w:t>
      </w:r>
    </w:p>
    <w:p w14:paraId="33D1E1C7" w14:textId="77777777" w:rsidR="00C96543" w:rsidRPr="00DA76B3" w:rsidRDefault="009B5B1C">
      <w:pPr>
        <w:autoSpaceDE w:val="0"/>
        <w:autoSpaceDN w:val="0"/>
        <w:adjustRightInd w:val="0"/>
        <w:spacing w:line="360" w:lineRule="auto"/>
        <w:ind w:firstLineChars="200" w:firstLine="444"/>
        <w:jc w:val="left"/>
        <w:rPr>
          <w:rFonts w:ascii="宋体" w:hAnsi="宋体"/>
          <w:spacing w:val="6"/>
          <w:szCs w:val="21"/>
        </w:rPr>
      </w:pPr>
      <w:r w:rsidRPr="00DA76B3">
        <w:rPr>
          <w:rFonts w:ascii="宋体" w:hAnsi="宋体" w:hint="eastAsia"/>
          <w:spacing w:val="6"/>
          <w:szCs w:val="21"/>
        </w:rPr>
        <w:t>（3）基金管理人解散、依法被撤销、破产或有其他基金管理人接管基金管理权；</w:t>
      </w:r>
    </w:p>
    <w:p w14:paraId="15CF5282" w14:textId="77777777" w:rsidR="00C96543" w:rsidRPr="00DA76B3" w:rsidRDefault="009B5B1C">
      <w:pPr>
        <w:autoSpaceDE w:val="0"/>
        <w:autoSpaceDN w:val="0"/>
        <w:adjustRightInd w:val="0"/>
        <w:spacing w:line="360" w:lineRule="auto"/>
        <w:ind w:firstLineChars="200" w:firstLine="444"/>
        <w:jc w:val="left"/>
        <w:rPr>
          <w:rFonts w:ascii="宋体" w:hAnsi="宋体"/>
          <w:spacing w:val="6"/>
          <w:szCs w:val="21"/>
        </w:rPr>
      </w:pPr>
      <w:r w:rsidRPr="00DA76B3">
        <w:rPr>
          <w:rFonts w:ascii="宋体" w:hAnsi="宋体" w:hint="eastAsia"/>
          <w:spacing w:val="6"/>
          <w:szCs w:val="21"/>
        </w:rPr>
        <w:t>（4）发生法律法规或《基金合同》规定的终止事项。</w:t>
      </w:r>
    </w:p>
    <w:p w14:paraId="4D9CF614"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（二）基金财产的清算</w:t>
      </w:r>
    </w:p>
    <w:p w14:paraId="19994797"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285C3C08"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w:t>
      </w:r>
      <w:r w:rsidRPr="00DA76B3">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7577C004"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基金财产清算小组组成：基金财产清算小组成员由基金管理人、基金托管人、具有从事证券、期货相关业务资格的注册会计师、律师以及中国证监会指定的人员组成。基金财产清算小组可以聘用必要的工作人员。</w:t>
      </w:r>
    </w:p>
    <w:p w14:paraId="0E0E53BD"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4.基金财产清算小组职责：基金财产清算小组负责基金财产的保管、清理、估价、变现和分配。基金财产清算小组可以依法进行必要的民事活动。</w:t>
      </w:r>
    </w:p>
    <w:p w14:paraId="56AF3DEB" w14:textId="77777777" w:rsidR="00C96543" w:rsidRPr="00DA76B3" w:rsidRDefault="009B5B1C">
      <w:pPr>
        <w:tabs>
          <w:tab w:val="left" w:pos="6435"/>
        </w:tabs>
        <w:spacing w:line="360" w:lineRule="auto"/>
        <w:ind w:firstLineChars="200" w:firstLine="420"/>
        <w:rPr>
          <w:rFonts w:ascii="宋体" w:hAnsi="宋体"/>
          <w:szCs w:val="21"/>
        </w:rPr>
      </w:pPr>
      <w:r w:rsidRPr="00DA76B3">
        <w:rPr>
          <w:rFonts w:ascii="宋体" w:hAnsi="宋体" w:hint="eastAsia"/>
          <w:szCs w:val="21"/>
        </w:rPr>
        <w:t>5.基金财产清算程序：</w:t>
      </w:r>
      <w:r w:rsidRPr="00DA76B3">
        <w:rPr>
          <w:rFonts w:ascii="宋体" w:hAnsi="宋体" w:hint="eastAsia"/>
          <w:szCs w:val="21"/>
        </w:rPr>
        <w:tab/>
      </w:r>
    </w:p>
    <w:p w14:paraId="1BE74C6C"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（1）《基金合同》终止情形出现时，由基金财产清算小组统一接管基金；</w:t>
      </w:r>
    </w:p>
    <w:p w14:paraId="136B7BD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（2）对基金财产和债权债务进行清理和确认；</w:t>
      </w:r>
    </w:p>
    <w:p w14:paraId="1D7BA2B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（3）对基金财产进行估值和变现；</w:t>
      </w:r>
    </w:p>
    <w:p w14:paraId="2B1DAFE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（4）制作清算报告；</w:t>
      </w:r>
    </w:p>
    <w:p w14:paraId="2CF2FD74"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（5）</w:t>
      </w:r>
      <w:r w:rsidRPr="00DA76B3">
        <w:rPr>
          <w:rFonts w:ascii="宋体" w:hAnsi="宋体" w:hint="eastAsia"/>
          <w:bCs/>
          <w:szCs w:val="21"/>
        </w:rPr>
        <w:t>聘请会计师事务所对清算报告进行外部审计，聘请律师事务所对清算报告出具法律意见书；</w:t>
      </w:r>
    </w:p>
    <w:p w14:paraId="00F20344" w14:textId="77777777" w:rsidR="00C96543" w:rsidRPr="00DA76B3" w:rsidRDefault="009B5B1C">
      <w:pPr>
        <w:spacing w:line="360" w:lineRule="auto"/>
        <w:ind w:firstLineChars="100" w:firstLine="210"/>
        <w:rPr>
          <w:rFonts w:ascii="宋体" w:hAnsi="宋体"/>
          <w:kern w:val="0"/>
          <w:szCs w:val="21"/>
        </w:rPr>
      </w:pPr>
      <w:r w:rsidRPr="00DA76B3">
        <w:rPr>
          <w:rFonts w:ascii="宋体" w:hAnsi="宋体" w:hint="eastAsia"/>
          <w:szCs w:val="21"/>
        </w:rPr>
        <w:t xml:space="preserve"> （6）将清算报告报告中国证监会备案并公告；</w:t>
      </w:r>
    </w:p>
    <w:p w14:paraId="5F73FD0D"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（7）</w:t>
      </w:r>
      <w:r w:rsidRPr="00DA76B3">
        <w:rPr>
          <w:rFonts w:ascii="宋体" w:hAnsi="宋体" w:hint="eastAsia"/>
          <w:bCs/>
          <w:szCs w:val="21"/>
        </w:rPr>
        <w:t>对基金剩余财产进行分配。</w:t>
      </w:r>
    </w:p>
    <w:p w14:paraId="7FBFC226" w14:textId="77777777" w:rsidR="00C96543" w:rsidRPr="00DA76B3" w:rsidRDefault="009B5B1C">
      <w:pPr>
        <w:adjustRightInd w:val="0"/>
        <w:snapToGrid w:val="0"/>
        <w:spacing w:line="360" w:lineRule="auto"/>
        <w:ind w:firstLineChars="200" w:firstLine="420"/>
        <w:rPr>
          <w:rFonts w:ascii="宋体" w:hAnsi="宋体" w:cs="Arial"/>
          <w:szCs w:val="21"/>
        </w:rPr>
      </w:pPr>
      <w:r w:rsidRPr="00DA76B3">
        <w:rPr>
          <w:rFonts w:ascii="宋体" w:hAnsi="宋体" w:cs="Arial" w:hint="eastAsia"/>
          <w:szCs w:val="21"/>
        </w:rPr>
        <w:t>6.清算费用</w:t>
      </w:r>
    </w:p>
    <w:p w14:paraId="7A881CB8" w14:textId="77777777" w:rsidR="00C96543" w:rsidRPr="00DA76B3" w:rsidRDefault="009B5B1C">
      <w:pPr>
        <w:adjustRightInd w:val="0"/>
        <w:snapToGrid w:val="0"/>
        <w:spacing w:line="360" w:lineRule="auto"/>
        <w:ind w:firstLineChars="200" w:firstLine="420"/>
        <w:rPr>
          <w:rFonts w:ascii="宋体" w:hAnsi="宋体" w:cs="Arial"/>
          <w:szCs w:val="21"/>
        </w:rPr>
      </w:pPr>
      <w:r w:rsidRPr="00DA76B3">
        <w:rPr>
          <w:rFonts w:ascii="宋体" w:hAnsi="宋体" w:cs="Arial" w:hint="eastAsia"/>
          <w:szCs w:val="21"/>
        </w:rPr>
        <w:t>清算费用是指基金财产清算小组在进行基金清算过程中发生的所有合理费用，清算费用由基金财产清算小组优先从基金财产中支付。</w:t>
      </w:r>
    </w:p>
    <w:p w14:paraId="52C2B4DB" w14:textId="77777777" w:rsidR="00C96543" w:rsidRPr="00DA76B3" w:rsidRDefault="009B5B1C">
      <w:pPr>
        <w:adjustRightInd w:val="0"/>
        <w:snapToGrid w:val="0"/>
        <w:spacing w:line="360" w:lineRule="auto"/>
        <w:ind w:firstLineChars="200" w:firstLine="420"/>
        <w:rPr>
          <w:rFonts w:ascii="宋体" w:hAnsi="宋体" w:cs="Arial"/>
          <w:szCs w:val="21"/>
        </w:rPr>
      </w:pPr>
      <w:r w:rsidRPr="00DA76B3">
        <w:rPr>
          <w:rFonts w:ascii="宋体" w:hAnsi="宋体" w:cs="Arial" w:hint="eastAsia"/>
          <w:szCs w:val="21"/>
        </w:rPr>
        <w:t>7.基金财产按下列顺序清偿：</w:t>
      </w:r>
    </w:p>
    <w:p w14:paraId="12A112B3" w14:textId="77777777" w:rsidR="00C96543" w:rsidRPr="00DA76B3" w:rsidRDefault="009B5B1C">
      <w:pPr>
        <w:adjustRightInd w:val="0"/>
        <w:snapToGrid w:val="0"/>
        <w:spacing w:line="360" w:lineRule="auto"/>
        <w:ind w:firstLineChars="200" w:firstLine="420"/>
        <w:rPr>
          <w:rFonts w:ascii="宋体" w:hAnsi="宋体" w:cs="Arial"/>
          <w:szCs w:val="21"/>
        </w:rPr>
      </w:pPr>
      <w:r w:rsidRPr="00DA76B3">
        <w:rPr>
          <w:rFonts w:ascii="宋体" w:hAnsi="宋体" w:cs="Arial" w:hint="eastAsia"/>
          <w:szCs w:val="21"/>
        </w:rPr>
        <w:t>(1)支付清算费用；</w:t>
      </w:r>
    </w:p>
    <w:p w14:paraId="48570809" w14:textId="77777777" w:rsidR="00C96543" w:rsidRPr="00DA76B3" w:rsidRDefault="009B5B1C">
      <w:pPr>
        <w:adjustRightInd w:val="0"/>
        <w:snapToGrid w:val="0"/>
        <w:spacing w:line="360" w:lineRule="auto"/>
        <w:ind w:firstLineChars="200" w:firstLine="420"/>
        <w:rPr>
          <w:rFonts w:ascii="宋体" w:hAnsi="宋体" w:cs="Arial"/>
          <w:szCs w:val="21"/>
        </w:rPr>
      </w:pPr>
      <w:r w:rsidRPr="00DA76B3">
        <w:rPr>
          <w:rFonts w:ascii="宋体" w:hAnsi="宋体" w:cs="Arial" w:hint="eastAsia"/>
          <w:szCs w:val="21"/>
        </w:rPr>
        <w:t>(2)交纳所欠税款；</w:t>
      </w:r>
    </w:p>
    <w:p w14:paraId="4DDC2526" w14:textId="77777777" w:rsidR="00C96543" w:rsidRPr="00DA76B3" w:rsidRDefault="009B5B1C">
      <w:pPr>
        <w:adjustRightInd w:val="0"/>
        <w:snapToGrid w:val="0"/>
        <w:spacing w:line="360" w:lineRule="auto"/>
        <w:ind w:firstLineChars="200" w:firstLine="420"/>
        <w:rPr>
          <w:rFonts w:ascii="宋体" w:hAnsi="宋体" w:cs="Arial"/>
          <w:szCs w:val="21"/>
        </w:rPr>
      </w:pPr>
      <w:r w:rsidRPr="00DA76B3">
        <w:rPr>
          <w:rFonts w:ascii="宋体" w:hAnsi="宋体" w:cs="Arial" w:hint="eastAsia"/>
          <w:szCs w:val="21"/>
        </w:rPr>
        <w:t>(3)清偿基金债务；</w:t>
      </w:r>
    </w:p>
    <w:p w14:paraId="118A0184" w14:textId="77777777" w:rsidR="00C96543" w:rsidRPr="00DA76B3" w:rsidRDefault="009B5B1C">
      <w:pPr>
        <w:adjustRightInd w:val="0"/>
        <w:snapToGrid w:val="0"/>
        <w:spacing w:line="360" w:lineRule="auto"/>
        <w:ind w:firstLineChars="200" w:firstLine="420"/>
        <w:rPr>
          <w:rFonts w:ascii="宋体" w:hAnsi="宋体" w:cs="Arial"/>
          <w:szCs w:val="21"/>
        </w:rPr>
      </w:pPr>
      <w:r w:rsidRPr="00DA76B3">
        <w:rPr>
          <w:rFonts w:ascii="宋体" w:hAnsi="宋体" w:cs="Arial" w:hint="eastAsia"/>
          <w:szCs w:val="21"/>
        </w:rPr>
        <w:t>(4)按基金份额持有人持有的基金份额比例进行分配。</w:t>
      </w:r>
    </w:p>
    <w:p w14:paraId="7668EF34" w14:textId="77777777" w:rsidR="00C96543" w:rsidRPr="00DA76B3" w:rsidRDefault="009B5B1C">
      <w:pPr>
        <w:spacing w:line="360" w:lineRule="auto"/>
        <w:ind w:firstLine="200"/>
        <w:rPr>
          <w:rFonts w:ascii="宋体" w:hAnsi="宋体" w:cs="Arial"/>
          <w:szCs w:val="21"/>
        </w:rPr>
      </w:pPr>
      <w:r w:rsidRPr="00DA76B3">
        <w:rPr>
          <w:rFonts w:ascii="宋体" w:hAnsi="宋体" w:cs="Arial" w:hint="eastAsia"/>
          <w:szCs w:val="21"/>
        </w:rPr>
        <w:t>基金财产未按前款(1)－(3)项规定清偿前，不分配给基金份额持有人。</w:t>
      </w:r>
    </w:p>
    <w:p w14:paraId="32AD9E52" w14:textId="77777777" w:rsidR="00C96543" w:rsidRPr="00DA76B3" w:rsidRDefault="009B5B1C">
      <w:pPr>
        <w:spacing w:line="360" w:lineRule="auto"/>
        <w:ind w:firstLineChars="200" w:firstLine="420"/>
        <w:rPr>
          <w:rFonts w:ascii="宋体" w:hAnsi="宋体"/>
          <w:bCs/>
          <w:szCs w:val="21"/>
        </w:rPr>
      </w:pPr>
      <w:r w:rsidRPr="00DA76B3">
        <w:rPr>
          <w:rFonts w:ascii="宋体" w:hAnsi="宋体" w:hint="eastAsia"/>
          <w:bCs/>
          <w:szCs w:val="21"/>
        </w:rPr>
        <w:t>（三）基金财产清算的公告</w:t>
      </w:r>
    </w:p>
    <w:p w14:paraId="499F7027"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清算过程中的有关重大事项须及时公告；基金财产清算报告经具有证券、期货相关业务资格的会计师事务所审计并由律师事务所出具法律意见书后报中国证监会备案并公告，基金财产清算小组应当将清算报告登载在指定网站上，并将清算报告提示性公告登载在指定报刊上。基金财产清算公告于基金财产清算报告报中国证监会备案后5个工作日内由基金财产清算小组进行公告。</w:t>
      </w:r>
    </w:p>
    <w:p w14:paraId="049E6323" w14:textId="77777777" w:rsidR="00C96543" w:rsidRPr="00DA76B3" w:rsidRDefault="009B5B1C">
      <w:pPr>
        <w:spacing w:line="360" w:lineRule="auto"/>
        <w:ind w:firstLineChars="200" w:firstLine="420"/>
        <w:rPr>
          <w:rFonts w:ascii="宋体" w:hAnsi="宋体"/>
          <w:bCs/>
          <w:szCs w:val="21"/>
        </w:rPr>
      </w:pPr>
      <w:r w:rsidRPr="00DA76B3">
        <w:rPr>
          <w:rFonts w:ascii="宋体" w:hAnsi="宋体" w:hint="eastAsia"/>
          <w:bCs/>
          <w:szCs w:val="21"/>
        </w:rPr>
        <w:t>（四）基金财产清算账册及文件的保存</w:t>
      </w:r>
    </w:p>
    <w:p w14:paraId="4B4DD675" w14:textId="77777777" w:rsidR="00C96543" w:rsidRPr="00DA76B3" w:rsidRDefault="009B5B1C">
      <w:pPr>
        <w:spacing w:line="360" w:lineRule="auto"/>
        <w:ind w:firstLine="200"/>
        <w:rPr>
          <w:rFonts w:ascii="宋体" w:hAnsi="宋体"/>
          <w:szCs w:val="21"/>
        </w:rPr>
      </w:pPr>
      <w:r w:rsidRPr="00DA76B3">
        <w:rPr>
          <w:rFonts w:ascii="宋体" w:hAnsi="宋体" w:hint="eastAsia"/>
          <w:szCs w:val="21"/>
        </w:rPr>
        <w:t>基金财产清算账册及有关文件由基金托管人保存15年以上。</w:t>
      </w:r>
    </w:p>
    <w:p w14:paraId="04292ECF"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74" w:name="_Toc382819133"/>
      <w:r w:rsidRPr="00DA76B3">
        <w:rPr>
          <w:rFonts w:ascii="宋体" w:eastAsia="宋体" w:hAnsi="宋体" w:cs="Arial" w:hint="eastAsia"/>
          <w:sz w:val="28"/>
          <w:szCs w:val="28"/>
        </w:rPr>
        <w:t>违约责任</w:t>
      </w:r>
      <w:bookmarkEnd w:id="74"/>
    </w:p>
    <w:p w14:paraId="3AF568AE" w14:textId="77777777" w:rsidR="00C96543" w:rsidRPr="00DA76B3" w:rsidRDefault="009B5B1C">
      <w:pPr>
        <w:spacing w:line="360" w:lineRule="auto"/>
        <w:ind w:firstLineChars="200" w:firstLine="420"/>
        <w:rPr>
          <w:bCs/>
          <w:szCs w:val="21"/>
        </w:rPr>
      </w:pPr>
      <w:r w:rsidRPr="00DA76B3">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sidRPr="00DA76B3">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sidRPr="00DA76B3">
        <w:rPr>
          <w:rFonts w:ascii="宋体" w:hAnsi="宋体" w:hint="eastAsia"/>
          <w:szCs w:val="21"/>
        </w:rPr>
        <w:t>但是发生下列情况，当事人免责：</w:t>
      </w:r>
    </w:p>
    <w:p w14:paraId="73BDBEDD"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1.基金管理人及基金托管人按照当时有效的法律法规或中国证监会的规定作为或不作为而造成的损失等；</w:t>
      </w:r>
    </w:p>
    <w:p w14:paraId="51501474"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2.在没有欺诈或过失的情况下，基金管理人由于按照《基金合同》规定的投资原则而行使或不行使其投资权而造成的损失等；</w:t>
      </w:r>
    </w:p>
    <w:p w14:paraId="082D7CD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3.不可抗力。</w:t>
      </w:r>
    </w:p>
    <w:p w14:paraId="541AD749"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（二）由于基金管理人及基金托管人不可控制的因素</w:t>
      </w:r>
      <w:r w:rsidRPr="00DA76B3">
        <w:rPr>
          <w:rFonts w:hint="eastAsia"/>
          <w:bCs/>
          <w:szCs w:val="21"/>
        </w:rPr>
        <w:t>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r w:rsidRPr="00DA76B3">
        <w:rPr>
          <w:rFonts w:ascii="宋体" w:hAnsi="宋体" w:hint="eastAsia"/>
          <w:szCs w:val="21"/>
        </w:rPr>
        <w:t>。</w:t>
      </w:r>
    </w:p>
    <w:p w14:paraId="24C1F88B" w14:textId="77777777" w:rsidR="00C96543" w:rsidRPr="00DA76B3" w:rsidRDefault="009B5B1C">
      <w:pPr>
        <w:spacing w:line="360" w:lineRule="auto"/>
        <w:ind w:firstLineChars="200" w:firstLine="420"/>
        <w:rPr>
          <w:rFonts w:ascii="宋体" w:hAnsi="宋体"/>
          <w:szCs w:val="21"/>
          <w:lang w:val="zh-CN"/>
        </w:rPr>
      </w:pPr>
      <w:r w:rsidRPr="00DA76B3">
        <w:rPr>
          <w:rFonts w:ascii="宋体" w:hAnsi="宋体" w:hint="eastAsia"/>
          <w:szCs w:val="21"/>
        </w:rPr>
        <w:t>（三）</w:t>
      </w:r>
      <w:r w:rsidRPr="00DA76B3">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068AAFD"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75" w:name="_Toc382819134"/>
      <w:r w:rsidRPr="00DA76B3">
        <w:rPr>
          <w:rFonts w:ascii="宋体" w:eastAsia="宋体" w:hAnsi="宋体" w:cs="Arial" w:hint="eastAsia"/>
          <w:sz w:val="28"/>
          <w:szCs w:val="28"/>
        </w:rPr>
        <w:t>适用法律及争议解决方式</w:t>
      </w:r>
      <w:bookmarkEnd w:id="75"/>
    </w:p>
    <w:p w14:paraId="0A74721F" w14:textId="77777777" w:rsidR="00C96543" w:rsidRPr="00DA76B3" w:rsidRDefault="009B5B1C">
      <w:pPr>
        <w:spacing w:line="360" w:lineRule="auto"/>
        <w:ind w:firstLineChars="200" w:firstLine="420"/>
        <w:rPr>
          <w:rFonts w:ascii="宋体" w:hAnsi="宋体"/>
          <w:szCs w:val="21"/>
          <w:lang w:val="zh-CN"/>
        </w:rPr>
      </w:pPr>
      <w:r w:rsidRPr="00DA76B3">
        <w:rPr>
          <w:rFonts w:ascii="宋体" w:hAnsi="宋体" w:hint="eastAsia"/>
          <w:szCs w:val="21"/>
          <w:lang w:val="zh-CN"/>
        </w:rPr>
        <w:t>（一）</w:t>
      </w:r>
      <w:r w:rsidRPr="00DA76B3">
        <w:rPr>
          <w:rFonts w:ascii="宋体" w:hAnsi="宋体" w:hint="eastAsia"/>
          <w:szCs w:val="21"/>
        </w:rPr>
        <w:t>本协议适用中华人民共和国法律（为本协议之目的，在此不包括香港、澳门特别行政区和台湾地区法律），并从其解释。</w:t>
      </w:r>
    </w:p>
    <w:p w14:paraId="304ACA4E"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（二）双方当事人同意，因本协议而产生的或与本协议有关的一切争议，除经友好协商可以解决的，应提交中国国际经济贸易仲裁委员会，根据该会届时有效的仲裁规则进行仲裁，仲裁的地点在</w:t>
      </w:r>
      <w:r w:rsidRPr="00DA76B3">
        <w:rPr>
          <w:rFonts w:ascii="宋体" w:hAnsi="宋体" w:hint="eastAsia"/>
          <w:b/>
          <w:szCs w:val="21"/>
          <w:u w:val="single"/>
        </w:rPr>
        <w:t>北京</w:t>
      </w:r>
      <w:r w:rsidRPr="00DA76B3">
        <w:rPr>
          <w:rFonts w:ascii="宋体" w:hAnsi="宋体" w:hint="eastAsia"/>
          <w:szCs w:val="21"/>
        </w:rPr>
        <w:t>，仲裁裁决是终局性的并对相关各方均有约束力，除非仲裁裁决另有规定，仲裁费用由败诉方承担。</w:t>
      </w:r>
    </w:p>
    <w:p w14:paraId="403FF145"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争议处理期间，双方当事人应恪守基金管理人和基金托管人职责，继续忠实、勤勉、尽责地履行《基金合同》和本托管协议规定的义务，维护基金份额持有人的合法权益。</w:t>
      </w:r>
    </w:p>
    <w:p w14:paraId="7017C339"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bookmarkStart w:id="76" w:name="_Toc382819135"/>
      <w:r w:rsidRPr="00DA76B3">
        <w:rPr>
          <w:rFonts w:ascii="宋体" w:eastAsia="宋体" w:hAnsi="宋体" w:cs="Arial" w:hint="eastAsia"/>
          <w:sz w:val="28"/>
          <w:szCs w:val="28"/>
        </w:rPr>
        <w:t>基金托管协议的效力和文本</w:t>
      </w:r>
      <w:bookmarkEnd w:id="76"/>
    </w:p>
    <w:p w14:paraId="5AA955C5" w14:textId="77777777" w:rsidR="00C96543" w:rsidRPr="00DA76B3" w:rsidRDefault="009B5B1C">
      <w:pPr>
        <w:pStyle w:val="a6"/>
        <w:rPr>
          <w:rFonts w:ascii="宋体" w:hAnsi="宋体"/>
          <w:szCs w:val="21"/>
        </w:rPr>
      </w:pPr>
      <w:r w:rsidRPr="00DA76B3">
        <w:rPr>
          <w:rFonts w:ascii="宋体" w:hAnsi="宋体" w:hint="eastAsia"/>
          <w:szCs w:val="21"/>
        </w:rPr>
        <w:t>（一）</w:t>
      </w:r>
      <w:r w:rsidRPr="00DA76B3">
        <w:rPr>
          <w:rFonts w:ascii="宋体" w:hAnsi="宋体" w:cs="Arial" w:hint="eastAsia"/>
          <w:kern w:val="44"/>
          <w:szCs w:val="21"/>
        </w:rPr>
        <w:t>本协议经基金管理人、基金托管人双方法定代表人或授权代理人签字（或盖章）并加盖公章（或合同专用章）后成立</w:t>
      </w:r>
      <w:r w:rsidRPr="00DA76B3">
        <w:rPr>
          <w:rFonts w:ascii="宋体" w:hAnsi="宋体" w:hint="eastAsia"/>
          <w:szCs w:val="21"/>
        </w:rPr>
        <w:t>。本协议以中国证监会注册的文本为正式文本。</w:t>
      </w:r>
    </w:p>
    <w:p w14:paraId="2D4C4E58" w14:textId="77777777" w:rsidR="00C96543" w:rsidRPr="00DA76B3" w:rsidRDefault="009B5B1C">
      <w:pPr>
        <w:pStyle w:val="a6"/>
        <w:rPr>
          <w:rFonts w:ascii="宋体" w:hAnsi="宋体"/>
          <w:szCs w:val="21"/>
        </w:rPr>
      </w:pPr>
      <w:r w:rsidRPr="00DA76B3">
        <w:rPr>
          <w:rFonts w:ascii="宋体" w:hAnsi="宋体" w:hint="eastAsia"/>
          <w:szCs w:val="21"/>
        </w:rPr>
        <w:t>（二）本协议自《基金合同》生效之日起生效，有效期自其生效之日起至该基金财产清算结果报中国证监会备案并公告之日止。</w:t>
      </w:r>
    </w:p>
    <w:p w14:paraId="63664F66"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（三）本协议自生效之日起对各当事人具有同等的法律约束力。</w:t>
      </w:r>
    </w:p>
    <w:p w14:paraId="6700D631" w14:textId="77777777" w:rsidR="00C96543" w:rsidRPr="00DA76B3" w:rsidRDefault="009B5B1C">
      <w:pPr>
        <w:spacing w:line="360" w:lineRule="auto"/>
        <w:ind w:firstLineChars="200" w:firstLine="420"/>
        <w:rPr>
          <w:rFonts w:ascii="宋体" w:hAnsi="宋体"/>
          <w:szCs w:val="21"/>
        </w:rPr>
      </w:pPr>
      <w:r w:rsidRPr="00DA76B3">
        <w:rPr>
          <w:rFonts w:ascii="宋体" w:hAnsi="宋体" w:hint="eastAsia"/>
          <w:szCs w:val="21"/>
        </w:rPr>
        <w:t>（四）本协议一式陆份，除上报有关监管机构贰份外，基金管理人和基金托管人分别持贰份，每份具有同等的法律效力。</w:t>
      </w:r>
    </w:p>
    <w:p w14:paraId="26260359" w14:textId="77777777" w:rsidR="00C96543" w:rsidRPr="00DA76B3" w:rsidRDefault="009B5B1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8"/>
          <w:szCs w:val="28"/>
        </w:rPr>
      </w:pPr>
      <w:r w:rsidRPr="00DA76B3">
        <w:rPr>
          <w:rFonts w:ascii="宋体" w:eastAsia="宋体" w:hAnsi="宋体" w:cs="Arial" w:hint="eastAsia"/>
          <w:sz w:val="28"/>
          <w:szCs w:val="28"/>
        </w:rPr>
        <w:t xml:space="preserve"> </w:t>
      </w:r>
      <w:bookmarkStart w:id="77" w:name="_Toc382819136"/>
      <w:r w:rsidRPr="00DA76B3">
        <w:rPr>
          <w:rFonts w:ascii="宋体" w:eastAsia="宋体" w:hAnsi="宋体" w:cs="Arial" w:hint="eastAsia"/>
          <w:sz w:val="28"/>
          <w:szCs w:val="28"/>
        </w:rPr>
        <w:t>其他事项</w:t>
      </w:r>
      <w:bookmarkEnd w:id="77"/>
    </w:p>
    <w:p w14:paraId="1B5B363D" w14:textId="77777777" w:rsidR="00C96543" w:rsidRPr="00DA76B3" w:rsidRDefault="009B5B1C">
      <w:pPr>
        <w:pStyle w:val="a6"/>
        <w:rPr>
          <w:rFonts w:ascii="宋体" w:hAnsi="宋体"/>
          <w:szCs w:val="21"/>
        </w:rPr>
      </w:pPr>
      <w:r w:rsidRPr="00DA76B3">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153C91E3" w14:textId="77777777" w:rsidR="00C96543" w:rsidRPr="00DA76B3" w:rsidRDefault="009B5B1C">
      <w:pPr>
        <w:pStyle w:val="a6"/>
        <w:rPr>
          <w:rFonts w:ascii="宋体" w:hAnsi="宋体"/>
          <w:szCs w:val="21"/>
        </w:rPr>
      </w:pPr>
      <w:r w:rsidRPr="00DA76B3">
        <w:rPr>
          <w:rFonts w:ascii="宋体" w:hAnsi="宋体" w:hint="eastAsia"/>
          <w:szCs w:val="21"/>
        </w:rPr>
        <w:t>（二）本协议未尽事宜，当事人依据《基金合同》以及有关法律、法规和规定协商办理。</w:t>
      </w:r>
    </w:p>
    <w:p w14:paraId="4FB56F21" w14:textId="77777777" w:rsidR="00C96543" w:rsidRDefault="009B5B1C">
      <w:pPr>
        <w:pStyle w:val="a6"/>
        <w:ind w:firstLineChars="0" w:firstLine="0"/>
      </w:pPr>
      <w:r w:rsidRPr="00DA76B3">
        <w:rPr>
          <w:rFonts w:ascii="宋体" w:hAnsi="宋体" w:hint="eastAsia"/>
          <w:szCs w:val="21"/>
        </w:rPr>
        <w:t>（以下无正文）</w:t>
      </w:r>
    </w:p>
    <w:sectPr w:rsidR="00C96543">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0BB5D6" w14:textId="77777777" w:rsidR="00D770C6" w:rsidRDefault="00D770C6">
      <w:r>
        <w:separator/>
      </w:r>
    </w:p>
  </w:endnote>
  <w:endnote w:type="continuationSeparator" w:id="0">
    <w:p w14:paraId="0D857737" w14:textId="77777777" w:rsidR="00D770C6" w:rsidRDefault="00D7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399237"/>
      <w:docPartObj>
        <w:docPartGallery w:val="AutoText"/>
      </w:docPartObj>
    </w:sdtPr>
    <w:sdtEndPr/>
    <w:sdtContent>
      <w:p w14:paraId="1395030E" w14:textId="51E9B07F" w:rsidR="00C96543" w:rsidRDefault="009B5B1C">
        <w:pPr>
          <w:pStyle w:val="a8"/>
          <w:jc w:val="center"/>
        </w:pPr>
        <w:r>
          <w:fldChar w:fldCharType="begin"/>
        </w:r>
        <w:r>
          <w:instrText>PAGE   \* MERGEFORMAT</w:instrText>
        </w:r>
        <w:r>
          <w:fldChar w:fldCharType="separate"/>
        </w:r>
        <w:r w:rsidR="002E2EB0" w:rsidRPr="002E2EB0">
          <w:rPr>
            <w:noProof/>
            <w:lang w:val="zh-CN"/>
          </w:rPr>
          <w:t>2</w:t>
        </w:r>
        <w:r>
          <w:fldChar w:fldCharType="end"/>
        </w:r>
      </w:p>
    </w:sdtContent>
  </w:sdt>
  <w:p w14:paraId="56A2F0E6" w14:textId="77777777" w:rsidR="00C96543" w:rsidRDefault="00C96543">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670206"/>
      <w:docPartObj>
        <w:docPartGallery w:val="AutoText"/>
      </w:docPartObj>
    </w:sdtPr>
    <w:sdtEndPr/>
    <w:sdtContent>
      <w:p w14:paraId="3AB4C6F1" w14:textId="7BD651D4" w:rsidR="00C96543" w:rsidRDefault="009B5B1C">
        <w:pPr>
          <w:pStyle w:val="a8"/>
          <w:jc w:val="center"/>
        </w:pPr>
        <w:r>
          <w:fldChar w:fldCharType="begin"/>
        </w:r>
        <w:r>
          <w:instrText>PAGE   \* MERGEFORMAT</w:instrText>
        </w:r>
        <w:r>
          <w:fldChar w:fldCharType="separate"/>
        </w:r>
        <w:r w:rsidR="002E2EB0" w:rsidRPr="002E2EB0">
          <w:rPr>
            <w:noProof/>
            <w:lang w:val="zh-CN"/>
          </w:rPr>
          <w:t>20</w:t>
        </w:r>
        <w:r>
          <w:fldChar w:fldCharType="end"/>
        </w:r>
      </w:p>
    </w:sdtContent>
  </w:sdt>
  <w:p w14:paraId="4440E6AA" w14:textId="77777777" w:rsidR="00C96543" w:rsidRDefault="00C965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FD1ABC" w14:textId="77777777" w:rsidR="00D770C6" w:rsidRDefault="00D770C6">
      <w:r>
        <w:separator/>
      </w:r>
    </w:p>
  </w:footnote>
  <w:footnote w:type="continuationSeparator" w:id="0">
    <w:p w14:paraId="6D52A22D" w14:textId="77777777" w:rsidR="00D770C6" w:rsidRDefault="00D77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A5A11" w14:textId="77777777" w:rsidR="00C96543" w:rsidRDefault="009B5B1C">
    <w:pPr>
      <w:pStyle w:val="a9"/>
      <w:wordWrap w:val="0"/>
      <w:jc w:val="right"/>
    </w:pPr>
    <w:r>
      <w:rPr>
        <w:rFonts w:hint="eastAsia"/>
      </w:rPr>
      <w:t>天弘永裕稳健养老目标一年持有期混合型基金中基金（</w:t>
    </w:r>
    <w:r>
      <w:rPr>
        <w:rFonts w:hint="eastAsia"/>
      </w:rPr>
      <w:t>FOF</w:t>
    </w:r>
    <w:r>
      <w:rPr>
        <w:rFonts w:hint="eastAsia"/>
      </w:rPr>
      <w:t>）</w:t>
    </w:r>
    <w:r>
      <w:rPr>
        <w:rFonts w:hint="eastAsia"/>
      </w:rPr>
      <w:t xml:space="preserve">        </w:t>
    </w:r>
    <w:r>
      <w:t xml:space="preserve">                       </w:t>
    </w:r>
    <w:r>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02979" w14:textId="77777777" w:rsidR="00C96543" w:rsidRDefault="009B5B1C">
    <w:pPr>
      <w:pStyle w:val="a9"/>
      <w:wordWrap w:val="0"/>
      <w:ind w:right="360"/>
      <w:jc w:val="both"/>
    </w:pPr>
    <w:r>
      <w:rPr>
        <w:rFonts w:hint="eastAsia"/>
      </w:rPr>
      <w:t>天弘永裕稳健养老目标一年持有期混合型基金中基金（</w:t>
    </w:r>
    <w:r>
      <w:rPr>
        <w:rFonts w:hint="eastAsia"/>
      </w:rPr>
      <w:t>FOF</w:t>
    </w:r>
    <w:r>
      <w:rPr>
        <w:rFonts w:hint="eastAsia"/>
      </w:rPr>
      <w:t>）</w:t>
    </w:r>
    <w:r>
      <w:rPr>
        <w:rFonts w:hint="eastAsia"/>
      </w:rPr>
      <w:t xml:space="preserve">  </w:t>
    </w:r>
    <w: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nsid w:val="5F952C2D"/>
    <w:multiLevelType w:val="multilevel"/>
    <w:tmpl w:val="5F952C2D"/>
    <w:lvl w:ilvl="0">
      <w:start w:val="1"/>
      <w:numFmt w:val="chineseCountingThousand"/>
      <w:suff w:val="nothing"/>
      <w:lvlText w:val="%1、"/>
      <w:lvlJc w:val="center"/>
      <w:pPr>
        <w:ind w:left="0" w:firstLine="288"/>
      </w:pPr>
      <w:rPr>
        <w:rFonts w:hint="eastAsia"/>
        <w:sz w:val="30"/>
        <w:szCs w:val="30"/>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B06"/>
    <w:rsid w:val="000148FE"/>
    <w:rsid w:val="00014998"/>
    <w:rsid w:val="000246AC"/>
    <w:rsid w:val="000361CF"/>
    <w:rsid w:val="00050C79"/>
    <w:rsid w:val="00053197"/>
    <w:rsid w:val="0006509E"/>
    <w:rsid w:val="00070C46"/>
    <w:rsid w:val="00080622"/>
    <w:rsid w:val="000946AA"/>
    <w:rsid w:val="000A6FC8"/>
    <w:rsid w:val="000B0334"/>
    <w:rsid w:val="000B525D"/>
    <w:rsid w:val="000C5229"/>
    <w:rsid w:val="000D2BC2"/>
    <w:rsid w:val="000E1074"/>
    <w:rsid w:val="000E7AE1"/>
    <w:rsid w:val="000F1EB1"/>
    <w:rsid w:val="000F581B"/>
    <w:rsid w:val="001142CF"/>
    <w:rsid w:val="00120B9E"/>
    <w:rsid w:val="00121724"/>
    <w:rsid w:val="00125611"/>
    <w:rsid w:val="001309DE"/>
    <w:rsid w:val="00140B16"/>
    <w:rsid w:val="0014708B"/>
    <w:rsid w:val="0015240B"/>
    <w:rsid w:val="00162C4A"/>
    <w:rsid w:val="0016302A"/>
    <w:rsid w:val="00170D13"/>
    <w:rsid w:val="00174968"/>
    <w:rsid w:val="00177C69"/>
    <w:rsid w:val="001A1969"/>
    <w:rsid w:val="001B464F"/>
    <w:rsid w:val="001C0218"/>
    <w:rsid w:val="001C0837"/>
    <w:rsid w:val="001C483E"/>
    <w:rsid w:val="001C5433"/>
    <w:rsid w:val="001C7F8C"/>
    <w:rsid w:val="001E5B14"/>
    <w:rsid w:val="001F477A"/>
    <w:rsid w:val="001F6F8D"/>
    <w:rsid w:val="00201FD4"/>
    <w:rsid w:val="00203F42"/>
    <w:rsid w:val="00205F21"/>
    <w:rsid w:val="00241ABC"/>
    <w:rsid w:val="002527C3"/>
    <w:rsid w:val="00253868"/>
    <w:rsid w:val="0025567A"/>
    <w:rsid w:val="00256F81"/>
    <w:rsid w:val="002614A0"/>
    <w:rsid w:val="002755B8"/>
    <w:rsid w:val="00276C95"/>
    <w:rsid w:val="002877F9"/>
    <w:rsid w:val="0029291F"/>
    <w:rsid w:val="002B0B8F"/>
    <w:rsid w:val="002B621E"/>
    <w:rsid w:val="002C065A"/>
    <w:rsid w:val="002C1EAB"/>
    <w:rsid w:val="002C3D62"/>
    <w:rsid w:val="002C7C71"/>
    <w:rsid w:val="002C7FE4"/>
    <w:rsid w:val="002D12D3"/>
    <w:rsid w:val="002E2EB0"/>
    <w:rsid w:val="00305516"/>
    <w:rsid w:val="003060B0"/>
    <w:rsid w:val="0032325D"/>
    <w:rsid w:val="00324F3E"/>
    <w:rsid w:val="003272F1"/>
    <w:rsid w:val="00327DA9"/>
    <w:rsid w:val="003353F9"/>
    <w:rsid w:val="00335491"/>
    <w:rsid w:val="00343C48"/>
    <w:rsid w:val="003456CF"/>
    <w:rsid w:val="00351073"/>
    <w:rsid w:val="00353317"/>
    <w:rsid w:val="00373297"/>
    <w:rsid w:val="00382975"/>
    <w:rsid w:val="003834BE"/>
    <w:rsid w:val="003844C3"/>
    <w:rsid w:val="003A2B06"/>
    <w:rsid w:val="003B07FF"/>
    <w:rsid w:val="003B7EFD"/>
    <w:rsid w:val="003C3043"/>
    <w:rsid w:val="003C79A0"/>
    <w:rsid w:val="003D6303"/>
    <w:rsid w:val="003E1C92"/>
    <w:rsid w:val="003F098F"/>
    <w:rsid w:val="003F5788"/>
    <w:rsid w:val="00407F55"/>
    <w:rsid w:val="00411554"/>
    <w:rsid w:val="004315E0"/>
    <w:rsid w:val="0046482D"/>
    <w:rsid w:val="00473B96"/>
    <w:rsid w:val="004A7927"/>
    <w:rsid w:val="004B0562"/>
    <w:rsid w:val="004C5AC8"/>
    <w:rsid w:val="004D3244"/>
    <w:rsid w:val="004E2C5B"/>
    <w:rsid w:val="004E4CB4"/>
    <w:rsid w:val="004E56EB"/>
    <w:rsid w:val="004E5982"/>
    <w:rsid w:val="004F25BD"/>
    <w:rsid w:val="00504ABF"/>
    <w:rsid w:val="005134AB"/>
    <w:rsid w:val="005300E0"/>
    <w:rsid w:val="00536B8E"/>
    <w:rsid w:val="00542EBE"/>
    <w:rsid w:val="0054433F"/>
    <w:rsid w:val="00551DA2"/>
    <w:rsid w:val="00552030"/>
    <w:rsid w:val="00562F32"/>
    <w:rsid w:val="0056355B"/>
    <w:rsid w:val="00574089"/>
    <w:rsid w:val="00583D50"/>
    <w:rsid w:val="00587F80"/>
    <w:rsid w:val="005A24B0"/>
    <w:rsid w:val="005A25D3"/>
    <w:rsid w:val="005A4382"/>
    <w:rsid w:val="005B0D1C"/>
    <w:rsid w:val="005B56B5"/>
    <w:rsid w:val="005B5D51"/>
    <w:rsid w:val="005B78AC"/>
    <w:rsid w:val="005C22F5"/>
    <w:rsid w:val="005D05AF"/>
    <w:rsid w:val="005D369E"/>
    <w:rsid w:val="005F5060"/>
    <w:rsid w:val="00606F78"/>
    <w:rsid w:val="006208B9"/>
    <w:rsid w:val="0062565D"/>
    <w:rsid w:val="006442DD"/>
    <w:rsid w:val="006451EF"/>
    <w:rsid w:val="0065326D"/>
    <w:rsid w:val="00656C14"/>
    <w:rsid w:val="0066020A"/>
    <w:rsid w:val="0067597C"/>
    <w:rsid w:val="006835B2"/>
    <w:rsid w:val="00684EEE"/>
    <w:rsid w:val="0069592C"/>
    <w:rsid w:val="006969AD"/>
    <w:rsid w:val="006B1820"/>
    <w:rsid w:val="006C5670"/>
    <w:rsid w:val="006E71D6"/>
    <w:rsid w:val="006E7E27"/>
    <w:rsid w:val="006F0DBE"/>
    <w:rsid w:val="00701E7E"/>
    <w:rsid w:val="0070524E"/>
    <w:rsid w:val="00714900"/>
    <w:rsid w:val="00717AEB"/>
    <w:rsid w:val="007245A1"/>
    <w:rsid w:val="00746197"/>
    <w:rsid w:val="00750982"/>
    <w:rsid w:val="00753FC2"/>
    <w:rsid w:val="00765FE5"/>
    <w:rsid w:val="007A08F9"/>
    <w:rsid w:val="007B7940"/>
    <w:rsid w:val="007C530D"/>
    <w:rsid w:val="007D5F9E"/>
    <w:rsid w:val="007D61A5"/>
    <w:rsid w:val="007F6FAD"/>
    <w:rsid w:val="00803CBE"/>
    <w:rsid w:val="00804243"/>
    <w:rsid w:val="008050F2"/>
    <w:rsid w:val="008238B6"/>
    <w:rsid w:val="0082585E"/>
    <w:rsid w:val="00826455"/>
    <w:rsid w:val="00833F4A"/>
    <w:rsid w:val="008434C1"/>
    <w:rsid w:val="008450D5"/>
    <w:rsid w:val="00861BC1"/>
    <w:rsid w:val="008639B4"/>
    <w:rsid w:val="0087186C"/>
    <w:rsid w:val="008722C1"/>
    <w:rsid w:val="0088046D"/>
    <w:rsid w:val="00885453"/>
    <w:rsid w:val="00885860"/>
    <w:rsid w:val="00885D84"/>
    <w:rsid w:val="008923C7"/>
    <w:rsid w:val="008A23B1"/>
    <w:rsid w:val="008C1C0E"/>
    <w:rsid w:val="008D07E5"/>
    <w:rsid w:val="008D35DC"/>
    <w:rsid w:val="008D4C0E"/>
    <w:rsid w:val="008E3AF8"/>
    <w:rsid w:val="008E5DC6"/>
    <w:rsid w:val="008F0CBE"/>
    <w:rsid w:val="008F4BD0"/>
    <w:rsid w:val="008F65B3"/>
    <w:rsid w:val="00902A5B"/>
    <w:rsid w:val="00914AAD"/>
    <w:rsid w:val="0091761E"/>
    <w:rsid w:val="00923D39"/>
    <w:rsid w:val="00925858"/>
    <w:rsid w:val="009342DB"/>
    <w:rsid w:val="00945C82"/>
    <w:rsid w:val="009503AC"/>
    <w:rsid w:val="0095697A"/>
    <w:rsid w:val="009576D5"/>
    <w:rsid w:val="00962BE6"/>
    <w:rsid w:val="00973B92"/>
    <w:rsid w:val="00977A77"/>
    <w:rsid w:val="00980631"/>
    <w:rsid w:val="0099257E"/>
    <w:rsid w:val="009A1E4F"/>
    <w:rsid w:val="009B5B1C"/>
    <w:rsid w:val="009B6A63"/>
    <w:rsid w:val="009C08CC"/>
    <w:rsid w:val="009C1201"/>
    <w:rsid w:val="009D2D46"/>
    <w:rsid w:val="009F6430"/>
    <w:rsid w:val="00A040BD"/>
    <w:rsid w:val="00A07081"/>
    <w:rsid w:val="00A16100"/>
    <w:rsid w:val="00A16F02"/>
    <w:rsid w:val="00A265EC"/>
    <w:rsid w:val="00A302A4"/>
    <w:rsid w:val="00A3503D"/>
    <w:rsid w:val="00A36072"/>
    <w:rsid w:val="00A436B5"/>
    <w:rsid w:val="00A53663"/>
    <w:rsid w:val="00A635D4"/>
    <w:rsid w:val="00A90925"/>
    <w:rsid w:val="00A94DBD"/>
    <w:rsid w:val="00AA13D2"/>
    <w:rsid w:val="00AB2720"/>
    <w:rsid w:val="00AB7975"/>
    <w:rsid w:val="00AC1243"/>
    <w:rsid w:val="00AD123E"/>
    <w:rsid w:val="00AD7D8A"/>
    <w:rsid w:val="00AE7E52"/>
    <w:rsid w:val="00AE7FB4"/>
    <w:rsid w:val="00AF5BE0"/>
    <w:rsid w:val="00B02E7E"/>
    <w:rsid w:val="00B156F0"/>
    <w:rsid w:val="00B2339B"/>
    <w:rsid w:val="00B2508B"/>
    <w:rsid w:val="00B413BC"/>
    <w:rsid w:val="00B436D7"/>
    <w:rsid w:val="00B44094"/>
    <w:rsid w:val="00B4554D"/>
    <w:rsid w:val="00B47219"/>
    <w:rsid w:val="00B47F00"/>
    <w:rsid w:val="00B708FC"/>
    <w:rsid w:val="00B77318"/>
    <w:rsid w:val="00B935B0"/>
    <w:rsid w:val="00B972AD"/>
    <w:rsid w:val="00BA076E"/>
    <w:rsid w:val="00BD0108"/>
    <w:rsid w:val="00BD3045"/>
    <w:rsid w:val="00BD60FF"/>
    <w:rsid w:val="00BD7935"/>
    <w:rsid w:val="00BE7FD7"/>
    <w:rsid w:val="00BF56DB"/>
    <w:rsid w:val="00C04C36"/>
    <w:rsid w:val="00C0719D"/>
    <w:rsid w:val="00C127AB"/>
    <w:rsid w:val="00C31687"/>
    <w:rsid w:val="00C4075F"/>
    <w:rsid w:val="00C41C25"/>
    <w:rsid w:val="00C458EE"/>
    <w:rsid w:val="00C51364"/>
    <w:rsid w:val="00C55DC3"/>
    <w:rsid w:val="00C61BA6"/>
    <w:rsid w:val="00C628C2"/>
    <w:rsid w:val="00C62ACD"/>
    <w:rsid w:val="00C70DAB"/>
    <w:rsid w:val="00C820A3"/>
    <w:rsid w:val="00C838D1"/>
    <w:rsid w:val="00C92BE0"/>
    <w:rsid w:val="00C96543"/>
    <w:rsid w:val="00CA0516"/>
    <w:rsid w:val="00CA553D"/>
    <w:rsid w:val="00CD336F"/>
    <w:rsid w:val="00CF6712"/>
    <w:rsid w:val="00D1032B"/>
    <w:rsid w:val="00D230BD"/>
    <w:rsid w:val="00D2332F"/>
    <w:rsid w:val="00D30E3A"/>
    <w:rsid w:val="00D32C3A"/>
    <w:rsid w:val="00D3553A"/>
    <w:rsid w:val="00D3667B"/>
    <w:rsid w:val="00D41ADB"/>
    <w:rsid w:val="00D450C4"/>
    <w:rsid w:val="00D47166"/>
    <w:rsid w:val="00D5795A"/>
    <w:rsid w:val="00D606A2"/>
    <w:rsid w:val="00D63E9F"/>
    <w:rsid w:val="00D651F7"/>
    <w:rsid w:val="00D7090C"/>
    <w:rsid w:val="00D770C6"/>
    <w:rsid w:val="00D84647"/>
    <w:rsid w:val="00D85EAE"/>
    <w:rsid w:val="00D8649A"/>
    <w:rsid w:val="00DA1FAF"/>
    <w:rsid w:val="00DA76B3"/>
    <w:rsid w:val="00DC5A3C"/>
    <w:rsid w:val="00DC7C87"/>
    <w:rsid w:val="00DD4D55"/>
    <w:rsid w:val="00DD615C"/>
    <w:rsid w:val="00E05815"/>
    <w:rsid w:val="00E13468"/>
    <w:rsid w:val="00E3001C"/>
    <w:rsid w:val="00E316EF"/>
    <w:rsid w:val="00E35697"/>
    <w:rsid w:val="00E3583C"/>
    <w:rsid w:val="00E44CB0"/>
    <w:rsid w:val="00E47959"/>
    <w:rsid w:val="00E54E85"/>
    <w:rsid w:val="00E65EC9"/>
    <w:rsid w:val="00E6744E"/>
    <w:rsid w:val="00E710CD"/>
    <w:rsid w:val="00E8042A"/>
    <w:rsid w:val="00E83200"/>
    <w:rsid w:val="00E851A7"/>
    <w:rsid w:val="00E86DC0"/>
    <w:rsid w:val="00EA0D5A"/>
    <w:rsid w:val="00EA2610"/>
    <w:rsid w:val="00EA4690"/>
    <w:rsid w:val="00EB34FE"/>
    <w:rsid w:val="00EC18E2"/>
    <w:rsid w:val="00ED25F7"/>
    <w:rsid w:val="00ED47D6"/>
    <w:rsid w:val="00EE08C5"/>
    <w:rsid w:val="00EE322C"/>
    <w:rsid w:val="00EF244B"/>
    <w:rsid w:val="00F015FA"/>
    <w:rsid w:val="00F034FD"/>
    <w:rsid w:val="00F0695B"/>
    <w:rsid w:val="00F17853"/>
    <w:rsid w:val="00F23175"/>
    <w:rsid w:val="00F231AF"/>
    <w:rsid w:val="00F31D1F"/>
    <w:rsid w:val="00F41043"/>
    <w:rsid w:val="00F57E7C"/>
    <w:rsid w:val="00F65359"/>
    <w:rsid w:val="00F73F83"/>
    <w:rsid w:val="00F740D5"/>
    <w:rsid w:val="00FA77A2"/>
    <w:rsid w:val="00FC0797"/>
    <w:rsid w:val="00FD135C"/>
    <w:rsid w:val="00FF373B"/>
    <w:rsid w:val="00FF4C78"/>
    <w:rsid w:val="2C4946AD"/>
    <w:rsid w:val="66214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91E9D"/>
  <w15:docId w15:val="{85D794DE-454D-4B1F-AA4D-E49D4AF9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Char"/>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Char"/>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Char"/>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Char"/>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uiPriority w:val="99"/>
    <w:qFormat/>
    <w:pPr>
      <w:ind w:firstLineChars="200" w:firstLine="420"/>
    </w:pPr>
    <w:rPr>
      <w:rFonts w:ascii="Calibri" w:hAnsi="Calibri"/>
    </w:rPr>
  </w:style>
  <w:style w:type="paragraph" w:styleId="a4">
    <w:name w:val="annotation subject"/>
    <w:basedOn w:val="a5"/>
    <w:next w:val="a5"/>
    <w:link w:val="Char0"/>
    <w:uiPriority w:val="99"/>
    <w:semiHidden/>
    <w:unhideWhenUsed/>
    <w:rPr>
      <w:b/>
      <w:bCs/>
    </w:rPr>
  </w:style>
  <w:style w:type="paragraph" w:styleId="a5">
    <w:name w:val="annotation text"/>
    <w:basedOn w:val="a"/>
    <w:link w:val="Char1"/>
    <w:uiPriority w:val="99"/>
    <w:semiHidden/>
    <w:unhideWhenUsed/>
    <w:qFormat/>
    <w:pPr>
      <w:jc w:val="left"/>
    </w:pPr>
  </w:style>
  <w:style w:type="paragraph" w:styleId="a6">
    <w:name w:val="Body Text Indent"/>
    <w:basedOn w:val="a"/>
    <w:link w:val="Char2"/>
    <w:qFormat/>
    <w:pPr>
      <w:spacing w:line="360" w:lineRule="auto"/>
      <w:ind w:firstLineChars="171" w:firstLine="359"/>
    </w:pPr>
    <w:rPr>
      <w:lang w:val="zh-CN"/>
    </w:rPr>
  </w:style>
  <w:style w:type="paragraph" w:styleId="20">
    <w:name w:val="Body Text Indent 2"/>
    <w:basedOn w:val="a"/>
    <w:link w:val="2Char0"/>
    <w:pPr>
      <w:spacing w:line="360" w:lineRule="auto"/>
      <w:ind w:firstLine="480"/>
      <w:outlineLvl w:val="0"/>
    </w:pPr>
    <w:rPr>
      <w:rFonts w:ascii="仿宋_GB2312" w:eastAsia="仿宋_GB2312" w:hAnsi="Calibri"/>
      <w:sz w:val="24"/>
      <w:szCs w:val="20"/>
    </w:rPr>
  </w:style>
  <w:style w:type="paragraph" w:styleId="a7">
    <w:name w:val="Balloon Text"/>
    <w:basedOn w:val="a"/>
    <w:link w:val="Char3"/>
    <w:uiPriority w:val="99"/>
    <w:semiHidden/>
    <w:unhideWhenUsed/>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paragraph" w:styleId="a9">
    <w:name w:val="header"/>
    <w:basedOn w:val="a"/>
    <w:link w:val="Char5"/>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b">
    <w:name w:val="Hyperlink"/>
    <w:uiPriority w:val="99"/>
    <w:qFormat/>
    <w:rPr>
      <w:color w:val="0000FF"/>
      <w:u w:val="single"/>
    </w:rPr>
  </w:style>
  <w:style w:type="character" w:styleId="ac">
    <w:name w:val="annotation reference"/>
    <w:basedOn w:val="a1"/>
    <w:uiPriority w:val="99"/>
    <w:semiHidden/>
    <w:unhideWhenUsed/>
    <w:rPr>
      <w:sz w:val="21"/>
      <w:szCs w:val="21"/>
    </w:rPr>
  </w:style>
  <w:style w:type="character" w:customStyle="1" w:styleId="Char5">
    <w:name w:val="页眉 Char"/>
    <w:basedOn w:val="a1"/>
    <w:link w:val="a9"/>
    <w:uiPriority w:val="99"/>
    <w:qFormat/>
    <w:rPr>
      <w:sz w:val="18"/>
      <w:szCs w:val="18"/>
    </w:rPr>
  </w:style>
  <w:style w:type="character" w:customStyle="1" w:styleId="Char4">
    <w:name w:val="页脚 Char"/>
    <w:basedOn w:val="a1"/>
    <w:link w:val="a8"/>
    <w:uiPriority w:val="99"/>
    <w:qFormat/>
    <w:rPr>
      <w:sz w:val="18"/>
      <w:szCs w:val="18"/>
    </w:rPr>
  </w:style>
  <w:style w:type="character" w:customStyle="1" w:styleId="1Char">
    <w:name w:val="标题 1 Char"/>
    <w:basedOn w:val="a1"/>
    <w:link w:val="1"/>
    <w:rPr>
      <w:rFonts w:ascii="黑体" w:eastAsia="黑体" w:hAnsi="Times New Roman" w:cs="Times New Roman"/>
      <w:b/>
      <w:kern w:val="44"/>
      <w:sz w:val="32"/>
      <w:szCs w:val="20"/>
      <w:lang w:val="zh-CN" w:eastAsia="zh-CN"/>
    </w:rPr>
  </w:style>
  <w:style w:type="character" w:customStyle="1" w:styleId="2Char">
    <w:name w:val="标题 2 Char"/>
    <w:basedOn w:val="a1"/>
    <w:link w:val="2"/>
    <w:rPr>
      <w:rFonts w:ascii="Arial" w:eastAsia="黑体" w:hAnsi="Arial" w:cs="Times New Roman"/>
      <w:b/>
      <w:bCs/>
      <w:sz w:val="32"/>
      <w:szCs w:val="32"/>
    </w:rPr>
  </w:style>
  <w:style w:type="character" w:customStyle="1" w:styleId="3Char">
    <w:name w:val="标题 3 Char"/>
    <w:basedOn w:val="a1"/>
    <w:link w:val="3"/>
    <w:rPr>
      <w:rFonts w:ascii="Arial" w:eastAsia="仿宋_GB2312" w:hAnsi="Arial" w:cs="Times New Roman"/>
      <w:b/>
      <w:sz w:val="24"/>
      <w:szCs w:val="20"/>
      <w:lang w:val="zh-CN" w:eastAsia="zh-CN"/>
    </w:rPr>
  </w:style>
  <w:style w:type="character" w:customStyle="1" w:styleId="4Char">
    <w:name w:val="标题 4 Char"/>
    <w:basedOn w:val="a1"/>
    <w:link w:val="4"/>
    <w:qFormat/>
    <w:rPr>
      <w:rFonts w:ascii="Arial" w:eastAsia="仿宋_GB2312" w:hAnsi="Arial" w:cs="Times New Roman"/>
      <w:sz w:val="24"/>
      <w:szCs w:val="20"/>
      <w:lang w:val="zh-CN" w:eastAsia="zh-CN"/>
    </w:rPr>
  </w:style>
  <w:style w:type="character" w:customStyle="1" w:styleId="5Char">
    <w:name w:val="标题 5 Char"/>
    <w:basedOn w:val="a1"/>
    <w:link w:val="5"/>
    <w:qFormat/>
    <w:rPr>
      <w:rFonts w:ascii="Arial" w:eastAsia="仿宋_GB2312" w:hAnsi="Arial" w:cs="Times New Roman"/>
      <w:sz w:val="24"/>
      <w:szCs w:val="20"/>
      <w:lang w:val="zh-CN" w:eastAsia="zh-CN"/>
    </w:rPr>
  </w:style>
  <w:style w:type="character" w:customStyle="1" w:styleId="6Char">
    <w:name w:val="标题 6 Char"/>
    <w:basedOn w:val="a1"/>
    <w:link w:val="6"/>
    <w:qFormat/>
    <w:rPr>
      <w:rFonts w:ascii="Arial" w:eastAsia="仿宋_GB2312" w:hAnsi="Arial" w:cs="Times New Roman"/>
      <w:sz w:val="24"/>
      <w:szCs w:val="20"/>
      <w:lang w:val="zh-CN" w:eastAsia="zh-CN"/>
    </w:rPr>
  </w:style>
  <w:style w:type="character" w:customStyle="1" w:styleId="7Char">
    <w:name w:val="标题 7 Char"/>
    <w:basedOn w:val="a1"/>
    <w:link w:val="7"/>
    <w:rPr>
      <w:rFonts w:ascii="仿宋_GB2312" w:eastAsia="仿宋_GB2312" w:hAnsi="Times New Roman" w:cs="Times New Roman"/>
      <w:sz w:val="24"/>
      <w:szCs w:val="20"/>
      <w:lang w:val="zh-CN" w:eastAsia="zh-CN"/>
    </w:rPr>
  </w:style>
  <w:style w:type="character" w:customStyle="1" w:styleId="2Char0">
    <w:name w:val="正文文本缩进 2 Char"/>
    <w:basedOn w:val="a1"/>
    <w:link w:val="20"/>
    <w:rPr>
      <w:rFonts w:ascii="仿宋_GB2312" w:eastAsia="仿宋_GB2312" w:hAnsi="Calibri" w:cs="Times New Roman"/>
      <w:sz w:val="24"/>
      <w:szCs w:val="20"/>
    </w:rPr>
  </w:style>
  <w:style w:type="character" w:customStyle="1" w:styleId="Char2">
    <w:name w:val="正文文本缩进 Char"/>
    <w:basedOn w:val="a1"/>
    <w:link w:val="a6"/>
    <w:rPr>
      <w:rFonts w:ascii="Times New Roman" w:eastAsia="宋体" w:hAnsi="Times New Roman" w:cs="Times New Roman"/>
      <w:szCs w:val="24"/>
      <w:lang w:val="zh-CN" w:eastAsia="zh-CN"/>
    </w:rPr>
  </w:style>
  <w:style w:type="character" w:customStyle="1" w:styleId="Char">
    <w:name w:val="正文缩进 Char"/>
    <w:link w:val="a0"/>
    <w:uiPriority w:val="99"/>
    <w:rPr>
      <w:rFonts w:ascii="Calibri" w:eastAsia="宋体" w:hAnsi="Calibri" w:cs="Times New Roman"/>
      <w:szCs w:val="24"/>
    </w:rPr>
  </w:style>
  <w:style w:type="paragraph" w:customStyle="1" w:styleId="ad">
    <w:name w:val="正文正文"/>
    <w:basedOn w:val="a"/>
    <w:uiPriority w:val="99"/>
    <w:qFormat/>
    <w:pPr>
      <w:spacing w:afterLines="25" w:after="25" w:line="360" w:lineRule="auto"/>
      <w:ind w:firstLineChars="200" w:firstLine="200"/>
    </w:pPr>
    <w:rPr>
      <w:sz w:val="24"/>
    </w:rPr>
  </w:style>
  <w:style w:type="character" w:customStyle="1" w:styleId="Char3">
    <w:name w:val="批注框文本 Char"/>
    <w:basedOn w:val="a1"/>
    <w:link w:val="a7"/>
    <w:uiPriority w:val="99"/>
    <w:semiHidden/>
    <w:qFormat/>
    <w:rPr>
      <w:rFonts w:ascii="Times New Roman" w:eastAsia="宋体" w:hAnsi="Times New Roman" w:cs="Times New Roman"/>
      <w:sz w:val="18"/>
      <w:szCs w:val="18"/>
    </w:rPr>
  </w:style>
  <w:style w:type="character" w:customStyle="1" w:styleId="Char1">
    <w:name w:val="批注文字 Char"/>
    <w:basedOn w:val="a1"/>
    <w:link w:val="a5"/>
    <w:uiPriority w:val="99"/>
    <w:semiHidden/>
    <w:rPr>
      <w:rFonts w:ascii="Times New Roman" w:eastAsia="宋体" w:hAnsi="Times New Roman" w:cs="Times New Roman"/>
      <w:szCs w:val="24"/>
    </w:rPr>
  </w:style>
  <w:style w:type="character" w:customStyle="1" w:styleId="Char0">
    <w:name w:val="批注主题 Char"/>
    <w:basedOn w:val="Char1"/>
    <w:link w:val="a4"/>
    <w:uiPriority w:val="99"/>
    <w:semiHidden/>
    <w:qFormat/>
    <w:rPr>
      <w:rFonts w:ascii="Times New Roman" w:eastAsia="宋体" w:hAnsi="Times New Roman" w:cs="Times New Roman"/>
      <w:b/>
      <w:bCs/>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e">
    <w:name w:val="Revision"/>
    <w:hidden/>
    <w:uiPriority w:val="99"/>
    <w:semiHidden/>
    <w:rsid w:val="004E2C5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B5CF66-59B6-4854-B76F-F8F1D06E4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36</Pages>
  <Words>4647</Words>
  <Characters>26491</Characters>
  <Application>Microsoft Office Word</Application>
  <DocSecurity>0</DocSecurity>
  <Lines>220</Lines>
  <Paragraphs>62</Paragraphs>
  <ScaleCrop>false</ScaleCrop>
  <Company/>
  <LinksUpToDate>false</LinksUpToDate>
  <CharactersWithSpaces>31076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张璨</cp:lastModifiedBy>
  <cp:revision>80</cp:revision>
  <cp:lastPrinted>2019-07-17T09:56:00Z</cp:lastPrinted>
  <dcterms:created xsi:type="dcterms:W3CDTF">2019-06-25T06:58:00Z</dcterms:created>
  <dcterms:modified xsi:type="dcterms:W3CDTF">2022-11-16T05:06:00Z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