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 w:rightChars="-8"/>
        <w:rPr>
          <w:rFonts w:eastAsia="黑体"/>
          <w:color w:val="auto"/>
          <w:sz w:val="32"/>
          <w:szCs w:val="32"/>
          <w:highlight w:val="none"/>
        </w:rPr>
      </w:pPr>
    </w:p>
    <w:p>
      <w:pPr>
        <w:rPr>
          <w:rFonts w:eastAsia="黑体"/>
          <w:color w:val="auto"/>
          <w:sz w:val="52"/>
          <w:szCs w:val="52"/>
          <w:highlight w:val="none"/>
        </w:rPr>
      </w:pPr>
    </w:p>
    <w:p>
      <w:pPr>
        <w:tabs>
          <w:tab w:val="left" w:pos="3495"/>
        </w:tabs>
        <w:rPr>
          <w:rFonts w:eastAsia="黑体"/>
          <w:color w:val="auto"/>
          <w:sz w:val="52"/>
          <w:szCs w:val="52"/>
          <w:highlight w:val="none"/>
        </w:rPr>
      </w:pPr>
    </w:p>
    <w:p>
      <w:pPr>
        <w:tabs>
          <w:tab w:val="center" w:pos="4164"/>
          <w:tab w:val="left" w:pos="5455"/>
        </w:tabs>
        <w:ind w:right="-17" w:rightChars="-8"/>
        <w:jc w:val="center"/>
        <w:rPr>
          <w:rFonts w:eastAsia="黑体"/>
          <w:color w:val="auto"/>
          <w:sz w:val="52"/>
          <w:szCs w:val="52"/>
          <w:highlight w:val="none"/>
        </w:rPr>
      </w:pPr>
    </w:p>
    <w:p>
      <w:pPr>
        <w:tabs>
          <w:tab w:val="center" w:pos="4164"/>
          <w:tab w:val="left" w:pos="5455"/>
        </w:tabs>
        <w:ind w:right="-17" w:rightChars="-8"/>
        <w:jc w:val="center"/>
        <w:rPr>
          <w:rFonts w:eastAsia="黑体"/>
          <w:color w:val="auto"/>
          <w:sz w:val="52"/>
          <w:szCs w:val="52"/>
          <w:highlight w:val="none"/>
        </w:rPr>
      </w:pPr>
    </w:p>
    <w:p>
      <w:pPr>
        <w:jc w:val="center"/>
        <w:rPr>
          <w:rFonts w:ascii="宋体" w:hAnsi="宋体"/>
          <w:color w:val="auto"/>
          <w:sz w:val="24"/>
          <w:highlight w:val="none"/>
        </w:rPr>
      </w:pPr>
    </w:p>
    <w:p>
      <w:pPr>
        <w:jc w:val="center"/>
        <w:rPr>
          <w:b/>
          <w:color w:val="auto"/>
          <w:sz w:val="52"/>
          <w:szCs w:val="52"/>
          <w:highlight w:val="none"/>
        </w:rPr>
      </w:pPr>
    </w:p>
    <w:p>
      <w:pPr>
        <w:jc w:val="center"/>
        <w:rPr>
          <w:rFonts w:ascii="仿宋_GB2312" w:eastAsia="仿宋_GB2312"/>
          <w:b/>
          <w:color w:val="auto"/>
          <w:sz w:val="32"/>
          <w:szCs w:val="32"/>
          <w:highlight w:val="none"/>
        </w:rPr>
      </w:pPr>
    </w:p>
    <w:p>
      <w:pPr>
        <w:jc w:val="center"/>
        <w:rPr>
          <w:rFonts w:ascii="黑体" w:hAnsi="黑体" w:eastAsia="黑体"/>
          <w:b/>
          <w:color w:val="auto"/>
          <w:sz w:val="44"/>
          <w:szCs w:val="44"/>
          <w:highlight w:val="none"/>
        </w:rPr>
      </w:pPr>
      <w:r>
        <w:rPr>
          <w:rFonts w:hint="eastAsia" w:ascii="黑体" w:hAnsi="黑体" w:eastAsia="黑体"/>
          <w:b/>
          <w:color w:val="auto"/>
          <w:sz w:val="44"/>
          <w:szCs w:val="44"/>
          <w:highlight w:val="none"/>
        </w:rPr>
        <w:t>英大</w:t>
      </w:r>
      <w:r>
        <w:rPr>
          <w:rFonts w:hint="eastAsia" w:ascii="黑体" w:hAnsi="黑体" w:eastAsia="黑体"/>
          <w:b/>
          <w:color w:val="auto"/>
          <w:sz w:val="44"/>
          <w:szCs w:val="44"/>
          <w:highlight w:val="none"/>
          <w:lang w:eastAsia="zh-CN"/>
        </w:rPr>
        <w:t>延福</w:t>
      </w:r>
      <w:r>
        <w:rPr>
          <w:rFonts w:hint="eastAsia" w:ascii="黑体" w:hAnsi="黑体" w:eastAsia="黑体"/>
          <w:b/>
          <w:color w:val="auto"/>
          <w:sz w:val="44"/>
          <w:szCs w:val="44"/>
          <w:highlight w:val="none"/>
        </w:rPr>
        <w:t>养老目标日期</w:t>
      </w:r>
      <w:r>
        <w:rPr>
          <w:rFonts w:hint="eastAsia" w:ascii="黑体" w:hAnsi="黑体" w:eastAsia="黑体"/>
          <w:b/>
          <w:color w:val="auto"/>
          <w:sz w:val="44"/>
          <w:szCs w:val="44"/>
          <w:highlight w:val="none"/>
          <w:lang w:eastAsia="zh-CN"/>
        </w:rPr>
        <w:t>2035</w:t>
      </w:r>
      <w:r>
        <w:rPr>
          <w:rFonts w:hint="eastAsia" w:ascii="黑体" w:hAnsi="黑体" w:eastAsia="黑体"/>
          <w:b/>
          <w:color w:val="auto"/>
          <w:sz w:val="44"/>
          <w:szCs w:val="44"/>
          <w:highlight w:val="none"/>
        </w:rPr>
        <w:t>三年持有期混合型发起式基金中基金（FOF）</w:t>
      </w:r>
    </w:p>
    <w:p>
      <w:pPr>
        <w:jc w:val="center"/>
        <w:rPr>
          <w:rFonts w:hint="eastAsia" w:ascii="黑体" w:hAnsi="黑体" w:eastAsia="黑体"/>
          <w:b/>
          <w:color w:val="auto"/>
          <w:sz w:val="44"/>
          <w:szCs w:val="44"/>
          <w:highlight w:val="none"/>
          <w:lang w:eastAsia="zh-CN"/>
        </w:rPr>
      </w:pPr>
      <w:r>
        <w:rPr>
          <w:rFonts w:hint="eastAsia" w:ascii="黑体" w:hAnsi="黑体" w:eastAsia="黑体"/>
          <w:b/>
          <w:color w:val="auto"/>
          <w:sz w:val="44"/>
          <w:szCs w:val="44"/>
          <w:highlight w:val="none"/>
        </w:rPr>
        <w:t>托管协议</w:t>
      </w:r>
    </w:p>
    <w:p>
      <w:pPr>
        <w:jc w:val="center"/>
        <w:rPr>
          <w:rFonts w:ascii="宋体" w:hAnsi="宋体"/>
          <w:color w:val="auto"/>
          <w:sz w:val="44"/>
          <w:szCs w:val="44"/>
          <w:highlight w:val="none"/>
        </w:rPr>
      </w:pPr>
    </w:p>
    <w:p>
      <w:pPr>
        <w:jc w:val="center"/>
        <w:rPr>
          <w:rFonts w:ascii="宋体" w:hAnsi="宋体"/>
          <w:color w:val="auto"/>
          <w:sz w:val="44"/>
          <w:szCs w:val="44"/>
          <w:highlight w:val="none"/>
        </w:rPr>
      </w:pPr>
    </w:p>
    <w:p>
      <w:pPr>
        <w:jc w:val="center"/>
        <w:rPr>
          <w:rFonts w:ascii="宋体" w:hAnsi="宋体"/>
          <w:color w:val="auto"/>
          <w:sz w:val="44"/>
          <w:szCs w:val="44"/>
          <w:highlight w:val="none"/>
        </w:rPr>
      </w:pPr>
    </w:p>
    <w:p>
      <w:pPr>
        <w:rPr>
          <w:rFonts w:ascii="宋体"/>
          <w:color w:val="auto"/>
          <w:sz w:val="30"/>
          <w:highlight w:val="none"/>
        </w:rPr>
      </w:pPr>
    </w:p>
    <w:p>
      <w:pPr>
        <w:ind w:left="1135" w:leftChars="540" w:hanging="1"/>
        <w:jc w:val="left"/>
        <w:rPr>
          <w:color w:val="auto"/>
          <w:sz w:val="32"/>
          <w:szCs w:val="32"/>
          <w:highlight w:val="none"/>
        </w:rPr>
      </w:pPr>
      <w:bookmarkStart w:id="0" w:name="_Toc382818591"/>
      <w:bookmarkStart w:id="1" w:name="_Toc382819065"/>
      <w:r>
        <w:rPr>
          <w:rFonts w:hint="eastAsia"/>
          <w:color w:val="auto"/>
          <w:sz w:val="32"/>
          <w:szCs w:val="32"/>
          <w:highlight w:val="none"/>
        </w:rPr>
        <w:t>基金管理人：</w:t>
      </w:r>
      <w:bookmarkEnd w:id="0"/>
      <w:bookmarkEnd w:id="1"/>
      <w:r>
        <w:rPr>
          <w:rFonts w:hint="eastAsia"/>
          <w:color w:val="auto"/>
          <w:sz w:val="32"/>
          <w:szCs w:val="32"/>
          <w:highlight w:val="none"/>
        </w:rPr>
        <w:t>英大基金管理有限公司</w:t>
      </w:r>
    </w:p>
    <w:p>
      <w:pPr>
        <w:ind w:left="1135" w:leftChars="540" w:hanging="1"/>
        <w:jc w:val="left"/>
        <w:rPr>
          <w:color w:val="auto"/>
          <w:sz w:val="32"/>
          <w:szCs w:val="32"/>
          <w:highlight w:val="none"/>
        </w:rPr>
      </w:pPr>
      <w:bookmarkStart w:id="2" w:name="_Toc382819066"/>
      <w:bookmarkStart w:id="3" w:name="_Toc382818592"/>
      <w:r>
        <w:rPr>
          <w:rFonts w:hint="eastAsia"/>
          <w:color w:val="auto"/>
          <w:sz w:val="32"/>
          <w:szCs w:val="32"/>
          <w:highlight w:val="none"/>
        </w:rPr>
        <w:t>基金托管人：上海浦东发展银行股份有限公司</w:t>
      </w:r>
      <w:bookmarkEnd w:id="2"/>
      <w:bookmarkEnd w:id="3"/>
    </w:p>
    <w:p>
      <w:pPr>
        <w:spacing w:line="500" w:lineRule="atLeast"/>
        <w:jc w:val="center"/>
        <w:rPr>
          <w:rFonts w:ascii="黑体" w:hAnsi="宋体" w:eastAsia="黑体"/>
          <w:b/>
          <w:color w:val="auto"/>
          <w:sz w:val="28"/>
          <w:szCs w:val="28"/>
          <w:highlight w:val="none"/>
        </w:rPr>
      </w:pPr>
      <w:r>
        <w:rPr>
          <w:rFonts w:hint="eastAsia" w:ascii="黑体" w:hAnsi="宋体" w:eastAsia="黑体"/>
          <w:b/>
          <w:color w:val="auto"/>
          <w:sz w:val="28"/>
          <w:szCs w:val="28"/>
          <w:highlight w:val="none"/>
        </w:rPr>
        <w:br w:type="page"/>
      </w:r>
      <w:bookmarkStart w:id="4" w:name="_Toc382818593"/>
      <w:bookmarkStart w:id="5" w:name="_Toc382819067"/>
    </w:p>
    <w:p>
      <w:pPr>
        <w:spacing w:line="500" w:lineRule="atLeast"/>
        <w:jc w:val="center"/>
        <w:outlineLvl w:val="0"/>
        <w:rPr>
          <w:rFonts w:ascii="宋体" w:hAnsi="宋体"/>
          <w:b/>
          <w:color w:val="auto"/>
          <w:sz w:val="36"/>
          <w:szCs w:val="28"/>
          <w:highlight w:val="none"/>
        </w:rPr>
      </w:pPr>
      <w:r>
        <w:rPr>
          <w:rFonts w:hint="eastAsia" w:ascii="宋体" w:hAnsi="宋体"/>
          <w:b/>
          <w:color w:val="auto"/>
          <w:sz w:val="32"/>
          <w:szCs w:val="28"/>
          <w:highlight w:val="none"/>
        </w:rPr>
        <w:t>目 录</w:t>
      </w:r>
      <w:bookmarkEnd w:id="4"/>
      <w:bookmarkEnd w:id="5"/>
    </w:p>
    <w:p>
      <w:pPr>
        <w:pStyle w:val="17"/>
        <w:tabs>
          <w:tab w:val="left" w:pos="440"/>
          <w:tab w:val="right" w:leader="dot" w:pos="8296"/>
        </w:tabs>
        <w:spacing w:line="360" w:lineRule="auto"/>
        <w:rPr>
          <w:rFonts w:ascii="Calibri" w:hAnsi="Calibri"/>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TOC \o "1-3" \h \z \u </w:instrText>
      </w:r>
      <w:r>
        <w:rPr>
          <w:rFonts w:ascii="宋体" w:hAnsi="宋体"/>
          <w:color w:val="auto"/>
          <w:szCs w:val="21"/>
          <w:highlight w:val="none"/>
        </w:rPr>
        <w:fldChar w:fldCharType="separate"/>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"_Toc382819071"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一、基金托管协议的依据、目的、原则和解释</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_Toc382819071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"_Toc382819072"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二、基金托管人对基金管理人的业务监督和核查</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_Toc382819072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"_Toc382819076"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三、基金管理人对基金托管人的业务核查</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_Toc382819076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12</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"_Toc382819078"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四、基金财产保管</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_Toc382819078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13</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"_Toc382819088"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五、指令的发送、确认和执行</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_Toc382819088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17</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"_Toc382819097"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六、交易及清算交收安排</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_Toc382819097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20</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"_Toc382819103"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七、基金资产净值计算和会计核算</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_Toc382819103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25</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"_Toc382819118"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八、基金收益分配</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_Toc382819118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"_Toc382819121"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九、信息披露</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_Toc382819121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31</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"_Toc382819125"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十、托管费用</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_Toc382819125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34</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"_Toc382819126"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十一、基金份额持有人名册的保管</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_Toc382819126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34</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"_Toc382819127"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十二、基金有关文件和档案</w:t>
      </w:r>
      <w:bookmarkStart w:id="78" w:name="_GoBack"/>
      <w:bookmarkEnd w:id="78"/>
      <w:r>
        <w:rPr>
          <w:rStyle w:val="23"/>
          <w:rFonts w:hint="eastAsia" w:asciiTheme="minorEastAsia" w:hAnsiTheme="minorEastAsia" w:eastAsiaTheme="minorEastAsia" w:cstheme="minorEastAsia"/>
          <w:color w:val="auto"/>
          <w:szCs w:val="21"/>
          <w:highlight w:val="none"/>
        </w:rPr>
        <w:t>的保存</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_Toc382819127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36</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"_Toc382819128"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十三、基金管理人和基金托管人的更换</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_Toc382819128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37</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"_Toc382819131"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十四、禁止行为</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_Toc382819131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40</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"_Toc382819132"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十五、基金托管协议的变更、终止与基金财产的清算</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_Toc382819132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42</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"_Toc382819133"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十六、违约责任</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_Toc382819133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44</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"_Toc382819134"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十七、适用法律及争议解决方式</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_Toc382819134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45</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"_Toc382819135"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十八、基金托管协议的效力和文本</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_Toc382819135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46</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17"/>
        <w:tabs>
          <w:tab w:val="right" w:leader="dot" w:pos="8296"/>
        </w:tabs>
        <w:spacing w:line="360" w:lineRule="auto"/>
        <w:rPr>
          <w:rFonts w:asciiTheme="minorEastAsia" w:hAnsiTheme="minorEastAsia" w:eastAsiaTheme="minorEastAsia" w:cstheme="minorEastAsia"/>
          <w:color w:val="auto"/>
          <w:szCs w:val="21"/>
          <w:highlight w:val="none"/>
        </w:rPr>
      </w:pPr>
      <w:r>
        <w:rPr>
          <w:color w:val="auto"/>
          <w:highlight w:val="none"/>
        </w:rPr>
        <w:fldChar w:fldCharType="begin"/>
      </w:r>
      <w:r>
        <w:rPr>
          <w:color w:val="auto"/>
          <w:highlight w:val="none"/>
        </w:rPr>
        <w:instrText xml:space="preserve"> HYPERLINK \l "_Toc382819136" </w:instrText>
      </w:r>
      <w:r>
        <w:rPr>
          <w:color w:val="auto"/>
          <w:highlight w:val="none"/>
        </w:rPr>
        <w:fldChar w:fldCharType="separate"/>
      </w:r>
      <w:r>
        <w:rPr>
          <w:rStyle w:val="23"/>
          <w:rFonts w:hint="eastAsia" w:asciiTheme="minorEastAsia" w:hAnsiTheme="minorEastAsia" w:eastAsiaTheme="minorEastAsia" w:cstheme="minorEastAsia"/>
          <w:color w:val="auto"/>
          <w:szCs w:val="21"/>
          <w:highlight w:val="none"/>
        </w:rPr>
        <w:t>十九、其他事项</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PAGEREF _Toc382819136 \h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47</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fldChar w:fldCharType="end"/>
      </w:r>
    </w:p>
    <w:p>
      <w:pPr>
        <w:spacing w:line="360" w:lineRule="auto"/>
        <w:rPr>
          <w:rFonts w:ascii="仿宋_GB2312" w:eastAsia="仿宋_GB2312"/>
          <w:color w:val="auto"/>
          <w:szCs w:val="21"/>
          <w:highlight w:val="none"/>
        </w:rPr>
      </w:pPr>
      <w:r>
        <w:rPr>
          <w:rFonts w:ascii="宋体" w:hAnsi="宋体"/>
          <w:color w:val="auto"/>
          <w:szCs w:val="21"/>
          <w:highlight w:val="none"/>
        </w:rPr>
        <w:fldChar w:fldCharType="end"/>
      </w:r>
    </w:p>
    <w:p>
      <w:pPr>
        <w:widowControl/>
        <w:jc w:val="left"/>
        <w:rPr>
          <w:rFonts w:ascii="仿宋_GB2312" w:eastAsia="仿宋_GB2312"/>
          <w:color w:val="auto"/>
          <w:sz w:val="24"/>
          <w:highlight w:val="none"/>
        </w:rPr>
        <w:sectPr>
          <w:headerReference r:id="rId4" w:type="first"/>
          <w:headerReference r:id="rId3" w:type="default"/>
          <w:footerReference r:id="rId5" w:type="default"/>
          <w:pgSz w:w="11906" w:h="16838"/>
          <w:pgMar w:top="1440" w:right="1800" w:bottom="1440" w:left="1800" w:header="851" w:footer="992" w:gutter="0"/>
          <w:pgNumType w:start="1"/>
          <w:cols w:space="720" w:num="1"/>
          <w:titlePg/>
          <w:docGrid w:type="lines" w:linePitch="312" w:charSpace="0"/>
        </w:sectPr>
      </w:pPr>
    </w:p>
    <w:p>
      <w:pPr>
        <w:jc w:val="center"/>
        <w:rPr>
          <w:rFonts w:ascii="黑体" w:hAnsi="黑体" w:eastAsia="黑体"/>
          <w:b/>
          <w:color w:val="auto"/>
          <w:sz w:val="32"/>
          <w:szCs w:val="32"/>
          <w:highlight w:val="none"/>
        </w:rPr>
      </w:pPr>
      <w:bookmarkStart w:id="6" w:name="_Toc382819068"/>
      <w:bookmarkStart w:id="7" w:name="_Toc382818594"/>
      <w:r>
        <w:rPr>
          <w:rFonts w:hint="eastAsia" w:ascii="黑体" w:hAnsi="黑体" w:eastAsia="黑体"/>
          <w:color w:val="auto"/>
          <w:sz w:val="32"/>
          <w:szCs w:val="32"/>
          <w:highlight w:val="none"/>
        </w:rPr>
        <w:t>公开募集证券投资基金托管协议</w:t>
      </w:r>
      <w:bookmarkEnd w:id="6"/>
      <w:bookmarkEnd w:id="7"/>
    </w:p>
    <w:p>
      <w:pPr>
        <w:rPr>
          <w:color w:val="auto"/>
          <w:highlight w:val="none"/>
          <w:lang w:val="zh-CN"/>
        </w:rPr>
      </w:pPr>
    </w:p>
    <w:p>
      <w:pPr>
        <w:rPr>
          <w:color w:val="auto"/>
          <w:highlight w:val="none"/>
          <w:lang w:val="zh-CN"/>
        </w:rPr>
      </w:pPr>
    </w:p>
    <w:p>
      <w:pPr>
        <w:spacing w:line="360" w:lineRule="auto"/>
        <w:rPr>
          <w:rFonts w:ascii="宋体" w:hAnsi="宋体"/>
          <w:color w:val="auto"/>
          <w:sz w:val="24"/>
          <w:highlight w:val="none"/>
        </w:rPr>
      </w:pPr>
      <w:bookmarkStart w:id="8" w:name="_Toc382819069"/>
      <w:r>
        <w:rPr>
          <w:rFonts w:hint="eastAsia" w:ascii="宋体" w:hAnsi="宋体"/>
          <w:b/>
          <w:color w:val="auto"/>
          <w:sz w:val="24"/>
          <w:highlight w:val="none"/>
        </w:rPr>
        <w:t>基金管理人：</w:t>
      </w:r>
      <w:bookmarkEnd w:id="8"/>
      <w:r>
        <w:rPr>
          <w:rFonts w:hint="eastAsia" w:ascii="宋体" w:hAnsi="宋体"/>
          <w:b/>
          <w:color w:val="auto"/>
          <w:sz w:val="24"/>
          <w:highlight w:val="none"/>
        </w:rPr>
        <w:t>英大基金管理有限公司</w:t>
      </w:r>
    </w:p>
    <w:p>
      <w:pPr>
        <w:spacing w:line="360" w:lineRule="auto"/>
        <w:rPr>
          <w:rFonts w:ascii="宋体" w:hAnsi="宋体"/>
          <w:color w:val="auto"/>
          <w:sz w:val="24"/>
          <w:highlight w:val="none"/>
        </w:rPr>
      </w:pPr>
      <w:r>
        <w:rPr>
          <w:rFonts w:hint="eastAsia" w:ascii="宋体" w:hAnsi="宋体"/>
          <w:color w:val="auto"/>
          <w:sz w:val="24"/>
          <w:highlight w:val="none"/>
        </w:rPr>
        <w:t>住所：北京市朝阳区东三环中路1号环球金融中心西塔22楼2201</w:t>
      </w:r>
    </w:p>
    <w:p>
      <w:pPr>
        <w:spacing w:line="360" w:lineRule="auto"/>
        <w:rPr>
          <w:rFonts w:ascii="宋体" w:hAnsi="宋体"/>
          <w:color w:val="auto"/>
          <w:sz w:val="24"/>
          <w:highlight w:val="none"/>
        </w:rPr>
      </w:pPr>
      <w:r>
        <w:rPr>
          <w:rFonts w:hint="eastAsia" w:ascii="宋体" w:hAnsi="宋体"/>
          <w:color w:val="auto"/>
          <w:sz w:val="24"/>
          <w:highlight w:val="none"/>
        </w:rPr>
        <w:t>法定代表人：马晓燕</w:t>
      </w:r>
    </w:p>
    <w:p>
      <w:pPr>
        <w:spacing w:line="360" w:lineRule="auto"/>
        <w:rPr>
          <w:rFonts w:ascii="宋体" w:hAnsi="宋体"/>
          <w:color w:val="auto"/>
          <w:sz w:val="24"/>
          <w:highlight w:val="none"/>
        </w:rPr>
      </w:pPr>
      <w:r>
        <w:rPr>
          <w:rFonts w:hint="eastAsia" w:ascii="宋体" w:hAnsi="宋体"/>
          <w:color w:val="auto"/>
          <w:sz w:val="24"/>
          <w:highlight w:val="none"/>
        </w:rPr>
        <w:t>成立时间：2012年8月17日</w:t>
      </w:r>
    </w:p>
    <w:p>
      <w:pPr>
        <w:spacing w:line="360" w:lineRule="auto"/>
        <w:rPr>
          <w:rFonts w:ascii="宋体" w:hAnsi="宋体"/>
          <w:color w:val="auto"/>
          <w:sz w:val="24"/>
          <w:highlight w:val="none"/>
        </w:rPr>
      </w:pPr>
      <w:r>
        <w:rPr>
          <w:rFonts w:hint="eastAsia" w:ascii="宋体" w:hAnsi="宋体"/>
          <w:color w:val="auto"/>
          <w:sz w:val="24"/>
          <w:highlight w:val="none"/>
        </w:rPr>
        <w:t>批准设立机关及批准设立文号：中国证监会证监许可〔2012〕759号</w:t>
      </w:r>
    </w:p>
    <w:p>
      <w:pPr>
        <w:spacing w:line="360" w:lineRule="auto"/>
        <w:rPr>
          <w:rFonts w:ascii="宋体" w:hAnsi="宋体"/>
          <w:color w:val="auto"/>
          <w:sz w:val="24"/>
          <w:highlight w:val="none"/>
        </w:rPr>
      </w:pPr>
      <w:r>
        <w:rPr>
          <w:rFonts w:hint="eastAsia" w:ascii="宋体" w:hAnsi="宋体"/>
          <w:color w:val="auto"/>
          <w:sz w:val="24"/>
          <w:highlight w:val="none"/>
        </w:rPr>
        <w:t>组织形式:有限责任公司（法人独资）</w:t>
      </w:r>
    </w:p>
    <w:p>
      <w:pPr>
        <w:spacing w:line="360" w:lineRule="auto"/>
        <w:rPr>
          <w:rFonts w:ascii="宋体" w:hAnsi="宋体"/>
          <w:color w:val="auto"/>
          <w:sz w:val="24"/>
          <w:highlight w:val="none"/>
        </w:rPr>
      </w:pPr>
      <w:r>
        <w:rPr>
          <w:rFonts w:hint="eastAsia" w:ascii="宋体" w:hAnsi="宋体"/>
          <w:color w:val="auto"/>
          <w:sz w:val="24"/>
          <w:highlight w:val="none"/>
        </w:rPr>
        <w:t>注册资本：11.46亿元人民币</w:t>
      </w:r>
    </w:p>
    <w:p>
      <w:pPr>
        <w:spacing w:line="360" w:lineRule="auto"/>
        <w:rPr>
          <w:rFonts w:ascii="宋体" w:hAnsi="宋体"/>
          <w:color w:val="auto"/>
          <w:sz w:val="24"/>
          <w:highlight w:val="none"/>
        </w:rPr>
      </w:pPr>
      <w:r>
        <w:rPr>
          <w:rFonts w:hint="eastAsia" w:ascii="宋体" w:hAnsi="宋体"/>
          <w:color w:val="auto"/>
          <w:sz w:val="24"/>
          <w:highlight w:val="none"/>
        </w:rPr>
        <w:t>经营期限：持续经营</w:t>
      </w:r>
    </w:p>
    <w:p>
      <w:pPr>
        <w:spacing w:line="360" w:lineRule="auto"/>
        <w:rPr>
          <w:rFonts w:ascii="宋体" w:hAnsi="宋体"/>
          <w:color w:val="auto"/>
          <w:sz w:val="24"/>
          <w:highlight w:val="none"/>
        </w:rPr>
      </w:pPr>
      <w:r>
        <w:rPr>
          <w:rFonts w:hint="eastAsia" w:ascii="宋体" w:hAnsi="宋体"/>
          <w:color w:val="auto"/>
          <w:sz w:val="24"/>
          <w:highlight w:val="none"/>
        </w:rPr>
        <w:t>联系电话：010-57835666、400-890-5288</w:t>
      </w:r>
    </w:p>
    <w:p>
      <w:pPr>
        <w:spacing w:line="360" w:lineRule="auto"/>
        <w:rPr>
          <w:rFonts w:ascii="宋体" w:hAnsi="宋体"/>
          <w:color w:val="auto"/>
          <w:szCs w:val="21"/>
          <w:highlight w:val="none"/>
        </w:rPr>
      </w:pPr>
    </w:p>
    <w:p>
      <w:pPr>
        <w:spacing w:line="360" w:lineRule="auto"/>
        <w:rPr>
          <w:rFonts w:asciiTheme="minorEastAsia" w:hAnsiTheme="minorEastAsia" w:eastAsiaTheme="minorEastAsia" w:cstheme="minorEastAsia"/>
          <w:b/>
          <w:color w:val="auto"/>
          <w:sz w:val="24"/>
          <w:highlight w:val="none"/>
        </w:rPr>
      </w:pPr>
      <w:bookmarkStart w:id="9" w:name="_Toc382819070"/>
      <w:r>
        <w:rPr>
          <w:rFonts w:hint="eastAsia" w:asciiTheme="minorEastAsia" w:hAnsiTheme="minorEastAsia" w:eastAsiaTheme="minorEastAsia" w:cstheme="minorEastAsia"/>
          <w:b/>
          <w:color w:val="auto"/>
          <w:sz w:val="24"/>
          <w:highlight w:val="none"/>
        </w:rPr>
        <w:t>基金托管人：上海浦东发展银行股份有限公司</w:t>
      </w:r>
      <w:bookmarkEnd w:id="9"/>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办公地址：上海市中山东一路12号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法定代表人：郑杨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成立日期：1992年10月19日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批准设立机关和批准设立文号：</w:t>
      </w:r>
      <w:bookmarkStart w:id="10" w:name="_Hlk98172649"/>
      <w:r>
        <w:rPr>
          <w:rFonts w:hint="eastAsia" w:asciiTheme="minorEastAsia" w:hAnsiTheme="minorEastAsia" w:eastAsiaTheme="minorEastAsia" w:cstheme="minorEastAsia"/>
          <w:bCs/>
          <w:color w:val="auto"/>
          <w:sz w:val="24"/>
          <w:highlight w:val="none"/>
        </w:rPr>
        <w:t>中国人民银行银复1992（601）号</w:t>
      </w:r>
    </w:p>
    <w:bookmarkEnd w:id="10"/>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基金托管业务资格批准机关：中国证监会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基金托管业务资格文号：证监基金字[2003]105号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组织形式：股份有限公司（上市）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注册资本：人民币293.52亿元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存续期间：永久存续</w:t>
      </w:r>
    </w:p>
    <w:p>
      <w:pPr>
        <w:spacing w:line="360" w:lineRule="auto"/>
        <w:ind w:firstLine="480" w:firstLineChars="200"/>
        <w:rPr>
          <w:rFonts w:ascii="宋体" w:hAnsi="宋体"/>
          <w:color w:val="auto"/>
          <w:sz w:val="24"/>
          <w:highlight w:val="none"/>
        </w:rPr>
      </w:pPr>
    </w:p>
    <w:p>
      <w:pPr>
        <w:spacing w:before="120" w:after="120" w:line="240" w:lineRule="atLeast"/>
        <w:jc w:val="center"/>
        <w:outlineLvl w:val="0"/>
        <w:rPr>
          <w:rFonts w:ascii="宋体" w:hAnsi="宋体"/>
          <w:color w:val="auto"/>
          <w:sz w:val="24"/>
          <w:highlight w:val="none"/>
        </w:rPr>
        <w:sectPr>
          <w:footerReference r:id="rId6" w:type="default"/>
          <w:pgSz w:w="11906" w:h="16838"/>
          <w:pgMar w:top="1440" w:right="1800" w:bottom="1440" w:left="1800" w:header="851" w:footer="992" w:gutter="0"/>
          <w:pgNumType w:start="1"/>
          <w:cols w:space="425" w:num="1"/>
          <w:docGrid w:type="lines" w:linePitch="312" w:charSpace="0"/>
        </w:sectPr>
      </w:pPr>
      <w:bookmarkStart w:id="11" w:name="_Toc382819071"/>
    </w:p>
    <w:p>
      <w:pPr>
        <w:spacing w:before="120" w:after="120" w:line="240" w:lineRule="atLeast"/>
        <w:jc w:val="center"/>
        <w:outlineLvl w:val="0"/>
        <w:rPr>
          <w:rFonts w:ascii="宋体" w:hAnsi="宋体"/>
          <w:color w:val="auto"/>
          <w:highlight w:val="none"/>
        </w:rPr>
      </w:pPr>
      <w:r>
        <w:rPr>
          <w:rFonts w:hint="eastAsia" w:ascii="宋体" w:hAnsi="宋体"/>
          <w:b/>
          <w:color w:val="auto"/>
          <w:sz w:val="24"/>
          <w:highlight w:val="none"/>
        </w:rPr>
        <w:t>一、基金托管协议的依据、目的、原则和解释</w:t>
      </w:r>
      <w:bookmarkEnd w:id="11"/>
    </w:p>
    <w:p>
      <w:pPr>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（一）依据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协议依据《中华人民共和国民法典》、《中华人民共和国证券法》、《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证券投资基金托管业务管理办法》、《证券投资基金信息披露内容与格式准则第7号〈托管协议的内容与格式〉》、《英大</w:t>
      </w:r>
      <w:r>
        <w:rPr>
          <w:rFonts w:hint="eastAsia" w:ascii="宋体" w:hAnsi="宋体"/>
          <w:color w:val="auto"/>
          <w:szCs w:val="21"/>
          <w:highlight w:val="none"/>
          <w:lang w:eastAsia="zh-CN"/>
        </w:rPr>
        <w:t>延福</w:t>
      </w:r>
      <w:r>
        <w:rPr>
          <w:rFonts w:hint="eastAsia" w:ascii="宋体" w:hAnsi="宋体"/>
          <w:color w:val="auto"/>
          <w:szCs w:val="21"/>
          <w:highlight w:val="none"/>
        </w:rPr>
        <w:t>养老目标日期</w:t>
      </w:r>
      <w:r>
        <w:rPr>
          <w:rFonts w:hint="eastAsia" w:ascii="宋体" w:hAnsi="宋体"/>
          <w:color w:val="auto"/>
          <w:szCs w:val="21"/>
          <w:highlight w:val="none"/>
          <w:lang w:eastAsia="zh-CN"/>
        </w:rPr>
        <w:t>2035</w:t>
      </w:r>
      <w:r>
        <w:rPr>
          <w:rFonts w:hint="eastAsia" w:ascii="宋体" w:hAnsi="宋体"/>
          <w:color w:val="auto"/>
          <w:szCs w:val="21"/>
          <w:highlight w:val="none"/>
        </w:rPr>
        <w:t>三年持有期混合型发起式基金中基金（FOF）基金合同》（以下简称《基金合同》）及其他有关法律、法规制定。</w:t>
      </w:r>
    </w:p>
    <w:p>
      <w:pPr>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（二）目的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pPr>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（三）原则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基金管理人和基金托管人本着平等自愿、诚实信用、充分保护基金份额持有人合法权益的原则，经协商一致，签订本协议。</w:t>
      </w:r>
    </w:p>
    <w:p>
      <w:pPr>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（四）解释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除非本协议另有约定，本协议所有术语与《基金合同》的相应术语具有相同含义。</w:t>
      </w:r>
    </w:p>
    <w:p>
      <w:pPr>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（五）若本基金实施侧袋机制的，侧袋机制实施期间的相关安排见基金合同和招募说明书的规定。</w:t>
      </w:r>
    </w:p>
    <w:p>
      <w:pPr>
        <w:widowControl/>
        <w:jc w:val="left"/>
        <w:rPr>
          <w:rFonts w:ascii="宋体" w:hAnsi="宋体"/>
          <w:color w:val="auto"/>
          <w:szCs w:val="21"/>
          <w:highlight w:val="none"/>
        </w:rPr>
      </w:pPr>
      <w:r>
        <w:rPr>
          <w:rFonts w:ascii="宋体" w:hAnsi="宋体"/>
          <w:b/>
          <w:bCs/>
          <w:color w:val="auto"/>
          <w:szCs w:val="21"/>
          <w:highlight w:val="none"/>
        </w:rPr>
        <w:br w:type="page"/>
      </w:r>
    </w:p>
    <w:p>
      <w:pPr>
        <w:spacing w:before="312" w:beforeLines="100" w:after="312" w:afterLines="100" w:line="240" w:lineRule="atLeast"/>
        <w:jc w:val="center"/>
        <w:outlineLvl w:val="0"/>
        <w:rPr>
          <w:rFonts w:ascii="宋体" w:hAnsi="宋体"/>
          <w:color w:val="auto"/>
          <w:highlight w:val="none"/>
        </w:rPr>
      </w:pPr>
      <w:bookmarkStart w:id="12" w:name="_Toc382819072"/>
      <w:r>
        <w:rPr>
          <w:rFonts w:hint="eastAsia" w:ascii="宋体" w:hAnsi="宋体"/>
          <w:b/>
          <w:color w:val="auto"/>
          <w:sz w:val="24"/>
          <w:highlight w:val="none"/>
        </w:rPr>
        <w:t>二、基金托管人对基金管理人的业务监督和核查</w:t>
      </w:r>
      <w:bookmarkEnd w:id="12"/>
    </w:p>
    <w:p>
      <w:pPr>
        <w:spacing w:line="360" w:lineRule="auto"/>
        <w:ind w:firstLine="420" w:firstLineChars="200"/>
        <w:rPr>
          <w:rFonts w:asciiTheme="minorEastAsia" w:hAnsiTheme="minorEastAsia" w:eastAsiaTheme="minorEastAsia" w:cstheme="minorEastAsia"/>
          <w:color w:val="auto"/>
          <w:szCs w:val="21"/>
          <w:highlight w:val="none"/>
        </w:rPr>
      </w:pPr>
      <w:bookmarkStart w:id="13" w:name="_Toc382819073"/>
      <w:r>
        <w:rPr>
          <w:rFonts w:hint="eastAsia" w:asciiTheme="minorEastAsia" w:hAnsiTheme="minorEastAsia" w:eastAsiaTheme="minorEastAsia" w:cstheme="minorEastAsia"/>
          <w:color w:val="auto"/>
          <w:szCs w:val="21"/>
          <w:highlight w:val="none"/>
        </w:rPr>
        <w:t>（一）基金托管人对基金管理人的投资行为行使监督权</w:t>
      </w:r>
      <w:bookmarkEnd w:id="13"/>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基金托管人根据有关法律法规的规定和《基金合同》的约定，对下述基金投资范围、投资对象进行监督。《基金合同》明确约定基金投资证券选择标准的，基金管理人应事先或定期向基金托管人提供投资品种池，以便基金托管人对基金实际投资是否符合基金合同关于证券选择标准的约定进行监督。</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本</w:t>
      </w:r>
      <w:r>
        <w:rPr>
          <w:rFonts w:hint="eastAsia" w:asciiTheme="minorEastAsia" w:hAnsiTheme="minorEastAsia" w:eastAsiaTheme="minorEastAsia" w:cstheme="minorEastAsia"/>
          <w:color w:val="auto"/>
          <w:kern w:val="0"/>
          <w:szCs w:val="21"/>
          <w:highlight w:val="none"/>
        </w:rPr>
        <w:t>基金将投资于以下金融工具：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基金的投资范围为具有良好流动性的金融工具，包括经中国证监会依法核准或注册的公开募集证券投资基金（含商品基金（包括但不限于商品期货基金和黄金ETF）、香港互认基金、QDII基金及其他经中国证监会核准或注册的基金）、国内依法发行上市的股票（包括主板、创业板及其他经中国证监会核准或注册上市的股票、存托凭证）、港股通标的股票、债券（包括国债、央行票据、金融债券、企业债券、公司债券、中期票据、短期融资券、超短期融资券、次级债券、政府支持机构债券、地方政府债券、可转换债券（含分离交易可转换债券）、可交换债券、证券公司短期公司债券、资产支持证券及其他经中国证监会允许投资的债券）、债券回购、同业存单、银行存款（包括协议存款、通知存款以及定期存款等其他银行存款）、货币市场工具以及中国证监会允许基金中基金投资的其他金融工具，但须符合中国证监会相关规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本基金不投资于股指期货、国债期货及股票期权等衍生类金融工具。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如法律法规或监管机构以后允许基金投资其他品种，基金管理人在履行适当程序后，可以将其纳入投资范围。</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本基金不得投资于相关法律、法规、部门规章及《基金合同》禁止投资的投资工具。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2.基金托管人根据有关法律法规的规定及《基金合同》的约定对下述基金投融资比例进行监督：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（1）按法律法规的规定及《基金合同》的约定，本基金的投资资产配置比例为：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目标日期到期日前本基金的投资组合比例为：中国证监会依法核准或注册的公开募集证券投资基金（含商品基金（包括但不限于商品期货基金和黄金ETF）、香港互认基金、QDII基金及其他经中国证监会核准或注册的基金）占基金资产的比例不低于80%，其中，投资于股票（含存托凭证）、股票型基金、混合型基金和商品基金（包括但不限于商品期货基金和黄金ETF）等品种的比例合计原则上不超过</w:t>
      </w:r>
      <w:r>
        <w:rPr>
          <w:rFonts w:hint="eastAsia" w:asciiTheme="minorEastAsia" w:hAnsiTheme="minorEastAsia" w:eastAsiaTheme="minorEastAsia" w:cstheme="minorEastAsia"/>
          <w:color w:val="auto"/>
          <w:szCs w:val="21"/>
          <w:highlight w:val="none"/>
          <w:lang w:eastAsia="zh-CN"/>
        </w:rPr>
        <w:t>58%</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2035</w:t>
      </w:r>
      <w:r>
        <w:rPr>
          <w:rFonts w:hint="eastAsia" w:asciiTheme="minorEastAsia" w:hAnsiTheme="minorEastAsia" w:eastAsiaTheme="minorEastAsia" w:cstheme="minorEastAsia"/>
          <w:color w:val="auto"/>
          <w:szCs w:val="21"/>
          <w:highlight w:val="none"/>
        </w:rPr>
        <w:t>年12月31日以后则合计原则上不高于基金资产的30%），对商品基金投资占基金资产的比例不超过10%。本基金投资于港股通标的股票的比例不超过股票资产的50%。本基金投资于QDII基金和香港互认基金的比例合计不超过基金资产的20%。本基金所持有现金或到期日在一年以内的政府债券的比例合计不低于基金资产净值的5%，其中现金不包括结算备付金、存出保证金及应收申购款等。权益类资产指股票（含存托凭证）、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如法律法规或监管机构变更投资品种的投资比例限制，基金管理人在履行适当程序后，可以调整上述投资品种的投资比例。</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因基金规模或市场变化等因素导致投资组合不符合上述规定的，基金管理人应在合理的期限内调整基金的投资组合，以符合上述比例限定。法律法规另有规定时，从其规定。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法律法规或监管机构以后允许本基金投资其他品种，基金管理人在履行法律法规或监管部门规定的适当程序并取得基金托管人同意后，可以将其纳入投资范围，并可依据届时有效的法律法规适时合理地调整投资范围。</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（2）根据法律法规的规定及《基金合同》的约定，本基金投资组合遵循以下投资限制：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1）本基金投资经中国证监会依法核准或注册的公开募集的基金的比例不低于本基金资产的80%；</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2）本基金阶段性的权益类资产配置符合下表限制：</w:t>
      </w:r>
    </w:p>
    <w:tbl>
      <w:tblPr>
        <w:tblStyle w:val="21"/>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9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时间段</w:t>
            </w:r>
          </w:p>
        </w:tc>
        <w:tc>
          <w:tcPr>
            <w:tcW w:w="1417"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权益类资产下限</w:t>
            </w:r>
          </w:p>
        </w:tc>
        <w:tc>
          <w:tcPr>
            <w:tcW w:w="964"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中枢值</w:t>
            </w:r>
          </w:p>
        </w:tc>
        <w:tc>
          <w:tcPr>
            <w:tcW w:w="1417"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权益类资产上限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1"/>
                <w:numId w:val="0"/>
              </w:numPr>
              <w:suppressLineNumbers w:val="0"/>
              <w:snapToGrid/>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基金合同生效之日至2023年12月31日</w:t>
            </w:r>
          </w:p>
        </w:tc>
        <w:tc>
          <w:tcPr>
            <w:tcW w:w="1417"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33%</w:t>
            </w:r>
          </w:p>
        </w:tc>
        <w:tc>
          <w:tcPr>
            <w:tcW w:w="964"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48%</w:t>
            </w:r>
          </w:p>
        </w:tc>
        <w:tc>
          <w:tcPr>
            <w:tcW w:w="1417"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2024年1月1日至2026年12月31日</w:t>
            </w:r>
          </w:p>
        </w:tc>
        <w:tc>
          <w:tcPr>
            <w:tcW w:w="1417"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30%</w:t>
            </w:r>
          </w:p>
        </w:tc>
        <w:tc>
          <w:tcPr>
            <w:tcW w:w="964"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45%</w:t>
            </w:r>
          </w:p>
        </w:tc>
        <w:tc>
          <w:tcPr>
            <w:tcW w:w="1417"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2027年1月1日至2029年12月31日</w:t>
            </w:r>
          </w:p>
        </w:tc>
        <w:tc>
          <w:tcPr>
            <w:tcW w:w="1417"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25%</w:t>
            </w:r>
          </w:p>
        </w:tc>
        <w:tc>
          <w:tcPr>
            <w:tcW w:w="964"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40%</w:t>
            </w:r>
          </w:p>
        </w:tc>
        <w:tc>
          <w:tcPr>
            <w:tcW w:w="1417"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2030年1月1日至2032年12月31日</w:t>
            </w:r>
          </w:p>
        </w:tc>
        <w:tc>
          <w:tcPr>
            <w:tcW w:w="1417"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15%</w:t>
            </w:r>
          </w:p>
        </w:tc>
        <w:tc>
          <w:tcPr>
            <w:tcW w:w="964"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30%</w:t>
            </w:r>
          </w:p>
        </w:tc>
        <w:tc>
          <w:tcPr>
            <w:tcW w:w="1417"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2033年1月1日至2035年12月31日</w:t>
            </w:r>
          </w:p>
        </w:tc>
        <w:tc>
          <w:tcPr>
            <w:tcW w:w="1417"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5%</w:t>
            </w:r>
          </w:p>
        </w:tc>
        <w:tc>
          <w:tcPr>
            <w:tcW w:w="964"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20%</w:t>
            </w:r>
          </w:p>
        </w:tc>
        <w:tc>
          <w:tcPr>
            <w:tcW w:w="1417"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目标日期（2035年12月31日）以后</w:t>
            </w:r>
          </w:p>
        </w:tc>
        <w:tc>
          <w:tcPr>
            <w:tcW w:w="1417"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0%</w:t>
            </w:r>
          </w:p>
        </w:tc>
        <w:tc>
          <w:tcPr>
            <w:tcW w:w="964"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cs="宋体"/>
                <w:bCs/>
                <w:i w:val="0"/>
                <w:color w:val="auto"/>
                <w:kern w:val="2"/>
                <w:sz w:val="21"/>
                <w:szCs w:val="21"/>
                <w:highlight w:val="none"/>
                <w:u w:val="none"/>
                <w:lang w:val="en-US" w:eastAsia="zh-CN" w:bidi="ar"/>
              </w:rPr>
              <w:t>-</w:t>
            </w:r>
          </w:p>
        </w:tc>
        <w:tc>
          <w:tcPr>
            <w:tcW w:w="1417" w:type="dxa"/>
            <w:vAlign w:val="center"/>
          </w:tcPr>
          <w:p>
            <w:pPr>
              <w:keepNext w:val="0"/>
              <w:keepLines w:val="0"/>
              <w:widowControl/>
              <w:numPr>
                <w:ilvl w:val="-1"/>
                <w:numId w:val="0"/>
              </w:numPr>
              <w:suppressLineNumbers w:val="0"/>
              <w:ind w:left="0" w:leftChars="0" w:firstLine="0" w:firstLineChars="0"/>
              <w:jc w:val="center"/>
              <w:textAlignment w:val="auto"/>
              <w:rPr>
                <w:rFonts w:hint="eastAsia" w:ascii="宋体" w:hAnsi="宋体" w:cs="宋体"/>
                <w:bCs/>
                <w:color w:val="auto"/>
                <w:szCs w:val="21"/>
                <w:highlight w:val="none"/>
                <w:lang w:bidi="ar"/>
              </w:rPr>
            </w:pPr>
            <w:r>
              <w:rPr>
                <w:rFonts w:hint="eastAsia" w:ascii="宋体" w:hAnsi="宋体" w:eastAsia="宋体" w:cs="宋体"/>
                <w:bCs/>
                <w:i w:val="0"/>
                <w:color w:val="auto"/>
                <w:kern w:val="2"/>
                <w:sz w:val="21"/>
                <w:szCs w:val="21"/>
                <w:highlight w:val="none"/>
                <w:u w:val="none"/>
                <w:lang w:val="en-US" w:eastAsia="zh-CN" w:bidi="ar"/>
              </w:rPr>
              <w:t>30%</w:t>
            </w:r>
          </w:p>
        </w:tc>
      </w:tr>
    </w:tbl>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基金投资的权益类资产指股票（含存托凭证）、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3）本基金持有单只基金的市值，不得高于本基金基金资产净值的20%，且不得持有其他基金中基金；</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4）除ETF联接基金外，本基金管理人管理的全部基金中基金持有单只基金不得超过被投资基金净资产的20%，被投资基金净资产规模以最近定期报告披露的规模为准；</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5）本基金不得持有具有复杂、衍生品性质的基金份额，包括分级基金和中国证监会认定的其他基金份额；</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6）本基金投资的子基金</w:t>
      </w:r>
      <w:r>
        <w:rPr>
          <w:rFonts w:hint="eastAsia" w:asciiTheme="minorEastAsia" w:hAnsiTheme="minorEastAsia" w:eastAsiaTheme="minorEastAsia" w:cstheme="minorEastAsia"/>
          <w:bCs/>
          <w:color w:val="auto"/>
          <w:szCs w:val="21"/>
          <w:highlight w:val="none"/>
        </w:rPr>
        <w:t>（不含指数基金、ETF和商品基金）</w:t>
      </w:r>
      <w:r>
        <w:rPr>
          <w:rFonts w:hint="eastAsia" w:asciiTheme="minorEastAsia" w:hAnsiTheme="minorEastAsia" w:eastAsiaTheme="minorEastAsia" w:cstheme="minorEastAsia"/>
          <w:color w:val="auto"/>
          <w:kern w:val="0"/>
          <w:szCs w:val="21"/>
          <w:highlight w:val="none"/>
        </w:rPr>
        <w:t>运作期限应当不少于2年，最近2年平均季末基金净资产应当不低于2亿元；子基金为指数基金、ETF和商品基金等品种的，运作期限应当不少于1年，最近定期报告披露的季末基金净资产应当不低于1亿元；子基金运作合规，风格清晰，中长期收益良好，业绩波动性较低；子基金的管理人及子基金基金经理最近2年没有重大违法违规行为；</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7）本基金对股票（含存托凭证）、股票型基金、混合型基金和商品基金（含商品期货基金和黄金ETF）的投资比例不超过基金资产的</w:t>
      </w:r>
      <w:r>
        <w:rPr>
          <w:rFonts w:hint="eastAsia" w:asciiTheme="minorEastAsia" w:hAnsiTheme="minorEastAsia" w:eastAsiaTheme="minorEastAsia" w:cstheme="minorEastAsia"/>
          <w:color w:val="auto"/>
          <w:kern w:val="0"/>
          <w:szCs w:val="21"/>
          <w:highlight w:val="none"/>
          <w:lang w:eastAsia="zh-CN"/>
        </w:rPr>
        <w:t>58%</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eastAsia="zh-CN"/>
        </w:rPr>
        <w:t>2035</w:t>
      </w:r>
      <w:r>
        <w:rPr>
          <w:rFonts w:hint="eastAsia" w:asciiTheme="minorEastAsia" w:hAnsiTheme="minorEastAsia" w:eastAsiaTheme="minorEastAsia" w:cstheme="minorEastAsia"/>
          <w:bCs/>
          <w:color w:val="auto"/>
          <w:szCs w:val="21"/>
          <w:highlight w:val="none"/>
        </w:rPr>
        <w:t>年12月31日以后则合计原则上不高于基金资产的30%）</w:t>
      </w:r>
      <w:r>
        <w:rPr>
          <w:rFonts w:hint="eastAsia" w:asciiTheme="minorEastAsia" w:hAnsiTheme="minorEastAsia" w:eastAsiaTheme="minorEastAsia" w:cstheme="minorEastAsia"/>
          <w:color w:val="auto"/>
          <w:kern w:val="0"/>
          <w:szCs w:val="21"/>
          <w:highlight w:val="none"/>
        </w:rPr>
        <w:t>，其中对商品基金投资占基金资产的比例不超过10%，本基金投资于QDII基金和香港互认基金的比例合计不超过基金资产的20%；</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8）本基金投资于港股通标的股票的比例不超过股票资产的50%；</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9）本基金投资于货币市场基金的比例不超过基金资产的15%；</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10）本基金持有不低于基金资产净值5%的现金或者到期日在一年以内的政府债券，其中现金不包括结算备付金、存出保证金、应收申购款等；</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11）本基金持有一家公司发行的证券（同一家公司在内地和香港同时上市的A+H股合计计算且不含本基金所投资的基金份额），其市值不超过基金资产净值的10%；</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本基金管理人管理的全部基金持有一家公司发行的证券（同一家公司在内地和香港同时上市的A+H股合计计算且不含本基金所投资的基金份额），不超过该证券的10%，完全按照有关指数的构成比例进行证券投资的基金品种可以不受此条款规定的比例限制；</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14）本基金投资于同一原始权益人的各类资产支持证券的比例，不得超过基金资产净值的10%；</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15）本基金持有的全部资产支持证券，其市值不得超过基金资产净值的20％；</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16）本基金持有的同一（指同一信用级别）资产支持证券的比例，不得超过该资产支持证券规模的10%；</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17）本基金管理人管理的全部基金投资于同一原始权益人的各类资产支持证券，不得超过其各类资产支持证券合计规模的10%；</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19）基金财产参与股票发行申购，本基金所申报的金额不超过本基金的总资产，本基金所申报的股票数量不超过拟发行股票公司本次发行股票的总量；</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20）本基金进入全国银行间同业市场进行债券回购的最长期限为1年，债券回购到期后不得展期；</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21）在本基金认购份额的最短持有期内，本基金资产总值不得超过基金资产净值的200%；在本基金认购份额最短持有期到期后，本基金资产总值不超过基金资产净值的140%；</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在本基金开放日，本基金投资于流通受限基金的市值不得超过基金资产净值的10%；流通受限基金是指封闭运作基金、定期开放基金等由基金合同规定明确在一定期限锁定期内不可赎回的基金，但不包括ETF、LOF等可上市交易的基金；</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24）本基金与私募类证券资管产品及中国证监会认定的其他主体为交易对手开展逆回购交易的，可接受质押品的资质要求应当与基金合同约定的投资范围保持一致；</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25）本基金投资于股票、债券等金融工具的，投资品种和比例应当符合本基金的投资目标和投资策略；</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26）本基金投资存托凭证的比例限制依照境内上市交易的股票执行；</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27）法律法规及中国证监会规定的和基金合同约定的其他投资限制。</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因证券市场波动、基金规模变动等基金管理人之外因素致使基金投资不符合前款第（3）、（4）项约定的投资比例的，基金管理人应当在20个交易日内进行调整，但中国证监会规定的特殊情形除外。</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除上述（3）、（4）、（10）、（18）、（23）、（24）项情形之外，因证券市场波动、证券发行人合并、基金规模变动等基金管理人之外的因素致使基金投资比例不符合上述规定的投资比例的，基金管理人应当在10个交易日内进行调整，但中国证监会规定的特殊情形除外。法律法规另有规定的，从其规定。</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line="360" w:lineRule="auto"/>
        <w:ind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法律法规或监管部门取消或变更上述限制，如适用于本基金，基金管理人在履行适当程序后，则本基金投资不再受相关限制或以变更以后的规定为准，但须提前公告，不需要经基金份额持有人大会审议。如本基金增加投资品种，投资限制以法律法规和中国证监会的规定为准。</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基金托管人对上述指标的监督义务，仅限于监督由基金管理人管理且由托管人托管的全部公募基金是否符合上述比例限制。《基金法》及其他有关法律法规或监管部门取消上述限制的，履行法律法规或监管部门规定的适当程序</w:t>
      </w:r>
      <w:r>
        <w:rPr>
          <w:rFonts w:hint="eastAsia" w:asciiTheme="minorEastAsia" w:hAnsiTheme="minorEastAsia" w:eastAsiaTheme="minorEastAsia" w:cstheme="minorEastAsia"/>
          <w:color w:val="auto"/>
          <w:szCs w:val="21"/>
          <w:highlight w:val="none"/>
        </w:rPr>
        <w:t>并取得基金托管人同意</w:t>
      </w:r>
      <w:r>
        <w:rPr>
          <w:rFonts w:hint="eastAsia" w:asciiTheme="minorEastAsia" w:hAnsiTheme="minorEastAsia" w:eastAsiaTheme="minorEastAsia" w:cstheme="minorEastAsia"/>
          <w:color w:val="auto"/>
          <w:kern w:val="0"/>
          <w:szCs w:val="21"/>
          <w:highlight w:val="none"/>
        </w:rPr>
        <w:t>后，基金不受上述限制。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（3）法律法规允许的基金投资比例调整期限</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由于证券、期货市场波动、证券发行人合并、基金规模变动等基金管理人之外的原因导致的投资组合不符合上述约定的比例，不在限制之内，但基金管理人应在10个交易日内进行调整，以达到规定的投资比例限制要求，但中国证监会规定的特殊情形除外。法律法规另有规定的，从其规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应当自基金合同生效之日起6个月内使基金的投资组合比例符合基金合同的有关约定。在上述期间内，本基金的投资范围、投资策略应当符合基金合同的约定。基金托管人对基金的投资的监督与检查自本协议生效且基金合同生效之日起开始。</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律法规或监管部门对上述投资限制、投资禁止等做出强制性调整的，本基金应当按照法律法规或监管部门的规定执行；如法律法规或监管部门修改或调整上述投资限制、投资禁止性规定，且该等调整或修改属于非强制性的，基金管理人有权在履行法律法规或监管部门规定的适当程序后按照法律法规或监管部门调整或修改后的规定执行，并应向投资者履行信息披露义务。如本基金增加投资品种，投资限制以法律法规和中国证监会的规定为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基金管理人应在出现可预见资产规模大幅变动的情况下，至少提前2个工作日正式向基金托管人发函说明基金可能的变动规模和公司应对措施，便于基金托管人实施交易监督。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（4）本基金可以按照国家的有关规定进行融资融券。</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（5）相关法律、法规或部门规章规定的其他比例限制。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3.基金托管人根据有关法律法规的规定及《基金合同》的约定对下述基金投资禁止行为进行监督：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为维护基金份额持有人的合法权益，基金财产不得用于下列投资或者活动：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（1）承销证券；</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（2）违反规定向他人贷款或者提供担保；</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（3）从事承担无限责任的投资；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（4）向其基金管理人、基金托管人出资；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（5）从事内幕交易、操纵证券交易价格及其他不正当的证券交易活动；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（6）法律、行政法规和中国证监会规定禁止的其他活动。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法律、行政法规或监管部门取消或调整上述限制，如适用于本基金，基金管理人在履行适当程序后，则本基金投资不受上述限制或按调整后的规定执行。</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4.基金托管人依据有关法律法规的规定和《基金合同》的约定对于基金关联投资限制进行监督。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和基金托管人事先相互提供关联方清单及关联关系。基金管理人有责任确保关联交易名单的真实性、准确性、完整性，并负责及时将更新后的名单发送给基金托管人。名单变更后基金管理人应及时发送基金托管人，经基金托管人确认后，新的关联交易名单开始生效。基金托管人仅按基金管理人提供的基金关联方名单为限，进行监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5.基金托管人</w:t>
      </w:r>
      <w:r>
        <w:rPr>
          <w:rFonts w:hint="eastAsia" w:asciiTheme="minorEastAsia" w:hAnsiTheme="minorEastAsia" w:eastAsiaTheme="minorEastAsia" w:cstheme="minorEastAsia"/>
          <w:color w:val="auto"/>
          <w:kern w:val="0"/>
          <w:szCs w:val="21"/>
          <w:highlight w:val="none"/>
        </w:rPr>
        <w:t>依据有关法律法规的规定和《基金合同》的约定</w:t>
      </w:r>
      <w:r>
        <w:rPr>
          <w:rFonts w:hint="eastAsia" w:asciiTheme="minorEastAsia" w:hAnsiTheme="minorEastAsia" w:eastAsiaTheme="minorEastAsia" w:cstheme="minorEastAsia"/>
          <w:color w:val="auto"/>
          <w:szCs w:val="21"/>
          <w:highlight w:val="none"/>
        </w:rPr>
        <w:t>对基金管理人参与银行间债券市场进行监督。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应在基金投资运作之前向基金托管人提供符合法律法规及行业标准的、经慎重选择的、本基金适用的银行间债券市场交易对手名单，并约定各交易对手所适用的交易结算方式。基金托管人根据基金管理人提供的银行间债券市场交易对手名单进行监督。基金管理人可以定期对银行间债券市场交易对手名单及结算方式进行更新，新名单确定前已与本次剔除的交易对手所进行但尚未结算的交易，仍应按照协议进行结算。</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基金管理人有责任控制交易对手的资信风险，由于交易对手的资信风险引起的损失，基金管理人应当负责向相关责任人追偿。基金托管人不承担由此引发的责任及损失。</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6.基金托管人依据有关法律法规的规定和《基金合同》的约定，对基金银行存款业务进行监督。</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基金管理人应当加强对基金投资银行存款风险的评估与研究，严格测算与控制投资银行存款的风险敞口，针对不同类型存款银行建立相关投资限制制度。</w:t>
      </w:r>
      <w:r>
        <w:rPr>
          <w:rFonts w:hint="eastAsia" w:asciiTheme="minorEastAsia" w:hAnsiTheme="minorEastAsia" w:eastAsiaTheme="minorEastAsia" w:cstheme="minorEastAsia"/>
          <w:color w:val="auto"/>
          <w:kern w:val="0"/>
          <w:szCs w:val="21"/>
          <w:highlight w:val="none"/>
        </w:rPr>
        <w:t>对于基金投资的银行存款，由于存款银行发生信用风险事件而造成损失时，应先由基金管理人负责赔偿，之后有权向相关责任人进行追偿。如果基金托管人在运作过程中遵循有关法律法规的规定和《基金合同》的约定监督流程，则对于由于存款银行信用风险引起的损失，不承担赔偿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7.基金托管人对基金投资流通受限证券的监督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如下所指“流通受限证券”与本协议以及基金合同所指“流动性受限资产”定义存在不同。就流动性受限资产定义，请参照基金合同的“第二部分  释义”关于流动性受限资产的定义。</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基金管理人投资流通受限证券，应事先根据中国证监会相关规定，明确基金投资流通受限证券的比例，制订严格的投资决策流程和风险控制制度，防范流动性风险、法律风险和操作风险等各种风险。</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所有损失。对本基金因投资流通受限证券导致的流动性风险，基金托管人不承担任何责任。如因基金管理人原因导致本基金出现损失的，基金托管人不承担任何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基金管理人应在基金投资非公开发行股票后两个交易日内，在中国证监会规定媒介披露所投资非公开发行股票的名称、数量、总成本、账面价值，以及总成本和账面价值占基金资产净值的比例、锁定期等信息。</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基金管理人未遵守相关制度、流动性风险处置方案以及投资额度和比例限制要求，导致基金出现风险使基金托管人承担赔偿责任的，若基金托管人此前已切实履行监督职责的，基金管理人应赔偿基金托管人由此遭受的损失。</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1）中国证监会批准发行非公开发行股票的批准文件。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2）有关非公开发行股票的发行数量、发行价格、锁定期等发行资料。</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3）基金拟认购的数量、价格、总成本、账面价值。</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4）该基金投资流通受限证券的投资额度和投资比例控制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kern w:val="0"/>
          <w:szCs w:val="21"/>
          <w:highlight w:val="none"/>
        </w:rPr>
        <w:t>基金托管人应按照《关于基金投资非公开发行股票等流通受限证券有关问题的通知》规定，对基金管理人是否遵守法律法规进行监督，并审核基金管理人提供的有关书面信息。</w:t>
      </w:r>
      <w:r>
        <w:rPr>
          <w:rFonts w:hint="eastAsia" w:asciiTheme="minorEastAsia" w:hAnsiTheme="minorEastAsia" w:eastAsiaTheme="minorEastAsia" w:cstheme="minorEastAsia"/>
          <w:color w:val="auto"/>
          <w:szCs w:val="21"/>
          <w:highlight w:val="none"/>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若基金管理人不提供或提供后经基金托管人评估认为可能存在无法消除的风险，基金托管人有权拒绝执行有关指令。因拒绝执行该指令造成基金财产损失的，基金托管人不承担任何责任，并有权报告中国证监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如基金管理人和基金托管人无法就上述问题达成一致，应及时上报中国证监会请求解决。基金托管人履行了本协议规定的监督职责后，不承担任何责任。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（5）相关法律法规对基金投资流通受限证券有新规定的，从其规定。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基金托管人对基金投资中小企业私募债券、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小企业私募债券、中期票据导致的信用风险、流动性风险，基金托管人不承担任何责任。如因基金管理人原因导致基金出现损失的，基金托管人不承担任何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管理的基金在投资中小企业私募债、中期票据前，基金管理人须根据法律、法规、监管部门的规定，制定严格的关于投资中小企业私募债、中期票据的风险控制制度和流动性风险处置预案，基金管理人在此承诺将严格执行该风险控制制度和流动性风险处置预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（二）基金托管人应当依照法律法规和基金合同约定，加强对侧袋机制启用、特定资产处置和信息披露等方面的复核和监督。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如基金托管人经评估认为不满足监管机构规定和基金合同约定实施条件的，基金管理人不得启用侧袋机制。</w:t>
      </w:r>
    </w:p>
    <w:p>
      <w:pPr>
        <w:spacing w:line="360" w:lineRule="auto"/>
        <w:ind w:firstLine="420" w:firstLineChars="200"/>
        <w:rPr>
          <w:rFonts w:asciiTheme="minorEastAsia" w:hAnsiTheme="minorEastAsia" w:eastAsiaTheme="minorEastAsia" w:cstheme="minorEastAsia"/>
          <w:color w:val="auto"/>
          <w:szCs w:val="21"/>
          <w:highlight w:val="none"/>
        </w:rPr>
      </w:pPr>
      <w:bookmarkStart w:id="14" w:name="_Toc382819074"/>
      <w:r>
        <w:rPr>
          <w:rFonts w:hint="eastAsia" w:asciiTheme="minorEastAsia" w:hAnsiTheme="minorEastAsia" w:eastAsiaTheme="minorEastAsia" w:cstheme="minorEastAsia"/>
          <w:color w:val="auto"/>
          <w:szCs w:val="21"/>
          <w:highlight w:val="none"/>
        </w:rPr>
        <w:t>（三）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4"/>
    </w:p>
    <w:p>
      <w:pPr>
        <w:spacing w:line="360" w:lineRule="auto"/>
        <w:ind w:firstLine="420" w:firstLineChars="200"/>
        <w:rPr>
          <w:rFonts w:asciiTheme="minorEastAsia" w:hAnsiTheme="minorEastAsia" w:eastAsiaTheme="minorEastAsia" w:cstheme="minorEastAsia"/>
          <w:color w:val="auto"/>
          <w:szCs w:val="21"/>
          <w:highlight w:val="none"/>
        </w:rPr>
      </w:pPr>
      <w:bookmarkStart w:id="15" w:name="_Toc382819075"/>
      <w:r>
        <w:rPr>
          <w:rFonts w:hint="eastAsia" w:asciiTheme="minorEastAsia" w:hAnsiTheme="minorEastAsia" w:eastAsiaTheme="minorEastAsia" w:cstheme="minorEastAsia"/>
          <w:color w:val="auto"/>
          <w:szCs w:val="21"/>
          <w:highlight w:val="none"/>
        </w:rPr>
        <w:t>（四）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5"/>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1.在限期内，基金托管人有权随时对通知事项进行复查，督促基金管理人改正。基金管理人对基金托管人通知的违规事项未能在限期内纠正的，基金托管人应报告中国证监会。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对于必须于估值完成后方可获知的监控指标或依据交易程序已经成交的投资指令，基金托管人发现该投资指令违反法律法规或者违反《基金合同》约定的，应当立即通知基金管理人，并报告中国证监会。基金管理人的上述违规失信行为给基金财产或基金份额持有人造成的损失，由基金管理人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5.基金托管人发现基金管理人有重大违规行为，应立即报告中国证监会，同时通知基金管理人限期纠正。基金管理人的上述违规失信行为给基金财产或基金份额持有人造成的损失，由基金管理人承担。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无正当理由，拒绝、阻挠基金托管人根据本协议规定行使监督权，或采取拖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pPr>
        <w:spacing w:line="440" w:lineRule="exact"/>
        <w:ind w:firstLine="420" w:firstLineChars="200"/>
        <w:rPr>
          <w:rFonts w:ascii="宋体" w:hAnsi="宋体"/>
          <w:color w:val="auto"/>
          <w:szCs w:val="21"/>
          <w:highlight w:val="none"/>
        </w:rPr>
      </w:pPr>
    </w:p>
    <w:p>
      <w:pPr>
        <w:jc w:val="left"/>
        <w:rPr>
          <w:rFonts w:ascii="宋体" w:hAnsi="宋体"/>
          <w:b/>
          <w:color w:val="auto"/>
          <w:sz w:val="24"/>
          <w:highlight w:val="none"/>
        </w:rPr>
      </w:pPr>
      <w:bookmarkStart w:id="16" w:name="_Toc382819076"/>
      <w:r>
        <w:rPr>
          <w:rFonts w:hint="eastAsia" w:ascii="宋体" w:hAnsi="宋体"/>
          <w:b/>
          <w:color w:val="auto"/>
          <w:sz w:val="24"/>
          <w:highlight w:val="none"/>
        </w:rPr>
        <w:br w:type="page"/>
      </w:r>
    </w:p>
    <w:p>
      <w:pPr>
        <w:spacing w:before="312" w:beforeLines="100" w:after="312" w:afterLines="100" w:line="240" w:lineRule="atLeast"/>
        <w:jc w:val="center"/>
        <w:outlineLvl w:val="0"/>
        <w:rPr>
          <w:rFonts w:ascii="宋体" w:hAnsi="宋体"/>
          <w:color w:val="auto"/>
          <w:highlight w:val="none"/>
        </w:rPr>
      </w:pPr>
      <w:r>
        <w:rPr>
          <w:rFonts w:hint="eastAsia" w:ascii="宋体" w:hAnsi="宋体"/>
          <w:b/>
          <w:color w:val="auto"/>
          <w:sz w:val="24"/>
          <w:highlight w:val="none"/>
        </w:rPr>
        <w:t>三、基金管理人对基金托管人的业务核查</w:t>
      </w:r>
      <w:bookmarkEnd w:id="1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基金份额净值、是否根据基金管理人指令办理清算交收、进行相关信息披露和监督基金投资运作等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（三）基金托管人应积极配合基金管理人的核查行为，包括但不限于：提交相关资料以供基金管理人核查托管财产的完整性和真实性，在规定时间内答复基金管理人并改正。</w:t>
      </w:r>
    </w:p>
    <w:p>
      <w:pPr>
        <w:spacing w:line="360" w:lineRule="auto"/>
        <w:ind w:firstLine="420" w:firstLineChars="200"/>
        <w:rPr>
          <w:rFonts w:ascii="宋体" w:hAnsi="宋体"/>
          <w:color w:val="auto"/>
          <w:szCs w:val="21"/>
          <w:highlight w:val="none"/>
        </w:rPr>
      </w:pPr>
      <w:bookmarkStart w:id="17" w:name="_Toc382818598"/>
      <w:bookmarkStart w:id="18" w:name="_Toc382819077"/>
      <w:r>
        <w:rPr>
          <w:rFonts w:hint="eastAsia" w:ascii="宋体" w:hAnsi="宋体"/>
          <w:color w:val="auto"/>
          <w:szCs w:val="21"/>
          <w:highlight w:val="none"/>
        </w:rPr>
        <w:t>（四）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jc w:val="left"/>
        <w:rPr>
          <w:rFonts w:ascii="宋体" w:hAnsi="宋体"/>
          <w:b/>
          <w:color w:val="auto"/>
          <w:sz w:val="24"/>
          <w:highlight w:val="none"/>
        </w:rPr>
      </w:pPr>
      <w:bookmarkStart w:id="19" w:name="_Toc382819078"/>
      <w:r>
        <w:rPr>
          <w:rFonts w:hint="eastAsia" w:ascii="宋体" w:hAnsi="宋体"/>
          <w:b/>
          <w:color w:val="auto"/>
          <w:sz w:val="24"/>
          <w:highlight w:val="none"/>
        </w:rPr>
        <w:br w:type="page"/>
      </w:r>
    </w:p>
    <w:p>
      <w:pPr>
        <w:spacing w:before="312" w:beforeLines="100" w:after="312" w:afterLines="100" w:line="240" w:lineRule="atLeast"/>
        <w:jc w:val="center"/>
        <w:outlineLvl w:val="0"/>
        <w:rPr>
          <w:rFonts w:ascii="宋体" w:hAnsi="宋体"/>
          <w:color w:val="auto"/>
          <w:highlight w:val="none"/>
        </w:rPr>
      </w:pPr>
      <w:r>
        <w:rPr>
          <w:rFonts w:hint="eastAsia" w:ascii="宋体" w:hAnsi="宋体"/>
          <w:b/>
          <w:color w:val="auto"/>
          <w:sz w:val="24"/>
          <w:highlight w:val="none"/>
        </w:rPr>
        <w:t>四、基金财产保管</w:t>
      </w:r>
      <w:bookmarkEnd w:id="19"/>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highlight w:val="none"/>
        </w:rPr>
      </w:pPr>
      <w:bookmarkStart w:id="20" w:name="_Toc382819079"/>
      <w:r>
        <w:rPr>
          <w:rFonts w:hint="eastAsia" w:asciiTheme="minorEastAsia" w:hAnsiTheme="minorEastAsia" w:eastAsiaTheme="minorEastAsia" w:cstheme="minorEastAsia"/>
          <w:b w:val="0"/>
          <w:bCs w:val="0"/>
          <w:color w:val="auto"/>
          <w:sz w:val="21"/>
          <w:szCs w:val="21"/>
          <w:highlight w:val="none"/>
        </w:rPr>
        <w:t>（一）基金财产保管的原则</w:t>
      </w:r>
      <w:bookmarkEnd w:id="20"/>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1.基金财产应独立于基金管理人、基金托管人的固有财产。</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基金托管人应按本协议规定安全保管托管财产。未经基金管理人的指令，不得自行运用、处分、分配基金的任何财产（基金托管人主动扣收的汇划费及依据本协议扣划的托管费等费用除外）。基金托管人不对处于自身实际控制之外的账户及财产承担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3.基金托管人根据相关法律法规、规范性文件为本基金开立资金账户、证券账户、基金账户以及投资所需的其他专用账户。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4.基金托管人对所托管的不同基金财产分别设置账户，与基金托管人的其他业务和其他基金的托管业务实行严格的分账管理，确保基金财产的完整与独立。</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基金托管人对因为基金管理人投资产生的存放或存管在基金托管人以外机构的基金资产，或交由期货公司或证券公司负责清算交收的基金资产（包括但不限于证券交易资金账户内的资金、证券类基金资产、期货保证金账户内的资金、期货合约等）及其收益，由于该等机构或该机构会员单位等本协议当事人外第三方的欺诈、疏忽、过失或破产等原因给基金资产造成的损失等不承担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7.除依据法律法规和基金合同的规定外，基金托管人不得委托第三人托管基金财产。</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highlight w:val="none"/>
        </w:rPr>
      </w:pPr>
      <w:bookmarkStart w:id="21" w:name="_Toc382819080"/>
      <w:r>
        <w:rPr>
          <w:rFonts w:hint="eastAsia" w:asciiTheme="minorEastAsia" w:hAnsiTheme="minorEastAsia" w:eastAsiaTheme="minorEastAsia" w:cstheme="minorEastAsia"/>
          <w:b w:val="0"/>
          <w:bCs w:val="0"/>
          <w:color w:val="auto"/>
          <w:sz w:val="21"/>
          <w:szCs w:val="21"/>
          <w:highlight w:val="none"/>
        </w:rPr>
        <w:t>（二）募集资金的验证</w:t>
      </w:r>
      <w:bookmarkEnd w:id="21"/>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募集期内销售机构按销售与服务代理协议的约定，将认购资金划入基金管理人在具有托管资格的商业银行开设的认购专户。该账户由基金管理人开立并管理。基金募集期满，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若基金募集期限届满，未能达到《基金合同》备案的条件，由基金管理人按规定办理退款事宜。</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highlight w:val="none"/>
        </w:rPr>
      </w:pPr>
      <w:bookmarkStart w:id="22" w:name="_Toc382819081"/>
      <w:r>
        <w:rPr>
          <w:rFonts w:hint="eastAsia" w:asciiTheme="minorEastAsia" w:hAnsiTheme="minorEastAsia" w:eastAsiaTheme="minorEastAsia" w:cstheme="minorEastAsia"/>
          <w:b w:val="0"/>
          <w:bCs w:val="0"/>
          <w:color w:val="auto"/>
          <w:sz w:val="21"/>
          <w:szCs w:val="21"/>
          <w:highlight w:val="none"/>
        </w:rPr>
        <w:t>（三）基金资产托管专户的开立和管理</w:t>
      </w:r>
      <w:bookmarkEnd w:id="22"/>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基金托管人以基金的名义在其营业机构开设资产托管专户，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基金的一切货币收支活动，均需通过基金托管人或基金的资产托管专户进行。基金的资产托管专户的开立和使用，限于满足开展本基金业务的需要。资产托管专户不得用于存取现金或开立网银转账等功能。除因本基金业务需要，基金托管人和基金管理人不得假借本基金的名义开立其他任何银行账户；亦不得使用以基金名义开立的银行账户进行本基金业务以外的活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3.资产托管专户的管理应符合《人民币银行结算账户管理办法》、《现金管理暂行条例》、《人民币利率管理规定》、《利率管理暂行规定》、《支付结算办法》以及银行业监督管理机构的其他有关规定。</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highlight w:val="none"/>
        </w:rPr>
      </w:pPr>
      <w:bookmarkStart w:id="23" w:name="_Toc382819082"/>
      <w:r>
        <w:rPr>
          <w:rFonts w:hint="eastAsia" w:asciiTheme="minorEastAsia" w:hAnsiTheme="minorEastAsia" w:eastAsiaTheme="minorEastAsia" w:cstheme="minorEastAsia"/>
          <w:b w:val="0"/>
          <w:bCs w:val="0"/>
          <w:color w:val="auto"/>
          <w:sz w:val="21"/>
          <w:szCs w:val="21"/>
          <w:highlight w:val="none"/>
        </w:rPr>
        <w:t>（四）基金证券账户与证券交易资金账户的开设和管理</w:t>
      </w:r>
      <w:bookmarkEnd w:id="23"/>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1．基金托管人以基金托管人和本基金联名的方式在中国证券登记结算有限公司上海分公司/深圳分公司开立专门的证券账户。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3.基金证券账户的开立和原始开户材料的保管由基金托管人负责，账户资产的管理和运用由基金管理人负责。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highlight w:val="none"/>
        </w:rPr>
      </w:pPr>
      <w:bookmarkStart w:id="24" w:name="_Toc382819083"/>
      <w:r>
        <w:rPr>
          <w:rFonts w:hint="eastAsia" w:asciiTheme="minorEastAsia" w:hAnsiTheme="minorEastAsia" w:eastAsiaTheme="minorEastAsia" w:cstheme="minorEastAsia"/>
          <w:b w:val="0"/>
          <w:bCs w:val="0"/>
          <w:color w:val="auto"/>
          <w:sz w:val="21"/>
          <w:szCs w:val="21"/>
          <w:highlight w:val="none"/>
        </w:rPr>
        <w:t>（五）银行间市场债券托管和资金结算专户的开立和管理及市场准入备案</w:t>
      </w:r>
      <w:bookmarkEnd w:id="24"/>
    </w:p>
    <w:p>
      <w:pPr>
        <w:spacing w:line="360" w:lineRule="auto"/>
        <w:ind w:firstLine="420" w:firstLineChars="200"/>
        <w:rPr>
          <w:rFonts w:asciiTheme="minorEastAsia" w:hAnsiTheme="minorEastAsia" w:eastAsiaTheme="minorEastAsia" w:cstheme="minorEastAsia"/>
          <w:color w:val="auto"/>
          <w:szCs w:val="21"/>
          <w:highlight w:val="none"/>
        </w:rPr>
      </w:pPr>
      <w:bookmarkStart w:id="25" w:name="_Toc382819084"/>
      <w:r>
        <w:rPr>
          <w:rFonts w:hint="eastAsia" w:asciiTheme="minorEastAsia" w:hAnsiTheme="minorEastAsia" w:eastAsiaTheme="minorEastAsia" w:cstheme="minorEastAsia"/>
          <w:color w:val="auto"/>
          <w:szCs w:val="21"/>
          <w:highlight w:val="none"/>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5"/>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（六）其他账户的开设和管理</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1、因业务发展而需要开立的其它账户，可以根据《基金合同》或有关法律法规的规定，经基金管理人和基金托管人协商一致后，由基金托管人负责为基金开立。新账户按有关规则使用并管理。</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2、法律、法规等有关规定对相关账户的开立和管理另有规定的，从其规定办理。</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highlight w:val="none"/>
        </w:rPr>
      </w:pPr>
      <w:bookmarkStart w:id="26" w:name="_Toc382819085"/>
      <w:r>
        <w:rPr>
          <w:rFonts w:hint="eastAsia" w:asciiTheme="minorEastAsia" w:hAnsiTheme="minorEastAsia" w:eastAsiaTheme="minorEastAsia" w:cstheme="minorEastAsia"/>
          <w:b w:val="0"/>
          <w:bCs w:val="0"/>
          <w:color w:val="auto"/>
          <w:sz w:val="21"/>
          <w:szCs w:val="21"/>
          <w:highlight w:val="none"/>
        </w:rPr>
        <w:t>（七）基金投资银行存款账户的开立和管理</w:t>
      </w:r>
      <w:bookmarkEnd w:id="26"/>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1.基金投资银行定期存款，基金管理人与基金托管人应比照相关规定，就本基金投资银行存款业务签订书面协议。</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2.基金投资银行定期存款应由基金管理人与存款银行总行或其授权分行签订总体合作协议，并将资金存放于存款银行总行或其授权分行指定的分支机构。</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3.存款账户必须以基金名义开立，账户名称为基金名称，存款账户开户文件上加盖预留印鉴及基金管理人公章。</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4.本基金投资银行存款时，基金管理人应当与存款银行签订具体存款协议，明确存款的类型、期限、利率、金额、账号、对账方式、支取方式、账户管理等细则。</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5.为防范特殊情况下的流动性风险，定期存款协议中应当约定提前支取条款。</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bookmarkStart w:id="27" w:name="_Toc382819086"/>
      <w:r>
        <w:rPr>
          <w:rFonts w:hint="eastAsia" w:asciiTheme="minorEastAsia" w:hAnsiTheme="minorEastAsia" w:eastAsiaTheme="minorEastAsia" w:cstheme="minorEastAsia"/>
          <w:color w:val="auto"/>
          <w:szCs w:val="21"/>
          <w:highlight w:val="none"/>
        </w:rPr>
        <w:t>6.基金所投资定期存款存续期间，基金管理人、基金托管人应当与存款银行建立定期对账机制，确保基金银行存款业务账目及核对的真实、准确。</w:t>
      </w:r>
      <w:bookmarkEnd w:id="27"/>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highlight w:val="none"/>
        </w:rPr>
      </w:pPr>
      <w:bookmarkStart w:id="28" w:name="_Toc382819087"/>
      <w:r>
        <w:rPr>
          <w:rFonts w:hint="eastAsia" w:asciiTheme="minorEastAsia" w:hAnsiTheme="minorEastAsia" w:eastAsiaTheme="minorEastAsia" w:cstheme="minorEastAsia"/>
          <w:b w:val="0"/>
          <w:bCs w:val="0"/>
          <w:color w:val="auto"/>
          <w:sz w:val="21"/>
          <w:szCs w:val="21"/>
          <w:highlight w:val="none"/>
        </w:rPr>
        <w:t>（八）基金财产投资的有关实物证券、银行定期存款存单等有价凭证的保管</w:t>
      </w:r>
      <w:bookmarkEnd w:id="28"/>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（九）与基金财产有关的重大合同的保管</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管期限不低于法律法规规定的最低年限。基金管理人未将相关合同送达基金托管人的，基金托管人对相关合同不承担保管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对于无法取得二份以上的正本的，基金管理人应向基金托管人提供与合同原件核对一致的并加盖基金管理人公章的合同传真件或复印件，未经双方协商一致，合同原件不得转移。</w:t>
      </w:r>
    </w:p>
    <w:p>
      <w:pPr>
        <w:spacing w:line="360" w:lineRule="auto"/>
        <w:ind w:firstLine="420" w:firstLineChars="200"/>
        <w:rPr>
          <w:rFonts w:ascii="宋体" w:hAnsi="宋体"/>
          <w:color w:val="auto"/>
          <w:szCs w:val="21"/>
          <w:highlight w:val="none"/>
        </w:rPr>
      </w:pPr>
    </w:p>
    <w:p>
      <w:pPr>
        <w:jc w:val="left"/>
        <w:rPr>
          <w:rFonts w:ascii="宋体" w:hAnsi="宋体"/>
          <w:b/>
          <w:color w:val="auto"/>
          <w:sz w:val="24"/>
          <w:highlight w:val="none"/>
        </w:rPr>
      </w:pPr>
      <w:bookmarkStart w:id="29" w:name="_Toc382819088"/>
      <w:r>
        <w:rPr>
          <w:rFonts w:hint="eastAsia" w:ascii="宋体" w:hAnsi="宋体"/>
          <w:b/>
          <w:color w:val="auto"/>
          <w:sz w:val="24"/>
          <w:highlight w:val="none"/>
        </w:rPr>
        <w:br w:type="page"/>
      </w:r>
    </w:p>
    <w:p>
      <w:pPr>
        <w:spacing w:before="312" w:beforeLines="100" w:after="312" w:afterLines="100" w:line="240" w:lineRule="atLeast"/>
        <w:jc w:val="center"/>
        <w:outlineLvl w:val="0"/>
        <w:rPr>
          <w:rFonts w:ascii="宋体" w:hAnsi="宋体"/>
          <w:color w:val="auto"/>
          <w:highlight w:val="none"/>
        </w:rPr>
      </w:pPr>
      <w:r>
        <w:rPr>
          <w:rFonts w:hint="eastAsia" w:ascii="宋体" w:hAnsi="宋体"/>
          <w:b/>
          <w:color w:val="auto"/>
          <w:sz w:val="24"/>
          <w:highlight w:val="none"/>
        </w:rPr>
        <w:t>五、指令的发送、确认和执行</w:t>
      </w:r>
      <w:bookmarkEnd w:id="29"/>
    </w:p>
    <w:p>
      <w:pPr>
        <w:spacing w:line="360" w:lineRule="auto"/>
        <w:ind w:firstLine="420" w:firstLineChars="200"/>
        <w:rPr>
          <w:rFonts w:ascii="宋体" w:hAnsi="宋体"/>
          <w:color w:val="auto"/>
          <w:szCs w:val="21"/>
          <w:highlight w:val="none"/>
        </w:rPr>
      </w:pPr>
      <w:bookmarkStart w:id="30" w:name="_Toc382819089"/>
      <w:r>
        <w:rPr>
          <w:rFonts w:hint="eastAsia" w:ascii="宋体" w:hAnsi="宋体"/>
          <w:color w:val="auto"/>
          <w:szCs w:val="21"/>
          <w:highlight w:val="none"/>
        </w:rPr>
        <w:t>基金管理人在运用基金财产时向基金托管人发送资金划拨及其他款项付款指令，基金托管人执行基金管理人合法合规且符合本协议相关约定的指令、办理基金名下的资金往来等有关事项。</w:t>
      </w:r>
      <w:bookmarkEnd w:id="3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基金管理人发送的指令包括电子指令和纸质指令。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管理人在启用电子指令前，应与托管人另行签署托管电子指令直连协议或网上托管服务协议。管理人在发送纸质指令前，应根据双方约定的方式提供传真号、发送指令附件的邮箱地址以及指令确认人员及其联系方式。</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highlight w:val="none"/>
        </w:rPr>
      </w:pPr>
      <w:bookmarkStart w:id="31" w:name="_Toc382819090"/>
      <w:r>
        <w:rPr>
          <w:rFonts w:hint="eastAsia" w:ascii="宋体" w:hAnsi="宋体" w:eastAsia="宋体"/>
          <w:b w:val="0"/>
          <w:bCs w:val="0"/>
          <w:color w:val="auto"/>
          <w:sz w:val="21"/>
          <w:szCs w:val="21"/>
          <w:highlight w:val="none"/>
        </w:rPr>
        <w:t>（一）基金管理人对发送指令人员的书面授权</w:t>
      </w:r>
      <w:bookmarkEnd w:id="31"/>
    </w:p>
    <w:p>
      <w:pPr>
        <w:spacing w:line="360" w:lineRule="auto"/>
        <w:ind w:firstLine="420" w:firstLineChars="200"/>
        <w:rPr>
          <w:rFonts w:ascii="宋体" w:hAnsi="宋体"/>
          <w:color w:val="auto"/>
          <w:szCs w:val="21"/>
          <w:highlight w:val="none"/>
        </w:rPr>
      </w:pPr>
      <w:bookmarkStart w:id="32" w:name="_Toc382818601"/>
      <w:bookmarkStart w:id="33" w:name="_Toc382819091"/>
      <w:r>
        <w:rPr>
          <w:rFonts w:hint="eastAsia" w:ascii="宋体" w:hAnsi="宋体"/>
          <w:color w:val="auto"/>
          <w:szCs w:val="21"/>
          <w:highlight w:val="none"/>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划款指令授权书无论基金成立时或后续更新，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应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被授权人及相关操作人员以外的任何人泄露</w:t>
      </w:r>
      <w:bookmarkEnd w:id="32"/>
      <w:bookmarkEnd w:id="33"/>
      <w:r>
        <w:rPr>
          <w:rFonts w:hint="eastAsia" w:ascii="宋体" w:hAnsi="宋体"/>
          <w:color w:val="auto"/>
          <w:szCs w:val="21"/>
          <w:highlight w:val="none"/>
        </w:rPr>
        <w:t>，但法律法规或有权机关另有要求的除外。</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highlight w:val="none"/>
        </w:rPr>
      </w:pPr>
      <w:bookmarkStart w:id="34" w:name="_Toc382819092"/>
      <w:r>
        <w:rPr>
          <w:rFonts w:hint="eastAsia" w:ascii="宋体" w:hAnsi="宋体" w:eastAsia="宋体"/>
          <w:b w:val="0"/>
          <w:bCs w:val="0"/>
          <w:color w:val="auto"/>
          <w:sz w:val="21"/>
          <w:szCs w:val="21"/>
          <w:highlight w:val="none"/>
        </w:rPr>
        <w:t>（二）指令的内容</w:t>
      </w:r>
      <w:bookmarkEnd w:id="34"/>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2．基金管理人发给基金托管人的指令应写明付款账号、付款户名、开户行、收款账号、收款户名、开户行、款项事由、支付时间、到账时间、金额、账户等，加盖预留印鉴并有被授权人签字。</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highlight w:val="none"/>
        </w:rPr>
      </w:pPr>
      <w:bookmarkStart w:id="35" w:name="_Toc382819093"/>
      <w:r>
        <w:rPr>
          <w:rFonts w:hint="eastAsia" w:ascii="宋体" w:hAnsi="宋体" w:eastAsia="宋体"/>
          <w:b w:val="0"/>
          <w:bCs w:val="0"/>
          <w:color w:val="auto"/>
          <w:sz w:val="21"/>
          <w:szCs w:val="21"/>
          <w:highlight w:val="none"/>
        </w:rPr>
        <w:t>（三）指令的发送、确认和执行的时间和程序</w:t>
      </w:r>
      <w:bookmarkEnd w:id="3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非担保交收指令、新股、新债、增发等申购指令）应在15点（指令截至时间）前提交托管人，如基金管理人要求当天某一时点到账，则指令需提前2个工作小时（工作时间9点至11点30分，13点至17点）提交托管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新股、新债、增发等申购指令，基金管理人须在申购前1个工作日向基金托管人发送指令，如需在申购当日下达指令，基金管理人应为基金托管人留出执行指令所必需的时间，指令最迟不得晚于上午11：00点（指令截至时间）提交基金托管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3.如划款指令中给予基金托管人的划拨时间小于2个工作小时或晚于前述指令截至时间的，基金托管人应尽力在指定时间内完成资金划拨，但不承担因时间不足导致执行失败的责任。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基金管理人原因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highlight w:val="none"/>
        </w:rPr>
      </w:pPr>
      <w:bookmarkStart w:id="36" w:name="_Toc382819094"/>
      <w:r>
        <w:rPr>
          <w:rFonts w:hint="eastAsia" w:ascii="宋体" w:hAnsi="宋体" w:eastAsia="宋体"/>
          <w:b w:val="0"/>
          <w:bCs w:val="0"/>
          <w:color w:val="auto"/>
          <w:sz w:val="21"/>
          <w:szCs w:val="21"/>
          <w:highlight w:val="none"/>
        </w:rPr>
        <w:t>（四）基金管理人发送错误指令的情形和处理程序</w:t>
      </w:r>
      <w:bookmarkEnd w:id="3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1.基金管理人发送错误指令的情形包括但不限于指令发送人员无权或超越权限发送指令及交割信息错误，指令中重要信息模糊不清或不全，指令违反法律法规和《基金合同》及本协议约定等。</w:t>
      </w:r>
    </w:p>
    <w:p>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rPr>
        <w:t>2.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highlight w:val="none"/>
        </w:rPr>
      </w:pPr>
      <w:bookmarkStart w:id="37" w:name="_Toc382819095"/>
      <w:r>
        <w:rPr>
          <w:rFonts w:hint="eastAsia" w:ascii="宋体" w:hAnsi="宋体" w:eastAsia="宋体"/>
          <w:b w:val="0"/>
          <w:bCs w:val="0"/>
          <w:color w:val="auto"/>
          <w:sz w:val="21"/>
          <w:szCs w:val="21"/>
          <w:highlight w:val="none"/>
        </w:rPr>
        <w:t>（五）基金托管人未按照基金管理人指令执行的处理方法</w:t>
      </w:r>
      <w:bookmarkEnd w:id="3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highlight w:val="none"/>
        </w:rPr>
      </w:pPr>
      <w:bookmarkStart w:id="38" w:name="_Toc382819096"/>
      <w:r>
        <w:rPr>
          <w:rFonts w:hint="eastAsia" w:ascii="宋体" w:hAnsi="宋体" w:eastAsia="宋体"/>
          <w:b w:val="0"/>
          <w:bCs w:val="0"/>
          <w:color w:val="auto"/>
          <w:sz w:val="21"/>
          <w:szCs w:val="21"/>
          <w:highlight w:val="none"/>
        </w:rPr>
        <w:t>（六）更换被授权人的程序</w:t>
      </w:r>
      <w:bookmarkEnd w:id="3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受基金管理人指令的人员，应提前通过邮件、传真或录音电话等方式通知基金管理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（七）其它事项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基金管理人承担下达违法、违规或违反《基金合同》和本协议约定的指令所导致的责任。基金托管人对执行基金管理人的按照正常交易程序已经生效的指令对基金财产造成的损失不承担赔偿责任。</w:t>
      </w:r>
    </w:p>
    <w:p>
      <w:pPr>
        <w:jc w:val="left"/>
        <w:rPr>
          <w:rFonts w:ascii="宋体" w:hAnsi="宋体"/>
          <w:b/>
          <w:color w:val="auto"/>
          <w:sz w:val="24"/>
          <w:highlight w:val="none"/>
        </w:rPr>
      </w:pPr>
      <w:bookmarkStart w:id="39" w:name="_Toc382819097"/>
      <w:r>
        <w:rPr>
          <w:rFonts w:hint="eastAsia" w:ascii="宋体" w:hAnsi="宋体"/>
          <w:b/>
          <w:color w:val="auto"/>
          <w:sz w:val="24"/>
          <w:highlight w:val="none"/>
        </w:rPr>
        <w:br w:type="page"/>
      </w:r>
    </w:p>
    <w:p>
      <w:pPr>
        <w:spacing w:before="312" w:beforeLines="100" w:after="312" w:afterLines="100" w:line="240" w:lineRule="atLeast"/>
        <w:jc w:val="center"/>
        <w:outlineLvl w:val="0"/>
        <w:rPr>
          <w:rFonts w:ascii="宋体" w:hAnsi="宋体"/>
          <w:color w:val="auto"/>
          <w:highlight w:val="none"/>
        </w:rPr>
      </w:pPr>
      <w:r>
        <w:rPr>
          <w:rFonts w:hint="eastAsia" w:ascii="宋体" w:hAnsi="宋体"/>
          <w:b/>
          <w:color w:val="auto"/>
          <w:sz w:val="24"/>
          <w:highlight w:val="none"/>
        </w:rPr>
        <w:t>六、交易及清算交收安排</w:t>
      </w:r>
      <w:bookmarkEnd w:id="39"/>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highlight w:val="none"/>
        </w:rPr>
      </w:pPr>
      <w:bookmarkStart w:id="40" w:name="_Toc382819098"/>
      <w:r>
        <w:rPr>
          <w:rFonts w:hint="eastAsia" w:asciiTheme="minorEastAsia" w:hAnsiTheme="minorEastAsia" w:eastAsiaTheme="minorEastAsia" w:cstheme="minorEastAsia"/>
          <w:b w:val="0"/>
          <w:bCs w:val="0"/>
          <w:color w:val="auto"/>
          <w:sz w:val="21"/>
          <w:szCs w:val="21"/>
          <w:highlight w:val="none"/>
        </w:rPr>
        <w:t>（一）选择代理证券、期货买卖的证券、期货经营机构的标准和程序</w:t>
      </w:r>
      <w:bookmarkEnd w:id="40"/>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1.基金管理人负责选择代理本基金证券买卖的证券经营机构。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基金管理人负责根据相关标准以及内部管理制度对有关证券经营机构进行考察后确定代理本基金证券、期货买卖证券经营机构，并承担相应责任。基金管理人和被选择的证券经营机构签订交易单元租用协议，由基金管理人通知基金托管人，并在法定信息披露公告中披露有关内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基金管理人应在基金起始运作前将基金专用交易单元号、佣金费率等基本信息以及变更情况及时以书面形式通知基金托管人，并将被选中证券经营机构提供的《交易单元租用协议》及时送达基金托管人，确保基金托管人申请接收结算数据。</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负责选择代理本基金期货交易的期货经纪机构，并与其签订期货经纪合同，其他事宜根据法律法规、《基金合同》的相关规定执行，若无明确规定的，可参照有关证券买卖、证券经纪机构选择的规则执行。</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highlight w:val="none"/>
        </w:rPr>
      </w:pPr>
      <w:bookmarkStart w:id="41" w:name="_Toc382819099"/>
      <w:r>
        <w:rPr>
          <w:rFonts w:hint="eastAsia" w:asciiTheme="minorEastAsia" w:hAnsiTheme="minorEastAsia" w:eastAsiaTheme="minorEastAsia" w:cstheme="minorEastAsia"/>
          <w:b w:val="0"/>
          <w:bCs w:val="0"/>
          <w:color w:val="auto"/>
          <w:sz w:val="21"/>
          <w:szCs w:val="21"/>
          <w:highlight w:val="none"/>
        </w:rPr>
        <w:t>（二）基金投资证券后的清算交收安排</w:t>
      </w:r>
      <w:bookmarkEnd w:id="41"/>
      <w:bookmarkStart w:id="42" w:name="_Toc382819100"/>
    </w:p>
    <w:p>
      <w:pPr>
        <w:pStyle w:val="9"/>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1、本基金投资于证券发生的所有场内、场外交易的资金清算交割，全部由基金托管人负责办理。</w:t>
      </w:r>
      <w:bookmarkEnd w:id="42"/>
      <w:bookmarkStart w:id="43" w:name="_Toc382819101"/>
    </w:p>
    <w:p>
      <w:pPr>
        <w:pStyle w:val="9"/>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2、本基金投资于场内交易的投资品种前，基金管理人和基金托管人应当另行签署托管银行证券资金结算协议。</w:t>
      </w:r>
      <w:bookmarkEnd w:id="43"/>
    </w:p>
    <w:p>
      <w:pPr>
        <w:pStyle w:val="9"/>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3、本基金投资于非担保交收的投资品种时，基金管理人应遵守基金托管人提前以告客户书形式提供的书面通知。</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4、银行间债券券款对付结算</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基金管理人应及时将银行间上清所、中债登划款指令和成交通知单按相关规定提交基金托管人，基金管理人应为基金托管人留出执行指令所必需的时间。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基金管理人应根据中债登、上清所提供的查询功能，实时跟踪交易结算情况、证券与资金到账与余额变动情况，便于监控结算过程，做好资金与交易匹配的前端控制。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5、定期投资基金管理人与存款行签订的存款协议条款格式应在定期存款起息日的前一个工作日发送给基金托管人，</w:t>
      </w:r>
      <w:r>
        <w:rPr>
          <w:rFonts w:hint="eastAsia" w:asciiTheme="minorEastAsia" w:hAnsiTheme="minorEastAsia" w:eastAsiaTheme="minorEastAsia" w:cstheme="minorEastAsia"/>
          <w:color w:val="auto"/>
          <w:szCs w:val="21"/>
          <w:highlight w:val="none"/>
        </w:rPr>
        <w:t>基金管理人应将</w:t>
      </w:r>
      <w:r>
        <w:rPr>
          <w:rFonts w:hint="eastAsia" w:asciiTheme="minorEastAsia" w:hAnsiTheme="minorEastAsia" w:eastAsiaTheme="minorEastAsia" w:cstheme="minorEastAsia"/>
          <w:color w:val="auto"/>
          <w:szCs w:val="21"/>
          <w:highlight w:val="none"/>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基金管理人在发送投资指令时，应为基金托管人执行投资指令留出执行指令所必需的时间。投资指令传输不及时、未能留出足够的划款时间，导致资金未能及时到账所造成的损失由基金管理人承担。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存款银行无法在存入当日17点前向托管人送达存款证实书的，基金管理人应敦促存款银行将存款证实扫描件发送至基金托管人。存款证实书送达托管人后，基金托管人负责保管存款证实书原件。基金托管人仅对存款证实书进行形式审核，形式审核内容为账户名称、起息日、到期日、金额、利率。基金托管人不对存款证实书真实性承担审核职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基金管理人与存款银行签订的存款协议，应包括：</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（1）存款银行为托管资产办理定期存款业务的存款账户开立、资金存入和支取提供必要的支持和高效的结算服务；</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存款银行为托管资产所投资的定期存款的存款证明文件提供上门服务，即：定期存款资金到账当日，存款银行派授权代理人将“存款证实书”（以下简称“证实书”）妥善送至托管人处。“证实书”移交给基金托管人之前，因“证实书”丢失、损毁而造成的一切损失由存款银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定期存款到期日当日或提前支取日当日，存款银行应派授权代理人前往基金托管人处提取“证实书”。“证实书”移交给存款行授权代理人之后，因“证实书”丢失、损毁而造成的一切损失由存款银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存款银行应至少提前一个工作日向基金托管人提供对前述授权代理人办理相关事务的书面授权书。授权代理人提供上门服务时，应出示有效身份证或工作证。</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（4）存款银行应保证及时支付存款本金和利息，于支取当日将本息划付至本基金开立在基金托管人（上海浦东发展银行）处的托管账户， 并列明账户的开户行、账号、户名、大额支付号。存款银行应确认，定期存款的本息只能划入开立在托管人的相应托管账户或经托管人确认的指定账户。上述指定收款账户信息如需变更，必须经基金托管人书面同意。</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（5）存款银行应为定期存款业务提供定期对账服务。首次对账应不晚于存款资金存入后的一个自然月。除首次对账外，对账频率不少于每半年一次。存款银行应配合基金托管人对“证实书”的书面征询。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（6）在存款存续期内，“证实书”的预留印鉴发生变更的，存款银行应配合办理变更手续。</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（7）存款不得被质押，相应存款证明文件不得用于背书和转让。</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6、本基金拟投资于期货交易市场前，基金管理人、期货经纪机构及基金托管人应当另行签署股指期货投资托管协议。</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r>
        <w:rPr>
          <w:rFonts w:hint="eastAsia" w:asciiTheme="minorEastAsia" w:hAnsiTheme="minorEastAsia" w:eastAsiaTheme="minorEastAsia" w:cstheme="minorEastAsia"/>
          <w:color w:val="auto"/>
          <w:szCs w:val="21"/>
          <w:highlight w:val="none"/>
        </w:rPr>
        <w:t>基金参与港股通交易的清算交收安排</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参与港股通交易的，基金管理人应保证在T日日终之前在托管的托管账户或港股通备付金账户上有足够的头寸用于港股通T+1日公司行动、证券组合费和风控资金的交收，在T+1日11：00之前在托管的托管账户或港股通备付金上有足够的头寸用于港股通T+2日交易资金的交收。对于T日港股通交易清算结果为净应付的，基金托管人于T+1日10：00扣收应付资金。对于T日港股通交易清算结果为净应收的，基金托管人在与中国证券登记结算有限公司完成净应收资金交割后，于T+3日上午12:00前返还应收资金。若因非基金托管人原因造成净应收资金划付延迟的，基金托管人不承担任何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由于基金管理人的过错导致港股通交收失败，由此给托管人、托管人托管的其他资产组合造成的经济损失，由基金管理人承担。如由于非基金管理人和基金托管人的原因导致港股通交收失败，由此给基金资产组合造成的经济损失，可先由基金管理人垫付，由基金管理人向过错人追偿。</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highlight w:val="none"/>
        </w:rPr>
      </w:pPr>
      <w:bookmarkStart w:id="44" w:name="_Toc382819102"/>
      <w:r>
        <w:rPr>
          <w:rFonts w:hint="eastAsia" w:asciiTheme="minorEastAsia" w:hAnsiTheme="minorEastAsia" w:eastAsiaTheme="minorEastAsia" w:cstheme="minorEastAsia"/>
          <w:b w:val="0"/>
          <w:bCs w:val="0"/>
          <w:color w:val="auto"/>
          <w:sz w:val="21"/>
          <w:szCs w:val="21"/>
          <w:highlight w:val="none"/>
        </w:rPr>
        <w:t>（三）可用资金余额的确认</w:t>
      </w:r>
      <w:bookmarkEnd w:id="44"/>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基金托管人应于每个工作日上午9：30 前将托管账户的可用资金余额以双方认可的方式提供给基金管理人。</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（四）交易记录、资金、证券账目的核对</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1、交易记录的核对</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基金管理人和基金托管人按日进行交易记录的核对。每日对外披露净值之前，必须保证当天所有实际交易记录与基金会计账簿上的交易记录一致。</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2、资金账目的核对</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资金账目包括基金的银行存款等会计资料。资金账目由基金托管人每日进行账实核对，基金管理人复核托管人提供的可用头寸表核对资金余额。银行存款账户每日核对，做到账账相符、账实相符。</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3、证券账目的核对</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（五）基金申购、赎回、转换业务处理的基本规定</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1、基金份额申购、赎回的确认、清算由基金管理人或其委托的注册登记机构负责。</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注册登记机构每个工作日15:00 前向基金托管人发送前一开放日的上述有关数据，并保证相关数据的准确、完整。</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4、基金管理人应保证其发送的注册登记数据的接口规范与基金托管人的接口规范保持一致。</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5、基金注册登记清算专用账户的开立和管理</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为满足申购、赎回等资金汇划的需要，基金管理人应开立用于基金申购、赎回等资金清算的基金注册登记清算专用账户。</w:t>
      </w:r>
    </w:p>
    <w:p>
      <w:pPr>
        <w:tabs>
          <w:tab w:val="left" w:pos="4680"/>
        </w:tabs>
        <w:spacing w:line="360" w:lineRule="auto"/>
        <w:ind w:firstLine="420" w:firstLineChars="200"/>
        <w:rPr>
          <w:rFonts w:asciiTheme="minorEastAsia" w:hAnsiTheme="minorEastAsia" w:eastAsiaTheme="minorEastAsia" w:cstheme="minorEastAsia"/>
          <w:color w:val="auto"/>
          <w:kern w:val="21"/>
          <w:szCs w:val="21"/>
          <w:highlight w:val="none"/>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kern w:val="21"/>
          <w:szCs w:val="21"/>
          <w:highlight w:val="none"/>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r>
        <w:rPr>
          <w:rFonts w:hint="eastAsia" w:asciiTheme="minorEastAsia" w:hAnsiTheme="minorEastAsia" w:eastAsiaTheme="minorEastAsia" w:cstheme="minorEastAsia"/>
          <w:color w:val="auto"/>
          <w:szCs w:val="21"/>
          <w:highlight w:val="none"/>
        </w:rPr>
        <w:t>基金托管人不承担任何责任</w:t>
      </w:r>
      <w:r>
        <w:rPr>
          <w:rFonts w:hint="eastAsia" w:asciiTheme="minorEastAsia" w:hAnsiTheme="minorEastAsia" w:eastAsiaTheme="minorEastAsia" w:cstheme="minorEastAsia"/>
          <w:color w:val="auto"/>
          <w:kern w:val="21"/>
          <w:szCs w:val="21"/>
          <w:highlight w:val="none"/>
        </w:rPr>
        <w:t>。</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7、赎回资金的支付</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8、资金支付执行和责任界定</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除申购款项到达基金托管人处的基金账户需双方按约定方式对账外，净额划出、赎回资金支付时，应按照本协议相关规定执行。若本协议没有规定的按双方协商一致内容执行。</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9、暂停赎回和巨额赎回处理</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（六）申购赎回资金结算</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当日基金为净应收款，基金托管人应在T日（T指交收当前工作日）15:00之前查收资金是否到账，对于未准时到账的资金，基金托管人应及时通知基金管理人划付。如果当日基金为净应付款，基金托管人应根据基金管理人的指令在T日（T指交收当前工作日）中午12:00前进行划付。对于未准时划付的资金，基金管理人应及时通知基金托管人划付。因基金托管专户没有足够的资金，导致基金托管人不能按时拨付，基金托管人应及时通知基金管理人。</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（七）基金转换</w:t>
      </w:r>
    </w:p>
    <w:p>
      <w:pPr>
        <w:tabs>
          <w:tab w:val="left" w:pos="468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基金管理人与基金托管人按照相关法律法规、《基金合同》、以及本协议的规定办理基金转换。</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（八）基金出现超买或超卖的责任认定及处理程序</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金托管人在履行监督职能时，如果发现基金投资证券过程中出现超买或超卖现象，应立即提醒基金管理人，由基金管理人负责解决，由此给基金及基金托管人造成的损失由基金管理人承担。如果非因基金托管人原因发生超买行为，基金管理人必须于T+3日上午12时之前划拨资金，用以完成清算交收。</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jc w:val="left"/>
        <w:rPr>
          <w:rFonts w:ascii="宋体" w:hAnsi="宋体"/>
          <w:b/>
          <w:color w:val="auto"/>
          <w:sz w:val="24"/>
          <w:highlight w:val="none"/>
        </w:rPr>
      </w:pPr>
      <w:bookmarkStart w:id="45" w:name="_Toc382819103"/>
      <w:r>
        <w:rPr>
          <w:rFonts w:hint="eastAsia" w:ascii="宋体" w:hAnsi="宋体"/>
          <w:b/>
          <w:color w:val="auto"/>
          <w:sz w:val="24"/>
          <w:highlight w:val="none"/>
        </w:rPr>
        <w:br w:type="page"/>
      </w:r>
    </w:p>
    <w:p>
      <w:pPr>
        <w:spacing w:before="312" w:beforeLines="100" w:after="312" w:afterLines="100" w:line="240" w:lineRule="atLeast"/>
        <w:jc w:val="center"/>
        <w:outlineLvl w:val="0"/>
        <w:rPr>
          <w:rFonts w:ascii="宋体" w:hAnsi="宋体"/>
          <w:color w:val="auto"/>
          <w:highlight w:val="none"/>
        </w:rPr>
      </w:pPr>
      <w:r>
        <w:rPr>
          <w:rFonts w:hint="eastAsia" w:ascii="宋体" w:hAnsi="宋体"/>
          <w:b/>
          <w:color w:val="auto"/>
          <w:sz w:val="24"/>
          <w:highlight w:val="none"/>
        </w:rPr>
        <w:t>七、基金资产净值计算和会计核算</w:t>
      </w:r>
      <w:bookmarkEnd w:id="45"/>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highlight w:val="none"/>
        </w:rPr>
      </w:pPr>
      <w:bookmarkStart w:id="46" w:name="_Toc382819104"/>
      <w:r>
        <w:rPr>
          <w:rFonts w:hint="eastAsia" w:ascii="宋体" w:hAnsi="宋体" w:eastAsia="宋体"/>
          <w:b w:val="0"/>
          <w:bCs w:val="0"/>
          <w:color w:val="auto"/>
          <w:sz w:val="21"/>
          <w:szCs w:val="21"/>
          <w:highlight w:val="none"/>
        </w:rPr>
        <w:t>（一）基金资产净值的计算</w:t>
      </w:r>
      <w:r>
        <w:rPr>
          <w:rFonts w:hint="eastAsia" w:ascii="宋体" w:hAnsi="宋体" w:eastAsia="宋体"/>
          <w:color w:val="auto"/>
          <w:sz w:val="21"/>
          <w:szCs w:val="21"/>
          <w:highlight w:val="none"/>
        </w:rPr>
        <w:t>、</w:t>
      </w:r>
      <w:r>
        <w:rPr>
          <w:rFonts w:hint="eastAsia" w:ascii="宋体" w:hAnsi="宋体" w:eastAsia="宋体"/>
          <w:b w:val="0"/>
          <w:bCs w:val="0"/>
          <w:color w:val="auto"/>
          <w:sz w:val="21"/>
          <w:szCs w:val="21"/>
          <w:highlight w:val="none"/>
        </w:rPr>
        <w:t>复核的时间和程序</w:t>
      </w:r>
      <w:bookmarkEnd w:id="4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基金资产净值是指基金资产总值减去基金负债后的价值。</w:t>
      </w:r>
      <w:r>
        <w:rPr>
          <w:rFonts w:hint="eastAsia" w:ascii="宋体" w:hAnsi="宋体"/>
          <w:bCs/>
          <w:color w:val="auto"/>
          <w:szCs w:val="21"/>
          <w:highlight w:val="none"/>
        </w:rPr>
        <w:t>T日的基金份额净值是按照T日的基金资产净值除以T日的基金份额的余额数量计算，精确到0.0001元，小数点后第5位四舍五入，由此产生的误差计入基金财产。基金管理人可以设立大额赎回情形下的净值精度应急调整机制。国家另有规定的，从其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信息的计算结果对外予以公布。基金管理人应在每个估值日后两个工作日内对基金资产估值。但基金管理人根据法律法规或《基金合同》的规定暂停估值时除外。估值原则应符合《基金合同》、《证券投资基金会计核算业务指引》及其他法律、法规的规定。</w:t>
      </w:r>
      <w:r>
        <w:rPr>
          <w:rFonts w:hint="eastAsia" w:ascii="宋体" w:hAnsi="宋体" w:cs="宋体"/>
          <w:color w:val="auto"/>
          <w:kern w:val="0"/>
          <w:szCs w:val="21"/>
          <w:highlight w:val="none"/>
        </w:rPr>
        <w:t>基金管理人对基金资产估值后，将基金份额净值结果发送基金托管人，经基金托管人复核无误后，由基金管理人按规定对外公布。</w:t>
      </w:r>
    </w:p>
    <w:p>
      <w:pPr>
        <w:tabs>
          <w:tab w:val="left" w:pos="90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资产净值的计算结果对外予以公布。</w:t>
      </w:r>
    </w:p>
    <w:p>
      <w:pPr>
        <w:tabs>
          <w:tab w:val="left" w:pos="90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法律法规以及监管部门有强制规定的，从其规定。如有新增事项，按国家最新规定估值。</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highlight w:val="none"/>
        </w:rPr>
      </w:pPr>
      <w:bookmarkStart w:id="47" w:name="_Toc382819105"/>
      <w:r>
        <w:rPr>
          <w:rFonts w:hint="eastAsia" w:ascii="宋体" w:hAnsi="宋体" w:eastAsia="宋体"/>
          <w:b w:val="0"/>
          <w:bCs w:val="0"/>
          <w:color w:val="auto"/>
          <w:sz w:val="21"/>
          <w:szCs w:val="21"/>
          <w:highlight w:val="none"/>
        </w:rPr>
        <w:t>（二）基金资产估值</w:t>
      </w:r>
      <w:bookmarkEnd w:id="4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估值原则应符合《基金合同》、《证券投资基金会计核算业务指引》及其他法律法规的规定的约定。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当相关法律法规或《基金合同》规定的估值方法不能客观反映基金财产公允价值时，基金管理人可根据具体情况，并与基金托管人商定后，按最能反映公允价值的价格估值。</w:t>
      </w:r>
    </w:p>
    <w:p>
      <w:pPr>
        <w:pStyle w:val="3"/>
        <w:keepNext w:val="0"/>
        <w:keepLines w:val="0"/>
        <w:spacing w:before="0" w:after="0" w:line="360" w:lineRule="auto"/>
        <w:ind w:firstLine="420" w:firstLineChars="200"/>
        <w:textAlignment w:val="baseline"/>
        <w:rPr>
          <w:rFonts w:ascii="宋体" w:hAnsi="宋体"/>
          <w:color w:val="auto"/>
          <w:sz w:val="21"/>
          <w:szCs w:val="21"/>
          <w:highlight w:val="none"/>
        </w:rPr>
      </w:pPr>
      <w:r>
        <w:rPr>
          <w:rFonts w:hint="eastAsia" w:ascii="宋体" w:hAnsi="宋体" w:eastAsia="宋体"/>
          <w:b w:val="0"/>
          <w:bCs w:val="0"/>
          <w:color w:val="auto"/>
          <w:sz w:val="21"/>
          <w:szCs w:val="21"/>
          <w:highlight w:val="none"/>
        </w:rPr>
        <w:t>（三）实施侧袋机制期间的基金资产估值</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本基金实施侧袋机制的，应根据本部分的约定对主袋账户资产进行估值并披露主袋账户的基金份额净值和份额累计净值，暂停披露侧袋账户的基金净值信息。</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highlight w:val="none"/>
        </w:rPr>
      </w:pPr>
      <w:bookmarkStart w:id="48" w:name="_Toc382819106"/>
      <w:r>
        <w:rPr>
          <w:rFonts w:hint="eastAsia" w:ascii="宋体" w:hAnsi="宋体" w:eastAsia="宋体"/>
          <w:b w:val="0"/>
          <w:bCs w:val="0"/>
          <w:color w:val="auto"/>
          <w:sz w:val="21"/>
          <w:szCs w:val="21"/>
          <w:highlight w:val="none"/>
        </w:rPr>
        <w:t>（四）估值错误处理</w:t>
      </w:r>
      <w:bookmarkEnd w:id="48"/>
    </w:p>
    <w:p>
      <w:pPr>
        <w:spacing w:line="360" w:lineRule="auto"/>
        <w:ind w:firstLine="420" w:firstLineChars="200"/>
        <w:rPr>
          <w:rFonts w:ascii="宋体" w:hAnsi="宋体"/>
          <w:color w:val="auto"/>
          <w:szCs w:val="21"/>
          <w:highlight w:val="none"/>
        </w:rPr>
      </w:pPr>
      <w:bookmarkStart w:id="49" w:name="_Toc382819107"/>
      <w:r>
        <w:rPr>
          <w:rFonts w:hint="eastAsia" w:ascii="宋体" w:hAnsi="宋体"/>
          <w:color w:val="auto"/>
          <w:szCs w:val="21"/>
          <w:highlight w:val="none"/>
        </w:rPr>
        <w:t>1.当基金份额净值小数点后4位以内（含第4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按照基金合同和本协议约定的估值错误处理原则和程序进行处理。</w:t>
      </w:r>
      <w:bookmarkEnd w:id="49"/>
    </w:p>
    <w:p>
      <w:pPr>
        <w:spacing w:line="360" w:lineRule="auto"/>
        <w:ind w:firstLine="420" w:firstLineChars="200"/>
        <w:rPr>
          <w:rFonts w:ascii="宋体" w:hAnsi="宋体"/>
          <w:color w:val="auto"/>
          <w:szCs w:val="21"/>
          <w:highlight w:val="none"/>
        </w:rPr>
      </w:pPr>
      <w:bookmarkStart w:id="50" w:name="_Toc382819108"/>
      <w:r>
        <w:rPr>
          <w:rFonts w:hint="eastAsia" w:ascii="宋体" w:hAnsi="宋体"/>
          <w:color w:val="auto"/>
          <w:szCs w:val="21"/>
          <w:highlight w:val="none"/>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50"/>
    </w:p>
    <w:p>
      <w:pPr>
        <w:spacing w:line="360" w:lineRule="auto"/>
        <w:ind w:firstLine="420" w:firstLineChars="200"/>
        <w:rPr>
          <w:rFonts w:ascii="宋体" w:hAnsi="宋体"/>
          <w:color w:val="auto"/>
          <w:szCs w:val="21"/>
          <w:highlight w:val="none"/>
        </w:rPr>
      </w:pPr>
      <w:bookmarkStart w:id="51" w:name="_Toc382819109"/>
      <w:r>
        <w:rPr>
          <w:rFonts w:hint="eastAsia" w:ascii="宋体" w:hAnsi="宋体"/>
          <w:color w:val="auto"/>
          <w:szCs w:val="21"/>
          <w:highlight w:val="none"/>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）由于基金管理人提供的信息错误（包括但不限于基金申购或赎回金额等），导致基金份额净值计算错误而引起的基金份额持有人和基金财产的损失，由基金管理人负责赔付。</w:t>
      </w:r>
      <w:bookmarkEnd w:id="51"/>
      <w:bookmarkStart w:id="52" w:name="_Toc38281911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由于不可抗力原因，或证券交易所或登记结算公司等机构发送的数据错误原因，基金管理人和基金托管人虽然已经采取必要、适当、合理的措施进行检查，但未能发现错误的，由此造成的基金资产估值错误，基金管理人和基金托管人免除赔偿责任。但基金管理人和基金托管人应积极采取必要的措施消除或减轻由此造成的影响。</w:t>
      </w:r>
      <w:bookmarkEnd w:id="52"/>
      <w:bookmarkStart w:id="53" w:name="_Toc38281911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4.基金管理人和基金托管人由于各自技术系统设置而产生的净值计算尾差，以基金管理人计算结果为准。</w:t>
      </w:r>
      <w:bookmarkEnd w:id="53"/>
      <w:bookmarkStart w:id="54" w:name="_Toc38281911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5.前述内容如法律法规或监管机关另有规定的，从其规定处理。如果行业另有通行做法，基金管理人和基金托管人应本着平等和保护基金份额持有人利益的原则进行协商。</w:t>
      </w:r>
      <w:bookmarkEnd w:id="54"/>
      <w:bookmarkStart w:id="55" w:name="_Toc382819113"/>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（五）暂停估值的情形</w:t>
      </w:r>
      <w:bookmarkEnd w:id="55"/>
      <w:bookmarkStart w:id="56" w:name="_Toc38281911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1．基金投资所涉及的证券交易市场或外汇市场遇法定节假日或因其他原因暂停营业时；</w:t>
      </w:r>
      <w:bookmarkEnd w:id="56"/>
      <w:bookmarkStart w:id="57" w:name="_Toc38281911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2．因不可抗力或其他情形致使基金管理人、基金托管人无法准确评估基金资产价值时；</w:t>
      </w:r>
      <w:bookmarkEnd w:id="57"/>
    </w:p>
    <w:p>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．当特定资产占前一估值日基金资产净值50%以上的，经与基金托管人协商确认后，基金管理人应当暂停估值；</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占相当比例的被投资基金暂停估值时。</w:t>
      </w:r>
      <w:bookmarkStart w:id="58" w:name="_Toc38281911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5.法律法规规定、中国证监会和基金合同认定的其它情形。</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（六）基金账册的建立</w:t>
      </w:r>
      <w:bookmarkEnd w:id="5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pPr>
        <w:pStyle w:val="3"/>
        <w:keepNext w:val="0"/>
        <w:keepLines w:val="0"/>
        <w:spacing w:before="0" w:after="0" w:line="360" w:lineRule="auto"/>
        <w:ind w:firstLine="420" w:firstLineChars="200"/>
        <w:textAlignment w:val="baseline"/>
        <w:rPr>
          <w:rFonts w:ascii="宋体" w:hAnsi="宋体" w:eastAsia="宋体"/>
          <w:b w:val="0"/>
          <w:bCs w:val="0"/>
          <w:color w:val="auto"/>
          <w:sz w:val="21"/>
          <w:szCs w:val="21"/>
          <w:highlight w:val="none"/>
        </w:rPr>
      </w:pPr>
      <w:bookmarkStart w:id="59" w:name="_Toc382819117"/>
      <w:r>
        <w:rPr>
          <w:rFonts w:hint="eastAsia" w:ascii="宋体" w:hAnsi="宋体" w:eastAsia="宋体"/>
          <w:b w:val="0"/>
          <w:bCs w:val="0"/>
          <w:color w:val="auto"/>
          <w:sz w:val="21"/>
          <w:szCs w:val="21"/>
          <w:highlight w:val="none"/>
        </w:rPr>
        <w:t>（七）基金定期报告的编制和复核</w:t>
      </w:r>
      <w:bookmarkEnd w:id="5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1.基金财务报表由基金管理人和基金托管人每月分别独立编制。月度报表的编制，应于每月终了后5个工作日内完成。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半年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hint="eastAsia" w:ascii="宋体" w:hAnsi="宋体"/>
          <w:color w:val="auto"/>
          <w:kern w:val="44"/>
          <w:szCs w:val="21"/>
          <w:highlight w:val="none"/>
        </w:rPr>
        <w:t>如果基金管理人与基金托管人不能于应当发布公告之日之前就相关报表达成一致，基金管理人有权按照其编制的报表对外发布公告，基金托管人有权就相关情况报中国证监会备案。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5.基金托管人在对财务会计报告、半年中期报告或年度报告复核完毕后，需盖章确认或出具相应的复核确认书，以备有权机构对相关文件审核时提示。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6.基金定期报告应当在公开披露的第2个工作日，分别报中国证监会和基金管理人主要办公场所所在地中国证监会派出机构备案。</w:t>
      </w:r>
    </w:p>
    <w:p>
      <w:pPr>
        <w:spacing w:line="360" w:lineRule="auto"/>
        <w:ind w:firstLine="420" w:firstLineChars="200"/>
        <w:rPr>
          <w:rFonts w:ascii="宋体" w:hAnsi="宋体"/>
          <w:color w:val="auto"/>
          <w:szCs w:val="21"/>
          <w:highlight w:val="none"/>
        </w:rPr>
      </w:pPr>
    </w:p>
    <w:p>
      <w:pPr>
        <w:jc w:val="left"/>
        <w:rPr>
          <w:rFonts w:ascii="宋体" w:hAnsi="宋体"/>
          <w:b/>
          <w:color w:val="auto"/>
          <w:sz w:val="24"/>
          <w:highlight w:val="none"/>
        </w:rPr>
      </w:pPr>
      <w:bookmarkStart w:id="60" w:name="_Toc382819118"/>
      <w:r>
        <w:rPr>
          <w:rFonts w:hint="eastAsia" w:ascii="宋体" w:hAnsi="宋体"/>
          <w:b/>
          <w:color w:val="auto"/>
          <w:sz w:val="24"/>
          <w:highlight w:val="none"/>
        </w:rPr>
        <w:br w:type="page"/>
      </w:r>
    </w:p>
    <w:p>
      <w:pPr>
        <w:spacing w:before="312" w:beforeLines="100" w:after="312" w:afterLines="100" w:line="240" w:lineRule="atLeast"/>
        <w:jc w:val="center"/>
        <w:outlineLvl w:val="0"/>
        <w:rPr>
          <w:rFonts w:ascii="宋体" w:hAnsi="宋体"/>
          <w:b/>
          <w:color w:val="auto"/>
          <w:sz w:val="24"/>
          <w:highlight w:val="none"/>
        </w:rPr>
      </w:pPr>
      <w:r>
        <w:rPr>
          <w:rFonts w:hint="eastAsia" w:ascii="宋体" w:hAnsi="宋体"/>
          <w:b/>
          <w:color w:val="auto"/>
          <w:sz w:val="24"/>
          <w:highlight w:val="none"/>
        </w:rPr>
        <w:t>八、基金收益分配</w:t>
      </w:r>
      <w:bookmarkEnd w:id="60"/>
    </w:p>
    <w:p>
      <w:pPr>
        <w:spacing w:line="360" w:lineRule="auto"/>
        <w:ind w:firstLine="420" w:firstLineChars="200"/>
        <w:textAlignment w:val="baseline"/>
        <w:rPr>
          <w:rFonts w:ascii="宋体" w:hAnsi="宋体" w:cs="Arial"/>
          <w:color w:val="auto"/>
          <w:kern w:val="0"/>
          <w:szCs w:val="21"/>
          <w:highlight w:val="none"/>
        </w:rPr>
      </w:pPr>
      <w:bookmarkStart w:id="61" w:name="_Toc382819119"/>
      <w:r>
        <w:rPr>
          <w:rFonts w:hint="eastAsia" w:ascii="宋体" w:hAnsi="宋体"/>
          <w:color w:val="auto"/>
          <w:szCs w:val="21"/>
          <w:highlight w:val="none"/>
        </w:rPr>
        <w:t>（一）基金利润的构成</w:t>
      </w:r>
      <w:bookmarkEnd w:id="6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基金利润指基金利息收入、投资收益、公允价值变动收益和其他收入扣除相关费用后的余额，基金已实现收益指基金利润减去公允价值变动收益后的余额。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（二）基金可供分配利润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基金可供分配利润指截至收益分配基准日基金未分配利润与未分配利润中已实现收益的孰低数。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（三）基金收益分配原则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1、在符合有关基金分红条件的前提下，本基金管理人可以根据实际情况进行收益分配，具体分配方案以公告为准。若《基金合同》生效不满3个月可不进行收益分配。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基金收益分配方式分两种：现金分红与红利再投资，投资者可选择现金红利或将现金红利自动转为基金份额进行再投资；若投资者不选择，本基金默认的收益分配方式是现金分红；红利再投资所得份额的持有期，按原份额的持有期计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3、基金收益分配后基金份额净值不能低于面值；即基金收益分配基准日的基金份额净值减去每单位基金份额收益分配金额后不能低于面值。</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4、每一基金份额享有同等分配权。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5、法律法规或监管机关另有规定的，从其规定。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在不违反法律法规且对基金份额持有人利益无实质性不利影响的前提下，基金管理人可对基金收益分配原则进行调整，无需召开基金份额持有人大会。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（四）收益分配方案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基金收益分配方案中应载明截止收益分配基准日的可供分配利润、基金收益分配对象、分配时间、分配数额及比例、分配方式等内容。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（五）收益分配方案的确定、公告与实施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本基金收益分配方案由基金管理人拟定，并由基金托管人复核，依照《信息披露办法》的有关规定在规定媒介公告。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在收益分配方案公布后，基金管理人依据具体方案的规定就支付的现金红利向基金托管人发送划款指令，基金托管人按照基金管理人的正当指令及时进行分红资金的划付。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（六）基金收益分配中发生的费用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（七）实施侧袋机制期间的收益分配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本基金实施侧袋机制的，侧袋账户不进行收益分配，详见招募说明书的规定。</w:t>
      </w:r>
      <w:bookmarkStart w:id="62" w:name="_Toc382819121"/>
    </w:p>
    <w:p>
      <w:pPr>
        <w:spacing w:line="500" w:lineRule="atLeast"/>
        <w:jc w:val="center"/>
        <w:rPr>
          <w:rFonts w:ascii="宋体" w:hAnsi="宋体"/>
          <w:color w:val="auto"/>
          <w:szCs w:val="21"/>
          <w:highlight w:val="none"/>
        </w:rPr>
      </w:pPr>
    </w:p>
    <w:p>
      <w:pPr>
        <w:jc w:val="left"/>
        <w:rPr>
          <w:rFonts w:ascii="宋体" w:hAnsi="宋体"/>
          <w:b/>
          <w:color w:val="auto"/>
          <w:sz w:val="24"/>
          <w:highlight w:val="none"/>
        </w:rPr>
      </w:pPr>
      <w:r>
        <w:rPr>
          <w:rFonts w:hint="eastAsia" w:ascii="宋体" w:hAnsi="宋体"/>
          <w:b/>
          <w:color w:val="auto"/>
          <w:sz w:val="24"/>
          <w:highlight w:val="none"/>
        </w:rPr>
        <w:br w:type="page"/>
      </w:r>
    </w:p>
    <w:p>
      <w:pPr>
        <w:spacing w:before="312" w:beforeLines="100" w:after="312" w:afterLines="100" w:line="500" w:lineRule="atLeast"/>
        <w:jc w:val="center"/>
        <w:outlineLvl w:val="0"/>
        <w:rPr>
          <w:rFonts w:ascii="宋体" w:hAnsi="宋体"/>
          <w:color w:val="auto"/>
          <w:highlight w:val="none"/>
        </w:rPr>
      </w:pPr>
      <w:r>
        <w:rPr>
          <w:rFonts w:hint="eastAsia" w:ascii="宋体" w:hAnsi="宋体"/>
          <w:b/>
          <w:color w:val="auto"/>
          <w:sz w:val="24"/>
          <w:highlight w:val="none"/>
        </w:rPr>
        <w:t>九、信息披露</w:t>
      </w:r>
      <w:bookmarkEnd w:id="62"/>
    </w:p>
    <w:p>
      <w:pPr>
        <w:spacing w:line="360" w:lineRule="auto"/>
        <w:ind w:firstLine="420" w:firstLineChars="200"/>
        <w:textAlignment w:val="baseline"/>
        <w:rPr>
          <w:rFonts w:ascii="宋体" w:hAnsi="宋体" w:cs="Arial"/>
          <w:color w:val="auto"/>
          <w:kern w:val="0"/>
          <w:szCs w:val="21"/>
          <w:highlight w:val="none"/>
        </w:rPr>
      </w:pPr>
      <w:bookmarkStart w:id="63" w:name="_Toc382819122"/>
      <w:r>
        <w:rPr>
          <w:rFonts w:hint="eastAsia" w:ascii="宋体" w:hAnsi="宋体"/>
          <w:color w:val="auto"/>
          <w:szCs w:val="21"/>
          <w:highlight w:val="none"/>
        </w:rPr>
        <w:t>（一）</w:t>
      </w:r>
      <w:r>
        <w:rPr>
          <w:rFonts w:hint="eastAsia" w:ascii="宋体" w:hAnsi="宋体" w:cs="Arial"/>
          <w:color w:val="auto"/>
          <w:kern w:val="0"/>
          <w:szCs w:val="21"/>
          <w:highlight w:val="none"/>
        </w:rPr>
        <w:t>保密义务</w:t>
      </w:r>
      <w:bookmarkEnd w:id="6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pPr>
        <w:pStyle w:val="12"/>
        <w:ind w:firstLine="420" w:firstLineChars="200"/>
        <w:rPr>
          <w:rFonts w:ascii="宋体" w:hAnsi="宋体"/>
          <w:color w:val="auto"/>
          <w:szCs w:val="21"/>
          <w:highlight w:val="none"/>
        </w:rPr>
      </w:pPr>
      <w:r>
        <w:rPr>
          <w:rFonts w:hint="eastAsia" w:ascii="宋体" w:hAnsi="宋体"/>
          <w:color w:val="auto"/>
          <w:szCs w:val="21"/>
          <w:highlight w:val="none"/>
        </w:rPr>
        <w:t>1.非因基金管理人和基金托管人的原因导致保密信息被披露、泄露或公开；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2.基金管理人和基金托管人为遵守和服从法院判决、仲裁裁决或中国证监会等监管机构的命令、决定所做出的信息披露或公开。</w:t>
      </w:r>
    </w:p>
    <w:p>
      <w:pPr>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（二）信息披露的内容</w:t>
      </w:r>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1.基金管理人和基金托管人应根据相关法律法规、《基金合同》的规定各自承担相应的信息披露职责。基金管理人和基金托管人负有积极配合、互相督促、彼此监督、保证其履行按照法定方式和时限披露的义务。</w:t>
      </w:r>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基金的信息披露主要包括基金招募说明书、《基金合同》、基金托管协议、基金产品资料概要、基金份额发售公告、《基金合同》生效公告、基金定期报告（包括基金年度报告、基金中期报告和基金季度报告）、临时报告、基金净值信息、基金份额申购、赎回价格、澄清公告、基金份额持有人大会决议、清算报告、资产支持证券、国债期货、股指期货和股票期权的投资情况、投资于参与港股通标的股票交易情况、参与融资交易情况、实施侧袋机制期间的信息披露等其他必要的公告文件，由基金管理人拟定并负责公布。</w:t>
      </w:r>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基金管理人与基金托管人应严格遵守《基金合同》所规定的信息披露要求。基金净值信息、基金份额净值、基金份额申购赎回价格、基金定期报告和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年度报告中的财务报告部分，应当经过符合《中华人民共和国证券法》规定的会计师事务所审计后，方可披露。</w:t>
      </w:r>
    </w:p>
    <w:p>
      <w:pPr>
        <w:tabs>
          <w:tab w:val="left" w:pos="4680"/>
        </w:tabs>
        <w:spacing w:line="360" w:lineRule="auto"/>
        <w:ind w:firstLine="420" w:firstLineChars="200"/>
        <w:rPr>
          <w:rFonts w:ascii="宋体" w:hAnsi="宋体"/>
          <w:color w:val="auto"/>
          <w:szCs w:val="21"/>
          <w:highlight w:val="none"/>
        </w:rPr>
      </w:pPr>
      <w:bookmarkStart w:id="64" w:name="_Toc382819123"/>
      <w:r>
        <w:rPr>
          <w:rFonts w:hint="eastAsia" w:ascii="宋体" w:hAnsi="宋体"/>
          <w:color w:val="auto"/>
          <w:szCs w:val="21"/>
          <w:highlight w:val="none"/>
        </w:rPr>
        <w:t>4.基金管理人应当在中国证监会规定的时间内，将应予披露的基金信息通过符合中国证监会规定条件的报刊及《信息披露办法》规定的互联网网站等媒介披露。根据法律法规应由基金托管人公开披露的信息，基金托管人将通过规定报刊或基金托管人的互联网网站公开披露。</w:t>
      </w:r>
      <w:bookmarkEnd w:id="64"/>
    </w:p>
    <w:p>
      <w:pPr>
        <w:spacing w:line="360" w:lineRule="auto"/>
        <w:ind w:firstLine="420" w:firstLineChars="200"/>
        <w:textAlignment w:val="baseline"/>
        <w:rPr>
          <w:rFonts w:ascii="宋体" w:hAnsi="宋体"/>
          <w:color w:val="auto"/>
          <w:szCs w:val="21"/>
          <w:highlight w:val="none"/>
        </w:rPr>
      </w:pPr>
      <w:bookmarkStart w:id="65" w:name="_Toc382819124"/>
      <w:r>
        <w:rPr>
          <w:rFonts w:hint="eastAsia" w:ascii="宋体" w:hAnsi="宋体"/>
          <w:color w:val="auto"/>
          <w:szCs w:val="21"/>
          <w:highlight w:val="none"/>
        </w:rPr>
        <w:t>（三）基金管理人和基金托管人在信息披露中的职责和信息披露程序</w:t>
      </w:r>
      <w:bookmarkEnd w:id="65"/>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基金管理人、基金托管人应当建立健全信息披露管理制度，指定专门部门及高级管理人员负责管理信息披露事务。</w:t>
      </w:r>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基金信息披露义务人公开披露基金信息，应当符合中国证监会相关基金信息披露内容与格式准则等法规的规定。</w:t>
      </w:r>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基金管理人、基金托管人应当在规定媒介中选择一家报刊披露本基金信息。基金管理人、基金托管人应当向中国证监会基金电子披露网站报送拟披露的基金信息，并保证相关报送信息的真实、准确、完整、及时。</w:t>
      </w:r>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为强化投资者保护，提升信息披露服务质量，基金管理人应当按照中国证监会规定向投资者及时提供对其投资决策有重大影响的信息，基金销售机构应当按照中国证监会规定做好信息传递工作。</w:t>
      </w:r>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基金管理人、基金托管人除依法在规定媒介上披露信息外，还可以根据需要在其他公共媒介披露信息，但是其他公共媒介不得早于规定媒介披露信息，并且在不同媒介上披露同一信息的内容应当一致。</w:t>
      </w:r>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为基金信息披露义务人公开披露的基金信息出具审计报告、法律意见书的专业机构，应当制作工作底稿，并将相关档案至少保存到基金合同终止后10年。</w:t>
      </w:r>
    </w:p>
    <w:p>
      <w:pPr>
        <w:tabs>
          <w:tab w:val="left" w:pos="46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（四）信息披露文件的存放与查阅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依法必须披露的信息发布后，基金管理人、基金托管人应当按照相关法律法规规定将信息置备于各自住所，供社会公众查阅、复制。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（五）暂停或延迟信息披露的情形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当出现下述情况时，基金管理人和基金托管人可暂停或延迟披露基金相关信息：</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（1）不可抗力；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（2）基金投资所涉及的证券交易所或外汇市场遇法定节假日或因其他原因暂停营业时；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（3）出现《基金合同》约定的暂停估值的情形；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（4）法律法规规定、中国证监会或基金合同认定的其他情形。</w:t>
      </w:r>
    </w:p>
    <w:p>
      <w:pPr>
        <w:spacing w:line="360" w:lineRule="auto"/>
        <w:ind w:right="28" w:firstLine="420" w:firstLineChars="200"/>
        <w:rPr>
          <w:rFonts w:ascii="宋体" w:hAnsi="宋体"/>
          <w:color w:val="auto"/>
          <w:szCs w:val="21"/>
          <w:highlight w:val="none"/>
        </w:rPr>
      </w:pPr>
    </w:p>
    <w:p>
      <w:pPr>
        <w:jc w:val="left"/>
        <w:rPr>
          <w:rFonts w:ascii="宋体" w:hAnsi="宋体"/>
          <w:b/>
          <w:color w:val="auto"/>
          <w:sz w:val="24"/>
          <w:highlight w:val="none"/>
        </w:rPr>
      </w:pPr>
      <w:bookmarkStart w:id="66" w:name="_Toc382819125"/>
      <w:r>
        <w:rPr>
          <w:rFonts w:hint="eastAsia" w:ascii="宋体" w:hAnsi="宋体"/>
          <w:b/>
          <w:color w:val="auto"/>
          <w:sz w:val="24"/>
          <w:highlight w:val="none"/>
        </w:rPr>
        <w:br w:type="page"/>
      </w:r>
    </w:p>
    <w:p>
      <w:pPr>
        <w:spacing w:before="312" w:beforeLines="100" w:after="312" w:afterLines="100" w:line="500" w:lineRule="atLeast"/>
        <w:jc w:val="center"/>
        <w:outlineLvl w:val="0"/>
        <w:rPr>
          <w:rFonts w:ascii="宋体" w:hAnsi="宋体"/>
          <w:color w:val="auto"/>
          <w:highlight w:val="none"/>
        </w:rPr>
      </w:pPr>
      <w:r>
        <w:rPr>
          <w:rFonts w:hint="eastAsia" w:ascii="宋体" w:hAnsi="宋体"/>
          <w:b/>
          <w:color w:val="auto"/>
          <w:sz w:val="24"/>
          <w:highlight w:val="none"/>
        </w:rPr>
        <w:t>十、基金费用</w:t>
      </w:r>
      <w:bookmarkEnd w:id="66"/>
    </w:p>
    <w:p>
      <w:pPr>
        <w:spacing w:line="360" w:lineRule="auto"/>
        <w:ind w:right="28" w:firstLine="420" w:firstLineChars="200"/>
        <w:rPr>
          <w:rFonts w:ascii="宋体" w:hAnsi="宋体"/>
          <w:color w:val="auto"/>
          <w:szCs w:val="21"/>
          <w:highlight w:val="none"/>
        </w:rPr>
      </w:pPr>
      <w:r>
        <w:rPr>
          <w:rFonts w:hint="eastAsia" w:ascii="宋体" w:hAnsi="宋体"/>
          <w:color w:val="auto"/>
          <w:szCs w:val="21"/>
          <w:highlight w:val="none"/>
        </w:rPr>
        <w:t>基金费用按照《基金合同》的约定计提和支付。</w:t>
      </w:r>
      <w:bookmarkStart w:id="67" w:name="_Toc382819126"/>
    </w:p>
    <w:p>
      <w:pPr>
        <w:autoSpaceDE w:val="0"/>
        <w:autoSpaceDN w:val="0"/>
        <w:adjustRightInd w:val="0"/>
        <w:spacing w:line="360" w:lineRule="auto"/>
        <w:ind w:firstLine="411" w:firstLineChars="196"/>
        <w:textAlignment w:val="baseline"/>
        <w:rPr>
          <w:rFonts w:ascii="宋体" w:hAnsi="宋体"/>
          <w:color w:val="auto"/>
          <w:szCs w:val="21"/>
          <w:highlight w:val="none"/>
        </w:rPr>
      </w:pPr>
      <w:r>
        <w:rPr>
          <w:rFonts w:hint="eastAsia" w:ascii="宋体" w:hAnsi="宋体"/>
          <w:color w:val="auto"/>
          <w:szCs w:val="21"/>
          <w:highlight w:val="none"/>
        </w:rPr>
        <w:t>（一）基金管理人的管理费</w:t>
      </w:r>
    </w:p>
    <w:p>
      <w:pPr>
        <w:spacing w:line="360" w:lineRule="auto"/>
        <w:ind w:right="28" w:firstLine="420" w:firstLineChars="200"/>
        <w:rPr>
          <w:rFonts w:ascii="宋体" w:hAnsi="宋体"/>
          <w:color w:val="auto"/>
          <w:szCs w:val="21"/>
          <w:highlight w:val="none"/>
        </w:rPr>
      </w:pPr>
      <w:r>
        <w:rPr>
          <w:rFonts w:hint="eastAsia" w:ascii="宋体" w:hAnsi="宋体"/>
          <w:color w:val="auto"/>
          <w:szCs w:val="21"/>
          <w:highlight w:val="none"/>
        </w:rPr>
        <w:t>本基金投资于本基金管理人所管理的其他基金的部分不收取管理费。本基金的管理费按前一日基金资产净值扣除基金所持有本基金管理人管理的其他基金份额所对应资产净值后剩余部分的0.60%年费率计提。基金管理费的计算方法如下：</w:t>
      </w:r>
    </w:p>
    <w:p>
      <w:pPr>
        <w:spacing w:line="360" w:lineRule="auto"/>
        <w:ind w:right="28" w:firstLine="420" w:firstLineChars="200"/>
        <w:rPr>
          <w:rFonts w:ascii="宋体" w:hAnsi="宋体"/>
          <w:color w:val="auto"/>
          <w:szCs w:val="21"/>
          <w:highlight w:val="none"/>
        </w:rPr>
      </w:pPr>
      <w:r>
        <w:rPr>
          <w:rFonts w:hint="eastAsia" w:ascii="宋体" w:hAnsi="宋体"/>
          <w:color w:val="auto"/>
          <w:szCs w:val="21"/>
          <w:highlight w:val="none"/>
        </w:rPr>
        <w:t>H＝E×0.60%÷当年天数</w:t>
      </w:r>
    </w:p>
    <w:p>
      <w:pPr>
        <w:spacing w:line="360" w:lineRule="auto"/>
        <w:ind w:right="28" w:firstLine="420" w:firstLineChars="200"/>
        <w:rPr>
          <w:rFonts w:ascii="宋体" w:hAnsi="宋体"/>
          <w:color w:val="auto"/>
          <w:szCs w:val="21"/>
          <w:highlight w:val="none"/>
        </w:rPr>
      </w:pPr>
      <w:r>
        <w:rPr>
          <w:rFonts w:hint="eastAsia" w:ascii="宋体" w:hAnsi="宋体"/>
          <w:color w:val="auto"/>
          <w:szCs w:val="21"/>
          <w:highlight w:val="none"/>
        </w:rPr>
        <w:t>H为每日应计提的基金管理费</w:t>
      </w:r>
    </w:p>
    <w:p>
      <w:pPr>
        <w:spacing w:line="360" w:lineRule="auto"/>
        <w:ind w:right="28" w:firstLine="420" w:firstLineChars="200"/>
        <w:rPr>
          <w:rFonts w:ascii="宋体" w:hAnsi="宋体"/>
          <w:color w:val="auto"/>
          <w:szCs w:val="21"/>
          <w:highlight w:val="none"/>
        </w:rPr>
      </w:pPr>
      <w:r>
        <w:rPr>
          <w:rFonts w:hint="eastAsia" w:ascii="宋体" w:hAnsi="宋体"/>
          <w:color w:val="auto"/>
          <w:szCs w:val="21"/>
          <w:highlight w:val="none"/>
        </w:rPr>
        <w:t>E为前一日基金资产净值扣除基金所持有本基金管理人管理的其他基金份额所对应资产净值后剩余部分，若为负数，则E取0。</w:t>
      </w:r>
    </w:p>
    <w:p>
      <w:pPr>
        <w:spacing w:line="360" w:lineRule="auto"/>
        <w:ind w:right="28" w:firstLine="420" w:firstLineChars="200"/>
        <w:rPr>
          <w:rFonts w:ascii="宋体" w:hAnsi="宋体"/>
          <w:color w:val="auto"/>
          <w:szCs w:val="21"/>
          <w:highlight w:val="none"/>
        </w:rPr>
      </w:pPr>
      <w:r>
        <w:rPr>
          <w:rFonts w:hint="eastAsia" w:ascii="宋体" w:hAnsi="宋体"/>
          <w:color w:val="auto"/>
          <w:szCs w:val="21"/>
          <w:highlight w:val="none"/>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或不可抗力等，支付日期顺延。</w:t>
      </w:r>
    </w:p>
    <w:p>
      <w:pPr>
        <w:autoSpaceDE w:val="0"/>
        <w:autoSpaceDN w:val="0"/>
        <w:adjustRightInd w:val="0"/>
        <w:spacing w:line="360" w:lineRule="auto"/>
        <w:ind w:firstLine="411" w:firstLineChars="196"/>
        <w:textAlignment w:val="baseline"/>
        <w:rPr>
          <w:rFonts w:ascii="宋体" w:hAnsi="宋体"/>
          <w:color w:val="auto"/>
          <w:szCs w:val="21"/>
          <w:highlight w:val="none"/>
        </w:rPr>
      </w:pPr>
      <w:r>
        <w:rPr>
          <w:rFonts w:hint="eastAsia" w:ascii="宋体" w:hAnsi="宋体"/>
          <w:color w:val="auto"/>
          <w:szCs w:val="21"/>
          <w:highlight w:val="none"/>
        </w:rPr>
        <w:t>（二）基金托管人的托管费</w:t>
      </w:r>
    </w:p>
    <w:p>
      <w:pPr>
        <w:spacing w:line="360" w:lineRule="auto"/>
        <w:ind w:right="28" w:firstLine="420" w:firstLineChars="200"/>
        <w:rPr>
          <w:rFonts w:ascii="宋体" w:hAnsi="宋体"/>
          <w:color w:val="auto"/>
          <w:szCs w:val="21"/>
          <w:highlight w:val="none"/>
        </w:rPr>
      </w:pPr>
      <w:r>
        <w:rPr>
          <w:rFonts w:hint="eastAsia" w:ascii="宋体" w:hAnsi="宋体"/>
          <w:color w:val="auto"/>
          <w:szCs w:val="21"/>
          <w:highlight w:val="none"/>
        </w:rPr>
        <w:t>本基金投资于本基金托管人所托管的其他基金的部分不收取托管费。本基金的托管费按前一日基金资产净值扣除基金所持有本基金托管人托管的其他基金份额所对应资产净值后剩余部分的0.15%年费率计提。基金托管费的计算方法如下：</w:t>
      </w:r>
    </w:p>
    <w:p>
      <w:pPr>
        <w:spacing w:line="360" w:lineRule="auto"/>
        <w:ind w:right="28" w:firstLine="420" w:firstLineChars="200"/>
        <w:rPr>
          <w:rFonts w:ascii="宋体" w:hAnsi="宋体"/>
          <w:color w:val="auto"/>
          <w:szCs w:val="21"/>
          <w:highlight w:val="none"/>
        </w:rPr>
      </w:pPr>
      <w:r>
        <w:rPr>
          <w:rFonts w:hint="eastAsia" w:ascii="宋体" w:hAnsi="宋体"/>
          <w:color w:val="auto"/>
          <w:szCs w:val="21"/>
          <w:highlight w:val="none"/>
        </w:rPr>
        <w:t>H＝E×0.15%÷当年天数</w:t>
      </w:r>
    </w:p>
    <w:p>
      <w:pPr>
        <w:spacing w:line="360" w:lineRule="auto"/>
        <w:ind w:right="28" w:firstLine="420" w:firstLineChars="200"/>
        <w:rPr>
          <w:rFonts w:ascii="宋体" w:hAnsi="宋体"/>
          <w:color w:val="auto"/>
          <w:szCs w:val="21"/>
          <w:highlight w:val="none"/>
        </w:rPr>
      </w:pPr>
      <w:r>
        <w:rPr>
          <w:rFonts w:hint="eastAsia" w:ascii="宋体" w:hAnsi="宋体"/>
          <w:color w:val="auto"/>
          <w:szCs w:val="21"/>
          <w:highlight w:val="none"/>
        </w:rPr>
        <w:t>H为每日应计提的基金托管费</w:t>
      </w:r>
    </w:p>
    <w:p>
      <w:pPr>
        <w:spacing w:line="360" w:lineRule="auto"/>
        <w:ind w:right="28" w:firstLine="420" w:firstLineChars="200"/>
        <w:rPr>
          <w:rFonts w:ascii="宋体" w:hAnsi="宋体"/>
          <w:color w:val="auto"/>
          <w:szCs w:val="21"/>
          <w:highlight w:val="none"/>
        </w:rPr>
      </w:pPr>
      <w:r>
        <w:rPr>
          <w:rFonts w:hint="eastAsia" w:ascii="宋体" w:hAnsi="宋体"/>
          <w:color w:val="auto"/>
          <w:szCs w:val="21"/>
          <w:highlight w:val="none"/>
        </w:rPr>
        <w:t>E为前一日的基金资产净值扣除基金所持有本基金托管人托管的其他基金份额所对应资产净值后剩余部分，若为负数，则E取0。</w:t>
      </w:r>
    </w:p>
    <w:p>
      <w:pPr>
        <w:spacing w:line="360" w:lineRule="auto"/>
        <w:ind w:right="28" w:firstLine="420" w:firstLineChars="200"/>
        <w:rPr>
          <w:rFonts w:ascii="宋体" w:hAnsi="宋体"/>
          <w:color w:val="auto"/>
          <w:szCs w:val="21"/>
          <w:highlight w:val="none"/>
        </w:rPr>
      </w:pPr>
      <w:r>
        <w:rPr>
          <w:rFonts w:hint="eastAsia" w:ascii="宋体" w:hAnsi="宋体"/>
          <w:color w:val="auto"/>
          <w:szCs w:val="21"/>
          <w:highlight w:val="none"/>
        </w:rPr>
        <w:t>基金托管费每日计提，逐日累计至每月月末，按月支付，经基金管理人与基金托管人双方核对无误后，基金托管人按照与基金管理人协商一致的方式于次月前5个工作日内从基金财产中一次性支取。若遇法定节假日、公休日或不可抗力等，支付日期顺延。</w:t>
      </w:r>
    </w:p>
    <w:p>
      <w:pPr>
        <w:autoSpaceDE w:val="0"/>
        <w:autoSpaceDN w:val="0"/>
        <w:adjustRightInd w:val="0"/>
        <w:spacing w:line="360" w:lineRule="auto"/>
        <w:ind w:firstLine="411" w:firstLineChars="196"/>
        <w:textAlignment w:val="baseline"/>
        <w:rPr>
          <w:rFonts w:ascii="宋体" w:hAnsi="宋体"/>
          <w:color w:val="auto"/>
          <w:szCs w:val="21"/>
          <w:highlight w:val="none"/>
        </w:rPr>
      </w:pPr>
      <w:r>
        <w:rPr>
          <w:rFonts w:hint="eastAsia" w:ascii="宋体" w:hAnsi="宋体"/>
          <w:color w:val="auto"/>
          <w:szCs w:val="21"/>
          <w:highlight w:val="none"/>
        </w:rPr>
        <w:t>（三）实施侧袋机制期间的基金费用</w:t>
      </w:r>
    </w:p>
    <w:p>
      <w:pPr>
        <w:spacing w:line="360" w:lineRule="auto"/>
        <w:ind w:right="28" w:firstLine="420" w:firstLineChars="200"/>
        <w:rPr>
          <w:rFonts w:ascii="宋体" w:hAnsi="宋体"/>
          <w:color w:val="auto"/>
          <w:szCs w:val="21"/>
          <w:highlight w:val="none"/>
        </w:rPr>
      </w:pPr>
      <w:r>
        <w:rPr>
          <w:rFonts w:hint="eastAsia" w:ascii="宋体" w:hAnsi="宋体"/>
          <w:color w:val="auto"/>
          <w:szCs w:val="21"/>
          <w:highlight w:val="none"/>
        </w:rPr>
        <w:t>本基金实施侧袋机制的，与侧袋账户有关的费用可以从侧袋账户中列支，但应待侧袋账户资产变现后方可列支，有关费用可酌情收取或减免，但不得收取管理费，其他费用详见招募说明书的规定或相关公告。</w:t>
      </w:r>
    </w:p>
    <w:p>
      <w:pPr>
        <w:jc w:val="left"/>
        <w:rPr>
          <w:rFonts w:ascii="宋体" w:hAnsi="宋体"/>
          <w:b/>
          <w:color w:val="auto"/>
          <w:sz w:val="24"/>
          <w:highlight w:val="none"/>
        </w:rPr>
      </w:pPr>
      <w:r>
        <w:rPr>
          <w:rFonts w:hint="eastAsia" w:ascii="宋体" w:hAnsi="宋体"/>
          <w:b/>
          <w:color w:val="auto"/>
          <w:sz w:val="24"/>
          <w:highlight w:val="none"/>
        </w:rPr>
        <w:br w:type="page"/>
      </w:r>
    </w:p>
    <w:p>
      <w:pPr>
        <w:spacing w:before="312" w:beforeLines="100" w:after="312" w:afterLines="100" w:line="500" w:lineRule="atLeast"/>
        <w:jc w:val="center"/>
        <w:outlineLvl w:val="0"/>
        <w:rPr>
          <w:rFonts w:ascii="宋体" w:hAnsi="宋体"/>
          <w:color w:val="auto"/>
          <w:highlight w:val="none"/>
        </w:rPr>
      </w:pPr>
      <w:r>
        <w:rPr>
          <w:rFonts w:hint="eastAsia" w:ascii="宋体" w:hAnsi="宋体"/>
          <w:b/>
          <w:color w:val="auto"/>
          <w:sz w:val="24"/>
          <w:highlight w:val="none"/>
        </w:rPr>
        <w:t>十一、基金份额持有人名册的保管</w:t>
      </w:r>
      <w:bookmarkEnd w:id="6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管理人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基金份额持有人名册由基金的</w:t>
      </w:r>
      <w:r>
        <w:rPr>
          <w:rFonts w:hint="eastAsia" w:ascii="宋体" w:hAnsi="宋体" w:cs="Arial"/>
          <w:color w:val="auto"/>
          <w:szCs w:val="21"/>
          <w:highlight w:val="none"/>
        </w:rPr>
        <w:t>基金注册登记机构根据基金管理人的指令编制和保管</w:t>
      </w:r>
      <w:r>
        <w:rPr>
          <w:rFonts w:hint="eastAsia" w:ascii="宋体" w:hAnsi="宋体"/>
          <w:color w:val="auto"/>
          <w:szCs w:val="21"/>
          <w:highlight w:val="none"/>
        </w:rPr>
        <w:t>，基金管理人应按照目前相关规则保管基金份额持有人名册。保管方式可以采用电子或文档的形式。保管期限不低于法律法规规定的最低年限。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基金托管人编制中期报告和年报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pPr>
        <w:spacing w:line="360" w:lineRule="auto"/>
        <w:ind w:firstLine="420" w:firstLineChars="200"/>
        <w:rPr>
          <w:rFonts w:ascii="宋体" w:hAnsi="宋体"/>
          <w:color w:val="auto"/>
          <w:szCs w:val="21"/>
          <w:highlight w:val="none"/>
        </w:rPr>
      </w:pPr>
    </w:p>
    <w:p>
      <w:pPr>
        <w:jc w:val="left"/>
        <w:rPr>
          <w:rFonts w:ascii="宋体" w:hAnsi="宋体"/>
          <w:b/>
          <w:color w:val="auto"/>
          <w:sz w:val="24"/>
          <w:highlight w:val="none"/>
        </w:rPr>
      </w:pPr>
      <w:bookmarkStart w:id="68" w:name="_Toc382819127"/>
      <w:r>
        <w:rPr>
          <w:rFonts w:hint="eastAsia" w:ascii="宋体" w:hAnsi="宋体"/>
          <w:b/>
          <w:color w:val="auto"/>
          <w:sz w:val="24"/>
          <w:highlight w:val="none"/>
        </w:rPr>
        <w:br w:type="page"/>
      </w:r>
    </w:p>
    <w:p>
      <w:pPr>
        <w:spacing w:before="312" w:beforeLines="100" w:after="312" w:afterLines="100" w:line="500" w:lineRule="atLeast"/>
        <w:jc w:val="center"/>
        <w:outlineLvl w:val="0"/>
        <w:rPr>
          <w:rFonts w:ascii="宋体" w:hAnsi="宋体"/>
          <w:color w:val="auto"/>
          <w:highlight w:val="none"/>
        </w:rPr>
      </w:pPr>
      <w:r>
        <w:rPr>
          <w:rFonts w:hint="eastAsia" w:ascii="宋体" w:hAnsi="宋体"/>
          <w:b/>
          <w:color w:val="auto"/>
          <w:sz w:val="24"/>
          <w:highlight w:val="none"/>
        </w:rPr>
        <w:t>十二、基金有关文件和档案的保存</w:t>
      </w:r>
      <w:bookmarkEnd w:id="68"/>
    </w:p>
    <w:p>
      <w:pPr>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（一）档案保存</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最低年限。</w:t>
      </w:r>
    </w:p>
    <w:p>
      <w:pPr>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（二）合同档案的建立</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1、基金管理人或基金托管人在签署与本基金有关的合同文本后，应及时按相关法律法规及本协议的规定将合同正本或副本提交对方。</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2、基金管理人和基金托管人应按各自职责保管就基金资产对外签署的全部合同的正本。</w:t>
      </w:r>
    </w:p>
    <w:p>
      <w:pPr>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（三）变更与协助</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若基金管理人和基金托管人发生变更，未变更的一方有义务协助变更后的接任人接收相应文件。</w:t>
      </w:r>
    </w:p>
    <w:p>
      <w:pPr>
        <w:spacing w:line="360" w:lineRule="auto"/>
        <w:ind w:firstLine="420" w:firstLineChars="200"/>
        <w:rPr>
          <w:rFonts w:ascii="宋体" w:hAnsi="宋体" w:cs="Arial"/>
          <w:color w:val="auto"/>
          <w:szCs w:val="21"/>
          <w:highlight w:val="none"/>
        </w:rPr>
      </w:pPr>
    </w:p>
    <w:p>
      <w:pPr>
        <w:jc w:val="left"/>
        <w:rPr>
          <w:rFonts w:ascii="宋体" w:hAnsi="宋体"/>
          <w:b/>
          <w:color w:val="auto"/>
          <w:sz w:val="24"/>
          <w:highlight w:val="none"/>
        </w:rPr>
      </w:pPr>
      <w:bookmarkStart w:id="69" w:name="_Toc382819128"/>
      <w:r>
        <w:rPr>
          <w:rFonts w:hint="eastAsia" w:ascii="宋体" w:hAnsi="宋体"/>
          <w:b/>
          <w:color w:val="auto"/>
          <w:sz w:val="24"/>
          <w:highlight w:val="none"/>
        </w:rPr>
        <w:br w:type="page"/>
      </w:r>
    </w:p>
    <w:p>
      <w:pPr>
        <w:spacing w:before="312" w:beforeLines="100" w:after="312" w:afterLines="100" w:line="500" w:lineRule="atLeast"/>
        <w:jc w:val="center"/>
        <w:outlineLvl w:val="0"/>
        <w:rPr>
          <w:rFonts w:ascii="宋体" w:hAnsi="宋体"/>
          <w:color w:val="auto"/>
          <w:highlight w:val="none"/>
        </w:rPr>
      </w:pPr>
      <w:r>
        <w:rPr>
          <w:rFonts w:hint="eastAsia" w:ascii="宋体" w:hAnsi="宋体"/>
          <w:b/>
          <w:color w:val="auto"/>
          <w:sz w:val="24"/>
          <w:highlight w:val="none"/>
        </w:rPr>
        <w:t>十三、基金管理人和基金托管人的更换</w:t>
      </w:r>
      <w:bookmarkEnd w:id="69"/>
    </w:p>
    <w:p>
      <w:pPr>
        <w:spacing w:line="360" w:lineRule="auto"/>
        <w:ind w:firstLine="420" w:firstLineChars="200"/>
        <w:textAlignment w:val="baseline"/>
        <w:rPr>
          <w:rFonts w:ascii="宋体" w:hAnsi="宋体"/>
          <w:color w:val="auto"/>
          <w:szCs w:val="21"/>
          <w:highlight w:val="none"/>
        </w:rPr>
      </w:pPr>
      <w:bookmarkStart w:id="70" w:name="_Toc382819129"/>
      <w:r>
        <w:rPr>
          <w:rFonts w:hint="eastAsia" w:ascii="宋体" w:hAnsi="宋体"/>
          <w:color w:val="auto"/>
          <w:szCs w:val="21"/>
          <w:highlight w:val="none"/>
        </w:rPr>
        <w:t>（一）基金管理人的更换</w:t>
      </w:r>
      <w:bookmarkEnd w:id="7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1.基金管理人的更换条件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有下列情形之一的，基金管理人职责终止：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（1）被依法取消基金管理资格；</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（2）被基金份额持有人大会解任；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（3）依法解散、被依法撤销或被依法宣告破产；</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（4）法律法规及中国证监会规定的和《基金合同》约定的其他情形。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2.更换基金管理人的程序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（1）提名：新任基金管理人由基金托管人或由单独或合计持有10%以上（含10%）基金份额的基金份额持有人提名；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（3）临时基金管理人：新任基金管理人产生之前，由中国证监会指定临时基金管理人；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（4）备案：基金份额持有人大会更换基金管理人的决议须报中国证监会备案；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（5）公告：基金管理人更换后，由基金托管人在更换基金管理人的基金份额持有人大会决议生效后2日内在规定媒介公告；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交接：原任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（7）审计：原任基金管理人职责终止的，应当按照法律法规规定聘请会计师事务所对基金财产进行审计，并将审计结果予以公告，同时报中国证监会备案，审计费用从基金财产中列支；</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（8）基金名称变更：基金管理人更换后，如果原任或新任基金管理人要求，应按其要求替换或删除基金名称中与原基金管理人有关的名称字样。</w:t>
      </w:r>
    </w:p>
    <w:p>
      <w:pPr>
        <w:spacing w:line="360" w:lineRule="auto"/>
        <w:ind w:firstLine="420" w:firstLineChars="200"/>
        <w:textAlignment w:val="baseline"/>
        <w:rPr>
          <w:rFonts w:ascii="宋体" w:hAnsi="宋体"/>
          <w:color w:val="auto"/>
          <w:szCs w:val="21"/>
          <w:highlight w:val="none"/>
        </w:rPr>
      </w:pPr>
      <w:bookmarkStart w:id="71" w:name="_Toc382819130"/>
      <w:r>
        <w:rPr>
          <w:rFonts w:hint="eastAsia" w:ascii="宋体" w:hAnsi="宋体"/>
          <w:color w:val="auto"/>
          <w:szCs w:val="21"/>
          <w:highlight w:val="none"/>
        </w:rPr>
        <w:t>（二）基金托管人的更换</w:t>
      </w:r>
      <w:bookmarkEnd w:id="7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1.基金托管人的更换条件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有下列情形之一的，基金托管人职责终止：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（1）被依法取消基金托管资格；</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（2）被基金份额持有人大会解任；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（3）依法解散、被依法撤销或被依法宣告破产；</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（4）法律法规及中国证监会规定的和《基金合同》约定的其他情形。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2.更换基金托管人的程序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（1）提名：新任基金托管人由基金管理人或由单独或合计持有10%以上（含10%）基金份额的基金份额持有人提名；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（3）临时基金托管人：新任基金托管人产生之前，由中国证监会指定临时基金托管人；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（4）备案：基金份额持有人大会更换基金托管人的决议须报中国证监会备案；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（5）公告：基金托管人更换后，由基金管理人在更换基金托管人的基金份额持有人大会决议生效后2日内在规定媒介公告；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交接：原任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（7）审计：原任基金托管人职责终止的，应当按照法律法规规定聘请会计师事务所对基金财产进行审计，并将审计结果予以公告，同时报中国证监会备案，审计费用在基金财产中列支。</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基金合同》的规定收取基金管理费或基金托管费。</w:t>
      </w:r>
    </w:p>
    <w:p>
      <w:pPr>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（四）基金管理人与基金托管人同时更换的条件和程序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1.提名：如果基金管理人和基金托管人同时更换，由单独或合计持有基金总份额10%以上（含10%）的基金份额持有人提名新的基金管理人和基金托管人；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2.基金管理人和基金托管人的更换分别按上述程序进行；</w:t>
      </w:r>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3.公告：新任基金管理人和新任基金托管人应在更换基金管理人和基金托管人的基金份额持有人大会决议生效后2日内在规定媒介上联合公告。</w:t>
      </w:r>
    </w:p>
    <w:p>
      <w:pPr>
        <w:spacing w:line="360" w:lineRule="auto"/>
        <w:ind w:firstLine="472" w:firstLineChars="225"/>
        <w:rPr>
          <w:rFonts w:ascii="宋体" w:hAnsi="宋体"/>
          <w:bCs/>
          <w:color w:val="auto"/>
          <w:szCs w:val="21"/>
          <w:highlight w:val="none"/>
        </w:rPr>
      </w:pPr>
    </w:p>
    <w:p>
      <w:pPr>
        <w:jc w:val="left"/>
        <w:rPr>
          <w:rFonts w:ascii="宋体" w:hAnsi="宋体"/>
          <w:b/>
          <w:color w:val="auto"/>
          <w:sz w:val="24"/>
          <w:highlight w:val="none"/>
        </w:rPr>
      </w:pPr>
      <w:bookmarkStart w:id="72" w:name="_Toc382819131"/>
      <w:r>
        <w:rPr>
          <w:rFonts w:hint="eastAsia" w:ascii="宋体" w:hAnsi="宋体"/>
          <w:b/>
          <w:color w:val="auto"/>
          <w:sz w:val="24"/>
          <w:highlight w:val="none"/>
        </w:rPr>
        <w:br w:type="page"/>
      </w:r>
    </w:p>
    <w:p>
      <w:pPr>
        <w:spacing w:before="312" w:beforeLines="100" w:after="312" w:afterLines="100" w:line="500" w:lineRule="atLeast"/>
        <w:jc w:val="center"/>
        <w:outlineLvl w:val="0"/>
        <w:rPr>
          <w:rFonts w:ascii="宋体" w:hAnsi="宋体"/>
          <w:color w:val="auto"/>
          <w:highlight w:val="none"/>
        </w:rPr>
      </w:pPr>
      <w:r>
        <w:rPr>
          <w:rFonts w:hint="eastAsia" w:ascii="宋体" w:hAnsi="宋体"/>
          <w:b/>
          <w:color w:val="auto"/>
          <w:sz w:val="24"/>
          <w:highlight w:val="none"/>
        </w:rPr>
        <w:t>十四、禁止行为</w:t>
      </w:r>
      <w:bookmarkEnd w:id="7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托管协议当事人禁止从事的行为，包括但不限于：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（一）基金管理人、基金托管人将其固有财产或者他人财产混同于基金财产从事证券投资。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（二）基金管理人、基金托管人不公平地对待其管理或托管的不同基金财产。</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（三）基金管理人、基金托管人利用基金财产为基金份额持有人以外的第三人牟取利益。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（四）基金管理人、基金托管人向基金份额持有人违规承诺收益或者承担损失。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（五）基金管理人、基金托管人对他人泄漏基金经营过程中任何尚未按法律法规规定的方式公开披露的信息。</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（六）基金管理人在没有充足资金的情况下向基金托管人发出投资指令和赎回、分红资金的划拨指令，或违规向基金托管人发出指令。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（七）基金托管人对基金管理人的符合本协议约定的有效指令拖延或拒绝执行。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（八）基金管理人、基金托管人在行政上、财务上不独立，其高级基金管理人员相互兼职。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（九）基金托管人私自动用或处分基金资产，根据基金管理人的合法指令、基金合同或托管协议的规定进行处分的除外。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（十）基金管理人、基金托管人不得利用基金财产用于下列投资或者活动：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（1）承销证券；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（2）违反规定向他人贷款或者提供担保；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（3）从事承担无限责任的投资；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（4）向其基金管理人、基金托管人出资；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（5）从事内幕交易、操纵证券交易价格及其他不正当的证券交易活动；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（6）法律、行政法规和中国证监会规定禁止的其他活动。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法律、行政法规或监管部门取消或调整上述限制，如适用于本基金，基金管理人在履行适当程序后，则本基金投资不受上述限制或按调整后的规定执行。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一）法律法规和基金合同禁止的其他行为，以及依照法律法规有关规定，由中国证监会规定禁止基金管理人、基金托管人从事的其他行为。法律、行政法规或监管部门取消或变更上述禁止性规定，如适用于本基金，基金管理人有权在履行适当程序后按照法律法规或监管部门调整或修改后的规定执行，并应向投资者履行信息披露义务。</w:t>
      </w:r>
    </w:p>
    <w:p>
      <w:pPr>
        <w:rPr>
          <w:rFonts w:ascii="宋体" w:hAnsi="宋体"/>
          <w:color w:val="auto"/>
          <w:szCs w:val="21"/>
          <w:highlight w:val="none"/>
        </w:rPr>
      </w:pPr>
      <w:r>
        <w:rPr>
          <w:rFonts w:hint="eastAsia" w:ascii="宋体" w:hAnsi="宋体"/>
          <w:color w:val="auto"/>
          <w:szCs w:val="21"/>
          <w:highlight w:val="none"/>
        </w:rPr>
        <w:br w:type="page"/>
      </w:r>
    </w:p>
    <w:p>
      <w:pPr>
        <w:spacing w:before="312" w:beforeLines="100" w:after="312" w:afterLines="100" w:line="500" w:lineRule="atLeast"/>
        <w:jc w:val="center"/>
        <w:outlineLvl w:val="0"/>
        <w:rPr>
          <w:rFonts w:ascii="宋体" w:hAnsi="宋体"/>
          <w:color w:val="auto"/>
          <w:highlight w:val="none"/>
        </w:rPr>
      </w:pPr>
      <w:bookmarkStart w:id="73" w:name="_Toc382819132"/>
      <w:r>
        <w:rPr>
          <w:rFonts w:hint="eastAsia" w:ascii="宋体" w:hAnsi="宋体"/>
          <w:b/>
          <w:color w:val="auto"/>
          <w:sz w:val="24"/>
          <w:highlight w:val="none"/>
        </w:rPr>
        <w:t>十五、基金托管协议的变更、终止与基金财产的清算</w:t>
      </w:r>
      <w:bookmarkEnd w:id="73"/>
    </w:p>
    <w:p>
      <w:pPr>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（一）托管协议的变更与终止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1.托管协议的变更程序</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本协议双方当事人经协商一致，可以对协议的内容进行变更。变更后的托管协议，其内容不得与《基金合同》的规定有任何冲突，并需</w:t>
      </w:r>
      <w:r>
        <w:rPr>
          <w:rFonts w:hint="eastAsia" w:ascii="宋体" w:hAnsi="宋体"/>
          <w:color w:val="auto"/>
          <w:szCs w:val="21"/>
          <w:highlight w:val="none"/>
        </w:rPr>
        <w:t>经基金管理人、基金托管人加盖公章或合同专用章以及双方法定代表人或授权代理人签字（或盖章）确认</w:t>
      </w:r>
      <w:r>
        <w:rPr>
          <w:rFonts w:hint="eastAsia" w:ascii="宋体" w:hAnsi="宋体"/>
          <w:color w:val="auto"/>
          <w:spacing w:val="6"/>
          <w:szCs w:val="21"/>
          <w:highlight w:val="none"/>
        </w:rPr>
        <w:t>。基金托管协议的变更报中国证监会备案。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2.基金托管协议终止的情形</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发生以下情况，本托管协议终止：</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（1）《基金合同》终止；</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（2）基金托管人解散、依法被撤销、破产或有其他基金托管人接管基金资产；</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（3）基金管理人解散、依法被撤销、破产或有其他基金管理人接管基金管理权；</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（4）发生法律法规或《基金合同》规定的终止事项。</w:t>
      </w:r>
    </w:p>
    <w:p>
      <w:pPr>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（二）基金财产的清算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1.基金财产清算小组：自出现《基金合同》终止事由之日起30个工作日内成立清算小组，基金管理人组织基金财产清算小组并在中国证监会的监督下进行基金清算。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3.基金财产清算小组职责：基金财产清算小组负责基金财产的保管、清理、估价、变现和分配。基金财产清算小组可以依法进行必要的民事活动。</w:t>
      </w:r>
    </w:p>
    <w:p>
      <w:pPr>
        <w:tabs>
          <w:tab w:val="left" w:pos="643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5.基金财产清算程序：</w:t>
      </w:r>
      <w:r>
        <w:rPr>
          <w:rFonts w:hint="eastAsia" w:ascii="宋体" w:hAnsi="宋体"/>
          <w:color w:val="auto"/>
          <w:szCs w:val="21"/>
          <w:highlight w:val="none"/>
        </w:rPr>
        <w:tab/>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（1）《基金合同》终止情形出现时，由基金财产清算小组统一接管基金；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（2）对基金财产和债权债务进行清理和确认；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（3）对基金财产进行估值和变现；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（4）制作清算报告；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（5）聘请符合《中华人民共和国证券法》规定的会计师事务所对清算报告进行外部审计，聘请律师事务所对清算报告出具法律意见书；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（6）将清算报告报中国证监会备案并公告；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（7）对基金剩余财产进行分配。</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6.清算费用</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清算费用是指基金财产清算小组在进行基金清算过程中发生的所有合理费用，清算费用由基金财产清算小组优先从基金剩余财产中支付。</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7.基金财产清算剩余资产的分配</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（三）基金财产清算的公告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（四）基金财产清算账册及文件的保存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基金财产清算账册及有关文件由基金托管人保存，保存时间不低于法律法规规定的最低期限。</w:t>
      </w:r>
    </w:p>
    <w:p>
      <w:pPr>
        <w:spacing w:line="360" w:lineRule="auto"/>
        <w:ind w:firstLine="420" w:firstLineChars="200"/>
        <w:rPr>
          <w:rFonts w:ascii="宋体" w:hAnsi="宋体"/>
          <w:color w:val="auto"/>
          <w:szCs w:val="21"/>
          <w:highlight w:val="none"/>
        </w:rPr>
      </w:pPr>
    </w:p>
    <w:p>
      <w:pPr>
        <w:jc w:val="left"/>
        <w:rPr>
          <w:rFonts w:ascii="宋体" w:hAnsi="宋体"/>
          <w:b/>
          <w:color w:val="auto"/>
          <w:sz w:val="24"/>
          <w:highlight w:val="none"/>
        </w:rPr>
      </w:pPr>
      <w:bookmarkStart w:id="74" w:name="_Toc382819133"/>
      <w:r>
        <w:rPr>
          <w:rFonts w:hint="eastAsia" w:ascii="宋体" w:hAnsi="宋体"/>
          <w:b/>
          <w:color w:val="auto"/>
          <w:sz w:val="24"/>
          <w:highlight w:val="none"/>
        </w:rPr>
        <w:br w:type="page"/>
      </w:r>
    </w:p>
    <w:p>
      <w:pPr>
        <w:spacing w:before="312" w:beforeLines="100" w:after="312" w:afterLines="100" w:line="500" w:lineRule="atLeast"/>
        <w:jc w:val="center"/>
        <w:outlineLvl w:val="0"/>
        <w:rPr>
          <w:rFonts w:ascii="宋体" w:hAnsi="宋体"/>
          <w:color w:val="auto"/>
          <w:highlight w:val="none"/>
        </w:rPr>
      </w:pPr>
      <w:r>
        <w:rPr>
          <w:rFonts w:hint="eastAsia" w:ascii="宋体" w:hAnsi="宋体"/>
          <w:b/>
          <w:color w:val="auto"/>
          <w:sz w:val="24"/>
          <w:highlight w:val="none"/>
        </w:rPr>
        <w:t>十六、违约责任</w:t>
      </w:r>
      <w:bookmarkEnd w:id="74"/>
    </w:p>
    <w:p>
      <w:pPr>
        <w:spacing w:line="360" w:lineRule="auto"/>
        <w:ind w:firstLine="420" w:firstLineChars="200"/>
        <w:rPr>
          <w:bCs/>
          <w:color w:val="auto"/>
          <w:szCs w:val="21"/>
          <w:highlight w:val="none"/>
        </w:rPr>
      </w:pPr>
      <w:r>
        <w:rPr>
          <w:rFonts w:hint="eastAsia" w:ascii="宋体" w:hAnsi="宋体"/>
          <w:color w:val="auto"/>
          <w:szCs w:val="21"/>
          <w:highlight w:val="none"/>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color w:val="auto"/>
          <w:szCs w:val="21"/>
          <w:highlight w:val="none"/>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ascii="宋体" w:hAnsi="宋体"/>
          <w:color w:val="auto"/>
          <w:szCs w:val="21"/>
          <w:highlight w:val="none"/>
        </w:rPr>
        <w:t>但是发生下列情况，当事人免责：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1、不可抗力；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2、基金管理人和/或基金托管人按照当时有效的法律法规或中国证监会的规定作为或不作为而造成的损失等；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3、基金管理人由于按照基金合同规定的投资原则行使或不行使其投资权而造成的损失等。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4、计算机系统故障、网络故障、通讯故障、电力故障、计算机病毒攻击及其它非基金管理人及基金托管人原因造成的意外事故。</w:t>
      </w:r>
    </w:p>
    <w:p>
      <w:pPr>
        <w:spacing w:line="360" w:lineRule="auto"/>
        <w:ind w:firstLine="420" w:firstLineChars="200"/>
        <w:rPr>
          <w:bCs/>
          <w:color w:val="auto"/>
          <w:szCs w:val="21"/>
          <w:highlight w:val="none"/>
        </w:rPr>
      </w:pPr>
      <w:r>
        <w:rPr>
          <w:rFonts w:hint="eastAsia" w:ascii="宋体" w:hAnsi="宋体"/>
          <w:color w:val="auto"/>
          <w:szCs w:val="21"/>
          <w:highlight w:val="none"/>
        </w:rPr>
        <w:t>（二）</w:t>
      </w:r>
      <w:r>
        <w:rPr>
          <w:rFonts w:hint="eastAsia"/>
          <w:bCs/>
          <w:color w:val="auto"/>
          <w:szCs w:val="21"/>
          <w:highlight w:val="none"/>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三</w:t>
      </w:r>
      <w:r>
        <w:rPr>
          <w:rFonts w:hint="eastAsia" w:ascii="宋体" w:hAnsi="宋体"/>
          <w:color w:val="auto"/>
          <w:szCs w:val="21"/>
          <w:highlight w:val="none"/>
          <w:lang w:val="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由此造成的影响。</w:t>
      </w:r>
    </w:p>
    <w:p>
      <w:pPr>
        <w:spacing w:line="360" w:lineRule="auto"/>
        <w:ind w:firstLine="420" w:firstLineChars="200"/>
        <w:rPr>
          <w:rFonts w:ascii="宋体" w:hAnsi="宋体"/>
          <w:color w:val="auto"/>
          <w:szCs w:val="21"/>
          <w:highlight w:val="none"/>
          <w:lang w:val="zh-CN"/>
        </w:rPr>
      </w:pPr>
    </w:p>
    <w:p>
      <w:pPr>
        <w:jc w:val="left"/>
        <w:rPr>
          <w:rFonts w:ascii="宋体" w:hAnsi="宋体"/>
          <w:b/>
          <w:color w:val="auto"/>
          <w:sz w:val="24"/>
          <w:highlight w:val="none"/>
        </w:rPr>
      </w:pPr>
      <w:bookmarkStart w:id="75" w:name="_Toc382819134"/>
      <w:r>
        <w:rPr>
          <w:rFonts w:hint="eastAsia" w:ascii="宋体" w:hAnsi="宋体"/>
          <w:b/>
          <w:color w:val="auto"/>
          <w:sz w:val="24"/>
          <w:highlight w:val="none"/>
        </w:rPr>
        <w:br w:type="page"/>
      </w:r>
    </w:p>
    <w:p>
      <w:pPr>
        <w:spacing w:before="312" w:beforeLines="100" w:after="312" w:afterLines="100" w:line="500" w:lineRule="atLeast"/>
        <w:jc w:val="center"/>
        <w:outlineLvl w:val="0"/>
        <w:rPr>
          <w:rFonts w:ascii="宋体" w:hAnsi="宋体"/>
          <w:color w:val="auto"/>
          <w:highlight w:val="none"/>
        </w:rPr>
      </w:pPr>
      <w:r>
        <w:rPr>
          <w:rFonts w:hint="eastAsia" w:ascii="宋体" w:hAnsi="宋体"/>
          <w:b/>
          <w:color w:val="auto"/>
          <w:sz w:val="24"/>
          <w:highlight w:val="none"/>
        </w:rPr>
        <w:t>十七、适用法律及争议解决方式</w:t>
      </w:r>
      <w:bookmarkEnd w:id="75"/>
    </w:p>
    <w:p>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（一）</w:t>
      </w:r>
      <w:r>
        <w:rPr>
          <w:rFonts w:hint="eastAsia" w:ascii="宋体" w:hAnsi="宋体"/>
          <w:color w:val="auto"/>
          <w:szCs w:val="21"/>
          <w:highlight w:val="none"/>
        </w:rPr>
        <w:t>本协议适用中华人民共和国法律（为本协议之目的，在此不包括中国香港、澳门特别行政区和台湾地区法律），并从其解释。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双方当事人同意，因本协议而产生的或与本协议有关的一切争议，各方当事人应通过协商解决，协商不能解决的，任何一方均有权将争议提交中国国际经济贸易仲裁委员会，仲裁地点为北京市，按照中国国际经济贸易仲裁委员会届时有效的仲裁规则进行仲裁。仲裁裁决是终局的，对仲裁各方当事人均有约束力。除非仲裁裁决另有裁定，仲裁费用和律师费用由败诉方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争议处理期间，双方当事人应恪守基金管理人和基金托管人职责，各自继续忠实、勤勉、尽责地履行《基金合同》和托管协议约定的义务，维护基金份额持有人的合法权益。</w:t>
      </w:r>
    </w:p>
    <w:p>
      <w:pPr>
        <w:spacing w:line="360" w:lineRule="auto"/>
        <w:ind w:firstLine="420" w:firstLineChars="200"/>
        <w:rPr>
          <w:rFonts w:ascii="宋体" w:hAnsi="宋体"/>
          <w:color w:val="auto"/>
          <w:szCs w:val="21"/>
          <w:highlight w:val="none"/>
        </w:rPr>
      </w:pPr>
    </w:p>
    <w:p>
      <w:pPr>
        <w:jc w:val="left"/>
        <w:rPr>
          <w:rFonts w:ascii="宋体" w:hAnsi="宋体"/>
          <w:b/>
          <w:color w:val="auto"/>
          <w:sz w:val="24"/>
          <w:highlight w:val="none"/>
        </w:rPr>
      </w:pPr>
      <w:bookmarkStart w:id="76" w:name="_Toc382819135"/>
      <w:r>
        <w:rPr>
          <w:rFonts w:hint="eastAsia" w:ascii="宋体" w:hAnsi="宋体"/>
          <w:b/>
          <w:color w:val="auto"/>
          <w:sz w:val="24"/>
          <w:highlight w:val="none"/>
        </w:rPr>
        <w:br w:type="page"/>
      </w:r>
    </w:p>
    <w:p>
      <w:pPr>
        <w:spacing w:before="312" w:beforeLines="100" w:after="312" w:afterLines="100" w:line="500" w:lineRule="atLeast"/>
        <w:jc w:val="center"/>
        <w:outlineLvl w:val="0"/>
        <w:rPr>
          <w:rFonts w:ascii="宋体" w:hAnsi="宋体"/>
          <w:color w:val="auto"/>
          <w:highlight w:val="none"/>
        </w:rPr>
      </w:pPr>
      <w:r>
        <w:rPr>
          <w:rFonts w:hint="eastAsia" w:ascii="宋体" w:hAnsi="宋体"/>
          <w:b/>
          <w:color w:val="auto"/>
          <w:sz w:val="24"/>
          <w:highlight w:val="none"/>
        </w:rPr>
        <w:t>十八、基金托管协议的效力和文本</w:t>
      </w:r>
      <w:bookmarkEnd w:id="76"/>
    </w:p>
    <w:p>
      <w:pPr>
        <w:pStyle w:val="12"/>
        <w:ind w:firstLine="420" w:firstLineChars="200"/>
        <w:rPr>
          <w:rFonts w:ascii="宋体" w:hAnsi="宋体"/>
          <w:color w:val="auto"/>
          <w:szCs w:val="21"/>
          <w:highlight w:val="none"/>
        </w:rPr>
      </w:pPr>
      <w:r>
        <w:rPr>
          <w:rFonts w:hint="eastAsia" w:ascii="宋体" w:hAnsi="宋体"/>
          <w:color w:val="auto"/>
          <w:szCs w:val="21"/>
          <w:highlight w:val="none"/>
        </w:rPr>
        <w:t>（一）</w:t>
      </w:r>
      <w:r>
        <w:rPr>
          <w:rFonts w:hint="eastAsia" w:ascii="宋体" w:hAnsi="宋体" w:cs="Arial"/>
          <w:color w:val="auto"/>
          <w:kern w:val="44"/>
          <w:szCs w:val="21"/>
          <w:highlight w:val="none"/>
        </w:rPr>
        <w:t>本协议经基金管理人、基金托管人双方加盖公章或合同专用章以及双方法定代表人或授权代表签字或盖章后成立</w:t>
      </w:r>
      <w:r>
        <w:rPr>
          <w:rFonts w:hint="eastAsia" w:ascii="宋体" w:hAnsi="宋体"/>
          <w:color w:val="auto"/>
          <w:szCs w:val="21"/>
          <w:highlight w:val="none"/>
        </w:rPr>
        <w:t>。本协议以中国证监会注册的文本为正式文本。基金管理人应确保报送证监会注册/备案的文本与双方签署的文本一致</w:t>
      </w:r>
    </w:p>
    <w:p>
      <w:pPr>
        <w:pStyle w:val="12"/>
        <w:ind w:firstLine="420" w:firstLineChars="200"/>
        <w:rPr>
          <w:rFonts w:ascii="宋体" w:hAnsi="宋体"/>
          <w:color w:val="auto"/>
          <w:szCs w:val="21"/>
          <w:highlight w:val="none"/>
        </w:rPr>
      </w:pPr>
      <w:r>
        <w:rPr>
          <w:rFonts w:hint="eastAsia" w:ascii="宋体" w:hAnsi="宋体"/>
          <w:color w:val="auto"/>
          <w:szCs w:val="21"/>
          <w:highlight w:val="none"/>
        </w:rPr>
        <w:t>（二）本协议自本协议成立且《基金合同》生效之日起生效，有效期自其生效之日起至该基金财产清算结果报中国证监会备案并公告之日止。如发生第十五条约定的其他情形的，则自相应情形发生时终止。本协议约定与《基金合同》不一致的，以本协议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（三）本协议自生效之日起对各当事人具有同等的法律约束力。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（四）本协议正本一式六份，除上报有关监管机构一式二份外，基金管理人、基金托管人各持有二份，每份具有同等的法律效力。</w:t>
      </w:r>
    </w:p>
    <w:p>
      <w:pPr>
        <w:spacing w:line="360" w:lineRule="auto"/>
        <w:ind w:firstLine="420" w:firstLineChars="200"/>
        <w:rPr>
          <w:rFonts w:ascii="宋体" w:hAnsi="宋体"/>
          <w:color w:val="auto"/>
          <w:szCs w:val="21"/>
          <w:highlight w:val="none"/>
        </w:rPr>
      </w:pPr>
    </w:p>
    <w:p>
      <w:pPr>
        <w:jc w:val="left"/>
        <w:rPr>
          <w:rFonts w:ascii="宋体" w:hAnsi="宋体"/>
          <w:b/>
          <w:color w:val="auto"/>
          <w:sz w:val="24"/>
          <w:highlight w:val="none"/>
        </w:rPr>
      </w:pPr>
      <w:r>
        <w:rPr>
          <w:rFonts w:ascii="宋体" w:hAnsi="宋体"/>
          <w:b/>
          <w:color w:val="auto"/>
          <w:sz w:val="24"/>
          <w:highlight w:val="none"/>
        </w:rPr>
        <w:br w:type="page"/>
      </w:r>
    </w:p>
    <w:p>
      <w:pPr>
        <w:spacing w:before="312" w:beforeLines="100" w:after="312" w:afterLines="100" w:line="500" w:lineRule="atLeast"/>
        <w:jc w:val="center"/>
        <w:outlineLvl w:val="0"/>
        <w:rPr>
          <w:rFonts w:ascii="宋体" w:hAnsi="宋体"/>
          <w:color w:val="auto"/>
          <w:highlight w:val="none"/>
        </w:rPr>
      </w:pPr>
      <w:bookmarkStart w:id="77" w:name="_Toc382819136"/>
      <w:r>
        <w:rPr>
          <w:rFonts w:hint="eastAsia" w:ascii="宋体" w:hAnsi="宋体"/>
          <w:b/>
          <w:color w:val="auto"/>
          <w:sz w:val="24"/>
          <w:highlight w:val="none"/>
        </w:rPr>
        <w:t>十九、其他事项</w:t>
      </w:r>
      <w:bookmarkEnd w:id="77"/>
    </w:p>
    <w:p>
      <w:pPr>
        <w:pStyle w:val="12"/>
        <w:ind w:firstLine="420" w:firstLineChars="200"/>
        <w:rPr>
          <w:rFonts w:ascii="宋体" w:hAnsi="宋体"/>
          <w:color w:val="auto"/>
          <w:szCs w:val="21"/>
          <w:highlight w:val="none"/>
        </w:rPr>
      </w:pPr>
      <w:r>
        <w:rPr>
          <w:rFonts w:hint="eastAsia" w:ascii="宋体" w:hAnsi="宋体"/>
          <w:color w:val="auto"/>
          <w:szCs w:val="21"/>
          <w:highlight w:val="none"/>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pPr>
        <w:pStyle w:val="12"/>
        <w:ind w:firstLine="420" w:firstLineChars="200"/>
        <w:rPr>
          <w:rFonts w:ascii="宋体" w:hAnsi="宋体"/>
          <w:color w:val="auto"/>
          <w:szCs w:val="21"/>
          <w:highlight w:val="none"/>
        </w:rPr>
      </w:pPr>
      <w:r>
        <w:rPr>
          <w:rFonts w:hint="eastAsia" w:ascii="宋体" w:hAnsi="宋体"/>
          <w:color w:val="auto"/>
          <w:szCs w:val="21"/>
          <w:highlight w:val="none"/>
        </w:rPr>
        <w:t>（二）反洗钱义务</w:t>
      </w:r>
    </w:p>
    <w:p>
      <w:pPr>
        <w:pStyle w:val="12"/>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本协议项下业务存续期内，本协议双方应依据法律法规履行相应反洗钱义务，并主动配合对方根据监管部门有关反洗钱要求开展客户身份识别工作，提供真实、准确、完整的资料，遵守各方反洗钱与反恐怖融资相关管理规定。基金托管人具备合理理由怀疑基金管理人在本协议项下的业务涉嫌参与联合国安理会、反洗钱金融行动特别工作组、中国、美国、欧盟、英国、新加坡等国际组织或国家认定的洗钱、恐怖融资或（大规模杀伤性武器）融资活动、或逃税等违法违规行为的，基金托管人有权按照中国人民银行反洗钱监管规定等规定及内部管理规定等采取必要的管控措施。同时，基金托管人有权不经通知基金管理人，直接限制、暂停本协议项下全部或部分业务，有权终止本协议，并有权要求基金管理人承担因此给基金托管人造成的全部损失</w:t>
      </w:r>
      <w:r>
        <w:rPr>
          <w:rFonts w:hint="eastAsia" w:ascii="宋体" w:hAnsi="宋体"/>
          <w:color w:val="auto"/>
          <w:szCs w:val="21"/>
          <w:highlight w:val="none"/>
          <w:lang w:eastAsia="zh-CN"/>
        </w:rPr>
        <w:t>。</w:t>
      </w:r>
    </w:p>
    <w:p>
      <w:pPr>
        <w:pStyle w:val="12"/>
        <w:ind w:firstLine="420" w:firstLineChars="200"/>
        <w:rPr>
          <w:rFonts w:ascii="宋体" w:hAnsi="宋体"/>
          <w:color w:val="auto"/>
          <w:szCs w:val="21"/>
          <w:highlight w:val="none"/>
        </w:rPr>
      </w:pPr>
      <w:r>
        <w:rPr>
          <w:rFonts w:hint="eastAsia" w:ascii="宋体" w:hAnsi="宋体"/>
          <w:color w:val="auto"/>
          <w:szCs w:val="21"/>
          <w:highlight w:val="none"/>
        </w:rPr>
        <w:t>（三）通知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除本协议另有约定外，其他与本协议有关的通知应以书面形式作出，并送达至协议约定的地址，如果相关信息发生变动，变动的一方应当在变动发生之日起五（5）日书面通知其他各方。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由本协议一方以专人递送给另一方，或以传真、邮递方式发出。该等通知以专人递送，于递交时视为送达；以传真方式发出，于发件人传真机显示传真业已发出时视为送达；以邮递方式发出，于收件人签收时视为送达；以电子邮件方式发出，收件方服务器接收视为送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任何一方在任何时间改变接收通知所用的地址、邮箱、传真号码或电话号码都应立即将该变更通过本协议约定的邮箱或各方认可的方式通知另一方；如果该变更通知未能送达，递交给上述收件人或地址的通知或联络应视为被正常发送和接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方确认，本协议首页列明的各方地址及联系电话、电子邮箱等送达信息为其有效的邮寄或电子送达地址。对本协议项下所发生的任何诉讼或仲裁（包括一审、二审和再审等任何诉讼程序和执行程序、仲裁程序等）过程中对其发出的函件、传票、通知等法律文书，只要以邮寄或以传真、电子邮件等电子送达方式发送至本协议首页列明的邮寄或电子送达地址即视为送达，具体送达日期适用《民事诉讼法》或《仲裁法》中关于送达日期的规定。上述邮寄或电子送达地址的变更非经提前通知另一方，不发生法律效力，本协议中确认的送达地址仍然视为有效的送达地址。</w:t>
      </w:r>
    </w:p>
    <w:p>
      <w:pPr>
        <w:pStyle w:val="12"/>
        <w:ind w:firstLine="420" w:firstLineChars="200"/>
        <w:rPr>
          <w:rFonts w:ascii="宋体" w:hAnsi="宋体"/>
          <w:color w:val="auto"/>
          <w:szCs w:val="21"/>
          <w:highlight w:val="none"/>
        </w:rPr>
      </w:pPr>
      <w:r>
        <w:rPr>
          <w:rFonts w:hint="eastAsia" w:ascii="宋体" w:hAnsi="宋体"/>
          <w:color w:val="auto"/>
          <w:szCs w:val="21"/>
          <w:highlight w:val="none"/>
        </w:rPr>
        <w:t>（四）本协议未尽事宜，当事人依据《基金合同》以及有关法律、法规和规定协商办理。</w:t>
      </w:r>
    </w:p>
    <w:p>
      <w:pPr>
        <w:rPr>
          <w:color w:val="auto"/>
          <w:highlight w:val="none"/>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jc w:val="both"/>
      <w:rPr>
        <w:rFonts w:hint="eastAsia" w:eastAsia="宋体"/>
        <w:lang w:eastAsia="zh-CN"/>
      </w:rPr>
    </w:pPr>
    <w:r>
      <w:rPr>
        <w:rFonts w:hint="eastAsia" w:ascii="宋体" w:hAnsi="宋体" w:cs="宋体"/>
        <w:color w:val="000000"/>
      </w:rPr>
      <w:t>英大</w:t>
    </w:r>
    <w:r>
      <w:rPr>
        <w:rFonts w:hint="eastAsia" w:ascii="宋体" w:hAnsi="宋体" w:cs="宋体"/>
        <w:color w:val="000000"/>
        <w:lang w:eastAsia="zh-CN"/>
      </w:rPr>
      <w:t>延福</w:t>
    </w:r>
    <w:r>
      <w:rPr>
        <w:rFonts w:hint="eastAsia" w:ascii="宋体" w:hAnsi="宋体" w:cs="宋体"/>
        <w:color w:val="000000"/>
      </w:rPr>
      <w:t>养老目标日期</w:t>
    </w:r>
    <w:r>
      <w:rPr>
        <w:rFonts w:hint="eastAsia" w:ascii="宋体" w:hAnsi="宋体" w:cs="宋体"/>
        <w:color w:val="000000"/>
        <w:lang w:eastAsia="zh-CN"/>
      </w:rPr>
      <w:t>2035</w:t>
    </w:r>
    <w:r>
      <w:rPr>
        <w:rFonts w:hint="eastAsia" w:ascii="宋体" w:hAnsi="宋体" w:cs="宋体"/>
        <w:color w:val="000000"/>
      </w:rPr>
      <w:t>三年持有期混合型发起式基金中基金（FOF）</w:t>
    </w:r>
    <w:r>
      <w:rPr>
        <w:rFonts w:hint="eastAsia" w:ascii="宋体" w:hAnsi="宋体" w:cs="宋体"/>
        <w:lang w:val="en-US" w:eastAsia="zh-CN"/>
      </w:rPr>
      <w:t xml:space="preserve">                     </w:t>
    </w:r>
    <w:r>
      <w:rPr>
        <w:rFonts w:hint="eastAsia" w:ascii="宋体" w:hAnsi="宋体" w:cs="宋体"/>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538E2"/>
    <w:multiLevelType w:val="multilevel"/>
    <w:tmpl w:val="266538E2"/>
    <w:lvl w:ilvl="0" w:tentative="0">
      <w:start w:val="1"/>
      <w:numFmt w:val="chineseCountingThousand"/>
      <w:pStyle w:val="2"/>
      <w:lvlText w:val="第%1章  "/>
      <w:lvlJc w:val="left"/>
      <w:pPr>
        <w:tabs>
          <w:tab w:val="left" w:pos="1922"/>
        </w:tabs>
        <w:ind w:left="0" w:firstLine="482"/>
      </w:pPr>
      <w:rPr>
        <w:rFonts w:hint="eastAsia"/>
      </w:rPr>
    </w:lvl>
    <w:lvl w:ilvl="1" w:tentative="0">
      <w:start w:val="1"/>
      <w:numFmt w:val="chineseCountingThousand"/>
      <w:lvlText w:val="第%2节  "/>
      <w:lvlJc w:val="left"/>
      <w:pPr>
        <w:tabs>
          <w:tab w:val="left" w:pos="1922"/>
        </w:tabs>
        <w:ind w:left="0" w:firstLine="482"/>
      </w:pPr>
      <w:rPr>
        <w:rFonts w:hint="eastAsia"/>
      </w:rPr>
    </w:lvl>
    <w:lvl w:ilvl="2" w:tentative="0">
      <w:start w:val="1"/>
      <w:numFmt w:val="chineseCountingThousand"/>
      <w:pStyle w:val="4"/>
      <w:suff w:val="nothing"/>
      <w:lvlText w:val="%3、"/>
      <w:lvlJc w:val="left"/>
      <w:pPr>
        <w:ind w:left="0" w:firstLine="482"/>
      </w:pPr>
      <w:rPr>
        <w:rFonts w:hint="eastAsia" w:ascii="黑体" w:eastAsia="黑体"/>
        <w:b/>
        <w:i w:val="0"/>
        <w:sz w:val="24"/>
      </w:rPr>
    </w:lvl>
    <w:lvl w:ilvl="3" w:tentative="0">
      <w:start w:val="1"/>
      <w:numFmt w:val="chineseCountingThousand"/>
      <w:pStyle w:val="5"/>
      <w:suff w:val="nothing"/>
      <w:lvlText w:val="(%4)"/>
      <w:lvlJc w:val="left"/>
      <w:pPr>
        <w:ind w:left="0" w:firstLine="482"/>
      </w:pPr>
      <w:rPr>
        <w:rFonts w:hint="eastAsia" w:ascii="仿宋_GB2312" w:eastAsia="仿宋_GB2312"/>
        <w:b w:val="0"/>
        <w:i w:val="0"/>
        <w:sz w:val="24"/>
      </w:rPr>
    </w:lvl>
    <w:lvl w:ilvl="4" w:tentative="0">
      <w:start w:val="1"/>
      <w:numFmt w:val="decimal"/>
      <w:pStyle w:val="6"/>
      <w:suff w:val="nothing"/>
      <w:lvlText w:val="%5."/>
      <w:lvlJc w:val="left"/>
      <w:pPr>
        <w:ind w:left="0" w:firstLine="527"/>
      </w:pPr>
      <w:rPr>
        <w:rFonts w:hint="eastAsia" w:ascii="仿宋_GB2312" w:eastAsia="仿宋_GB2312"/>
        <w:b w:val="0"/>
        <w:i w:val="0"/>
        <w:sz w:val="24"/>
      </w:rPr>
    </w:lvl>
    <w:lvl w:ilvl="5" w:tentative="0">
      <w:start w:val="1"/>
      <w:numFmt w:val="decimal"/>
      <w:pStyle w:val="7"/>
      <w:suff w:val="nothing"/>
      <w:lvlText w:val="(%6)"/>
      <w:lvlJc w:val="left"/>
      <w:pPr>
        <w:ind w:left="0" w:firstLine="482"/>
      </w:pPr>
      <w:rPr>
        <w:rFonts w:hint="eastAsia" w:ascii="仿宋_GB2312" w:eastAsia="仿宋_GB2312"/>
        <w:b w:val="0"/>
        <w:i w:val="0"/>
        <w:sz w:val="24"/>
      </w:rPr>
    </w:lvl>
    <w:lvl w:ilvl="6" w:tentative="0">
      <w:start w:val="1"/>
      <w:numFmt w:val="bullet"/>
      <w:pStyle w:val="8"/>
      <w:lvlText w:val="①"/>
      <w:lvlJc w:val="left"/>
      <w:pPr>
        <w:tabs>
          <w:tab w:val="left" w:pos="2835"/>
        </w:tabs>
        <w:ind w:left="2835" w:hanging="426"/>
      </w:pPr>
      <w:rPr>
        <w:rFonts w:hint="eastAsia" w:ascii="宋体" w:eastAsia="宋体"/>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5ZDQ1MzJiMDJiZTExYzcxZDNhZjZiNzI3M2E2NDUifQ=="/>
  </w:docVars>
  <w:rsids>
    <w:rsidRoot w:val="003A2B06"/>
    <w:rsid w:val="00014998"/>
    <w:rsid w:val="000246AC"/>
    <w:rsid w:val="00024DDA"/>
    <w:rsid w:val="00050C79"/>
    <w:rsid w:val="00053197"/>
    <w:rsid w:val="0006509E"/>
    <w:rsid w:val="00070C46"/>
    <w:rsid w:val="00080622"/>
    <w:rsid w:val="0008166B"/>
    <w:rsid w:val="00090B2E"/>
    <w:rsid w:val="00093F00"/>
    <w:rsid w:val="0009788B"/>
    <w:rsid w:val="000A061E"/>
    <w:rsid w:val="000E7AE1"/>
    <w:rsid w:val="000F1EB1"/>
    <w:rsid w:val="000F581B"/>
    <w:rsid w:val="00106548"/>
    <w:rsid w:val="001142CF"/>
    <w:rsid w:val="00126AE4"/>
    <w:rsid w:val="00135B9F"/>
    <w:rsid w:val="0014246D"/>
    <w:rsid w:val="00162C4A"/>
    <w:rsid w:val="0016302A"/>
    <w:rsid w:val="00170D13"/>
    <w:rsid w:val="00177C69"/>
    <w:rsid w:val="00190962"/>
    <w:rsid w:val="001A1969"/>
    <w:rsid w:val="001B5B01"/>
    <w:rsid w:val="001C483E"/>
    <w:rsid w:val="001C5433"/>
    <w:rsid w:val="001E0A82"/>
    <w:rsid w:val="001F013E"/>
    <w:rsid w:val="001F5830"/>
    <w:rsid w:val="001F7684"/>
    <w:rsid w:val="00203F42"/>
    <w:rsid w:val="00221B2B"/>
    <w:rsid w:val="00230CA9"/>
    <w:rsid w:val="002571C9"/>
    <w:rsid w:val="002618B2"/>
    <w:rsid w:val="002755B8"/>
    <w:rsid w:val="00276C95"/>
    <w:rsid w:val="002947E2"/>
    <w:rsid w:val="00296AF1"/>
    <w:rsid w:val="00296F60"/>
    <w:rsid w:val="002C1EAB"/>
    <w:rsid w:val="002C7C71"/>
    <w:rsid w:val="002D269B"/>
    <w:rsid w:val="002F42EB"/>
    <w:rsid w:val="003033B4"/>
    <w:rsid w:val="00325B47"/>
    <w:rsid w:val="00327DA9"/>
    <w:rsid w:val="0036635C"/>
    <w:rsid w:val="00370195"/>
    <w:rsid w:val="00382975"/>
    <w:rsid w:val="00396181"/>
    <w:rsid w:val="003A2B06"/>
    <w:rsid w:val="003B7EFD"/>
    <w:rsid w:val="003C0C16"/>
    <w:rsid w:val="003C3043"/>
    <w:rsid w:val="003C79A0"/>
    <w:rsid w:val="003E1C92"/>
    <w:rsid w:val="00411554"/>
    <w:rsid w:val="00420F01"/>
    <w:rsid w:val="004315E0"/>
    <w:rsid w:val="00472874"/>
    <w:rsid w:val="00485F0F"/>
    <w:rsid w:val="004863D2"/>
    <w:rsid w:val="004B443C"/>
    <w:rsid w:val="004C3AF6"/>
    <w:rsid w:val="004C5AC8"/>
    <w:rsid w:val="004E4CB4"/>
    <w:rsid w:val="004E6AE3"/>
    <w:rsid w:val="004F1E31"/>
    <w:rsid w:val="004F25BD"/>
    <w:rsid w:val="004F5CDF"/>
    <w:rsid w:val="00505A18"/>
    <w:rsid w:val="00512CAB"/>
    <w:rsid w:val="005134AB"/>
    <w:rsid w:val="00525E69"/>
    <w:rsid w:val="00526218"/>
    <w:rsid w:val="00542EBE"/>
    <w:rsid w:val="00546A35"/>
    <w:rsid w:val="0056355B"/>
    <w:rsid w:val="00567448"/>
    <w:rsid w:val="005771A4"/>
    <w:rsid w:val="00587F80"/>
    <w:rsid w:val="005A24B0"/>
    <w:rsid w:val="005A4382"/>
    <w:rsid w:val="005B5D51"/>
    <w:rsid w:val="005D72AE"/>
    <w:rsid w:val="005E0FA7"/>
    <w:rsid w:val="005F229E"/>
    <w:rsid w:val="005F314E"/>
    <w:rsid w:val="00606F78"/>
    <w:rsid w:val="00611313"/>
    <w:rsid w:val="00616AE9"/>
    <w:rsid w:val="006208B9"/>
    <w:rsid w:val="0062565D"/>
    <w:rsid w:val="00641021"/>
    <w:rsid w:val="006442DD"/>
    <w:rsid w:val="00651247"/>
    <w:rsid w:val="00656926"/>
    <w:rsid w:val="00674801"/>
    <w:rsid w:val="00674863"/>
    <w:rsid w:val="006835B2"/>
    <w:rsid w:val="0069592C"/>
    <w:rsid w:val="006B1820"/>
    <w:rsid w:val="006D1965"/>
    <w:rsid w:val="006E5EB7"/>
    <w:rsid w:val="006F70AF"/>
    <w:rsid w:val="007005FB"/>
    <w:rsid w:val="007034DC"/>
    <w:rsid w:val="0070524E"/>
    <w:rsid w:val="00755FC5"/>
    <w:rsid w:val="00775D65"/>
    <w:rsid w:val="007903A2"/>
    <w:rsid w:val="007926B2"/>
    <w:rsid w:val="00796B7F"/>
    <w:rsid w:val="007A2B83"/>
    <w:rsid w:val="007A362D"/>
    <w:rsid w:val="007B0332"/>
    <w:rsid w:val="007D5F9E"/>
    <w:rsid w:val="007E28AE"/>
    <w:rsid w:val="008050F2"/>
    <w:rsid w:val="00826455"/>
    <w:rsid w:val="0082736C"/>
    <w:rsid w:val="00831362"/>
    <w:rsid w:val="00836247"/>
    <w:rsid w:val="008434C1"/>
    <w:rsid w:val="008450D5"/>
    <w:rsid w:val="0087186C"/>
    <w:rsid w:val="008923C7"/>
    <w:rsid w:val="008928A1"/>
    <w:rsid w:val="00894054"/>
    <w:rsid w:val="008C1C0E"/>
    <w:rsid w:val="008D4C0E"/>
    <w:rsid w:val="008D5899"/>
    <w:rsid w:val="008E5DC6"/>
    <w:rsid w:val="008F0CBE"/>
    <w:rsid w:val="008F1D70"/>
    <w:rsid w:val="008F6BF4"/>
    <w:rsid w:val="00900C4A"/>
    <w:rsid w:val="009342DB"/>
    <w:rsid w:val="009656CC"/>
    <w:rsid w:val="0097139B"/>
    <w:rsid w:val="00972139"/>
    <w:rsid w:val="00977A77"/>
    <w:rsid w:val="00980631"/>
    <w:rsid w:val="0098487C"/>
    <w:rsid w:val="00990CB5"/>
    <w:rsid w:val="0099659A"/>
    <w:rsid w:val="009A402C"/>
    <w:rsid w:val="009C08CC"/>
    <w:rsid w:val="009D2D46"/>
    <w:rsid w:val="00A01962"/>
    <w:rsid w:val="00A040BD"/>
    <w:rsid w:val="00A04D17"/>
    <w:rsid w:val="00A131DE"/>
    <w:rsid w:val="00A16100"/>
    <w:rsid w:val="00A16F02"/>
    <w:rsid w:val="00A265EC"/>
    <w:rsid w:val="00A42ED5"/>
    <w:rsid w:val="00A436B5"/>
    <w:rsid w:val="00A44596"/>
    <w:rsid w:val="00A45E01"/>
    <w:rsid w:val="00A53663"/>
    <w:rsid w:val="00A64890"/>
    <w:rsid w:val="00A72A03"/>
    <w:rsid w:val="00A84C96"/>
    <w:rsid w:val="00A85CB5"/>
    <w:rsid w:val="00A90925"/>
    <w:rsid w:val="00A916A3"/>
    <w:rsid w:val="00A96512"/>
    <w:rsid w:val="00AA13D2"/>
    <w:rsid w:val="00AB0AD2"/>
    <w:rsid w:val="00AB6852"/>
    <w:rsid w:val="00AD6C2F"/>
    <w:rsid w:val="00AE6166"/>
    <w:rsid w:val="00AF5BE0"/>
    <w:rsid w:val="00AF7082"/>
    <w:rsid w:val="00B03E07"/>
    <w:rsid w:val="00B05A74"/>
    <w:rsid w:val="00B16C4A"/>
    <w:rsid w:val="00B44094"/>
    <w:rsid w:val="00B513AA"/>
    <w:rsid w:val="00B82081"/>
    <w:rsid w:val="00B91981"/>
    <w:rsid w:val="00B935B0"/>
    <w:rsid w:val="00B972AD"/>
    <w:rsid w:val="00BA076E"/>
    <w:rsid w:val="00BB171D"/>
    <w:rsid w:val="00BC37EA"/>
    <w:rsid w:val="00BD0108"/>
    <w:rsid w:val="00BD1528"/>
    <w:rsid w:val="00BD2902"/>
    <w:rsid w:val="00C36C35"/>
    <w:rsid w:val="00C41C25"/>
    <w:rsid w:val="00C543EC"/>
    <w:rsid w:val="00C5461D"/>
    <w:rsid w:val="00C61BA6"/>
    <w:rsid w:val="00C62ACD"/>
    <w:rsid w:val="00C66FF3"/>
    <w:rsid w:val="00C70DAB"/>
    <w:rsid w:val="00C7684F"/>
    <w:rsid w:val="00C820A3"/>
    <w:rsid w:val="00C8335D"/>
    <w:rsid w:val="00C838D1"/>
    <w:rsid w:val="00CA1B32"/>
    <w:rsid w:val="00CA22EF"/>
    <w:rsid w:val="00CA613C"/>
    <w:rsid w:val="00CB50D4"/>
    <w:rsid w:val="00CB77FA"/>
    <w:rsid w:val="00CC1BDA"/>
    <w:rsid w:val="00CE27A6"/>
    <w:rsid w:val="00CE6F27"/>
    <w:rsid w:val="00CF371D"/>
    <w:rsid w:val="00CF6712"/>
    <w:rsid w:val="00D14F24"/>
    <w:rsid w:val="00D2332F"/>
    <w:rsid w:val="00D30E3A"/>
    <w:rsid w:val="00D32C3A"/>
    <w:rsid w:val="00D3667B"/>
    <w:rsid w:val="00D47104"/>
    <w:rsid w:val="00D50B05"/>
    <w:rsid w:val="00D57194"/>
    <w:rsid w:val="00D606A2"/>
    <w:rsid w:val="00D83120"/>
    <w:rsid w:val="00D85EAE"/>
    <w:rsid w:val="00D8649A"/>
    <w:rsid w:val="00DB17EC"/>
    <w:rsid w:val="00DD330D"/>
    <w:rsid w:val="00DD4D55"/>
    <w:rsid w:val="00E13468"/>
    <w:rsid w:val="00E13A3C"/>
    <w:rsid w:val="00E3001C"/>
    <w:rsid w:val="00E44CB0"/>
    <w:rsid w:val="00E47959"/>
    <w:rsid w:val="00E64669"/>
    <w:rsid w:val="00E65EC9"/>
    <w:rsid w:val="00E710CD"/>
    <w:rsid w:val="00E72BEB"/>
    <w:rsid w:val="00E851A7"/>
    <w:rsid w:val="00E86DC0"/>
    <w:rsid w:val="00EA2610"/>
    <w:rsid w:val="00ED47D6"/>
    <w:rsid w:val="00EE757F"/>
    <w:rsid w:val="00EF244B"/>
    <w:rsid w:val="00F12D7B"/>
    <w:rsid w:val="00F17853"/>
    <w:rsid w:val="00F17C77"/>
    <w:rsid w:val="00F20269"/>
    <w:rsid w:val="00F2548E"/>
    <w:rsid w:val="00F27F0F"/>
    <w:rsid w:val="00F53039"/>
    <w:rsid w:val="00F557EF"/>
    <w:rsid w:val="00F66F31"/>
    <w:rsid w:val="00F67EC7"/>
    <w:rsid w:val="00F97575"/>
    <w:rsid w:val="00FA55E5"/>
    <w:rsid w:val="00FA77A2"/>
    <w:rsid w:val="00FC0797"/>
    <w:rsid w:val="00FC708A"/>
    <w:rsid w:val="00FD3C76"/>
    <w:rsid w:val="00FE3FE0"/>
    <w:rsid w:val="00FF4C78"/>
    <w:rsid w:val="01153CF0"/>
    <w:rsid w:val="02631864"/>
    <w:rsid w:val="03A94469"/>
    <w:rsid w:val="04AD6A40"/>
    <w:rsid w:val="04C258E0"/>
    <w:rsid w:val="05EC3F11"/>
    <w:rsid w:val="06166914"/>
    <w:rsid w:val="066D4395"/>
    <w:rsid w:val="06AF1462"/>
    <w:rsid w:val="07252E41"/>
    <w:rsid w:val="07703B00"/>
    <w:rsid w:val="0779338D"/>
    <w:rsid w:val="081D1247"/>
    <w:rsid w:val="0929547A"/>
    <w:rsid w:val="096864F2"/>
    <w:rsid w:val="09746A3D"/>
    <w:rsid w:val="0AF838A6"/>
    <w:rsid w:val="0B5A7120"/>
    <w:rsid w:val="0B5E5CA2"/>
    <w:rsid w:val="0B6030E1"/>
    <w:rsid w:val="0B626F71"/>
    <w:rsid w:val="0B6B051B"/>
    <w:rsid w:val="0BCC7BED"/>
    <w:rsid w:val="0C180D2C"/>
    <w:rsid w:val="0C455E6C"/>
    <w:rsid w:val="0ED358D2"/>
    <w:rsid w:val="0F366CB4"/>
    <w:rsid w:val="103A226A"/>
    <w:rsid w:val="11067684"/>
    <w:rsid w:val="111E6E6E"/>
    <w:rsid w:val="12033110"/>
    <w:rsid w:val="129364DF"/>
    <w:rsid w:val="12B24C82"/>
    <w:rsid w:val="12B644FB"/>
    <w:rsid w:val="12C80001"/>
    <w:rsid w:val="12E564CD"/>
    <w:rsid w:val="138026F1"/>
    <w:rsid w:val="13991D52"/>
    <w:rsid w:val="145773D0"/>
    <w:rsid w:val="14AF714D"/>
    <w:rsid w:val="153C25E9"/>
    <w:rsid w:val="157D50D3"/>
    <w:rsid w:val="159C229A"/>
    <w:rsid w:val="170C0F26"/>
    <w:rsid w:val="1716261E"/>
    <w:rsid w:val="174F484D"/>
    <w:rsid w:val="177E094E"/>
    <w:rsid w:val="178E6316"/>
    <w:rsid w:val="17C00A52"/>
    <w:rsid w:val="17DD454F"/>
    <w:rsid w:val="189F06E5"/>
    <w:rsid w:val="190B0240"/>
    <w:rsid w:val="190E54B3"/>
    <w:rsid w:val="19787521"/>
    <w:rsid w:val="1A0A7151"/>
    <w:rsid w:val="1A3178CD"/>
    <w:rsid w:val="1AC0038D"/>
    <w:rsid w:val="1C6F253E"/>
    <w:rsid w:val="1CB110F6"/>
    <w:rsid w:val="1CB66ECD"/>
    <w:rsid w:val="1CD65DD8"/>
    <w:rsid w:val="1D060AE2"/>
    <w:rsid w:val="1D2F75FB"/>
    <w:rsid w:val="1DD57E54"/>
    <w:rsid w:val="1E6B3906"/>
    <w:rsid w:val="1EF25D23"/>
    <w:rsid w:val="1F642E60"/>
    <w:rsid w:val="1F8E7D0E"/>
    <w:rsid w:val="2063661A"/>
    <w:rsid w:val="20A5587E"/>
    <w:rsid w:val="20AF4960"/>
    <w:rsid w:val="20F43E87"/>
    <w:rsid w:val="20FC5B16"/>
    <w:rsid w:val="212C4897"/>
    <w:rsid w:val="21C95BDD"/>
    <w:rsid w:val="21CB41AD"/>
    <w:rsid w:val="22225EA8"/>
    <w:rsid w:val="22405E06"/>
    <w:rsid w:val="2282417B"/>
    <w:rsid w:val="23035E3A"/>
    <w:rsid w:val="23646460"/>
    <w:rsid w:val="236E679B"/>
    <w:rsid w:val="24116026"/>
    <w:rsid w:val="25366217"/>
    <w:rsid w:val="258C6559"/>
    <w:rsid w:val="261C6242"/>
    <w:rsid w:val="26AE05B8"/>
    <w:rsid w:val="276551ED"/>
    <w:rsid w:val="276B53BC"/>
    <w:rsid w:val="27A72418"/>
    <w:rsid w:val="280D60C4"/>
    <w:rsid w:val="28103E0F"/>
    <w:rsid w:val="28241950"/>
    <w:rsid w:val="286A6E79"/>
    <w:rsid w:val="286E3A31"/>
    <w:rsid w:val="28852F84"/>
    <w:rsid w:val="28D27D14"/>
    <w:rsid w:val="29600B3C"/>
    <w:rsid w:val="2A3049B2"/>
    <w:rsid w:val="2A5E30A4"/>
    <w:rsid w:val="2A6E24E9"/>
    <w:rsid w:val="2A7F35E0"/>
    <w:rsid w:val="2AAD494A"/>
    <w:rsid w:val="2AC37B47"/>
    <w:rsid w:val="2B857BE3"/>
    <w:rsid w:val="2BF11F1F"/>
    <w:rsid w:val="2C3C6F7C"/>
    <w:rsid w:val="2CD44B67"/>
    <w:rsid w:val="2DA62265"/>
    <w:rsid w:val="2DC34C59"/>
    <w:rsid w:val="2DE872AA"/>
    <w:rsid w:val="2E357012"/>
    <w:rsid w:val="2EAB2859"/>
    <w:rsid w:val="2EB73C0F"/>
    <w:rsid w:val="2EB844F3"/>
    <w:rsid w:val="2F215380"/>
    <w:rsid w:val="2F263BB2"/>
    <w:rsid w:val="2F672169"/>
    <w:rsid w:val="2F74551C"/>
    <w:rsid w:val="2FD8767E"/>
    <w:rsid w:val="312B5ED3"/>
    <w:rsid w:val="316246EF"/>
    <w:rsid w:val="31643191"/>
    <w:rsid w:val="318D67B9"/>
    <w:rsid w:val="319C66A9"/>
    <w:rsid w:val="31AD68E8"/>
    <w:rsid w:val="321A30CA"/>
    <w:rsid w:val="3263768E"/>
    <w:rsid w:val="328C02BB"/>
    <w:rsid w:val="32C161D0"/>
    <w:rsid w:val="32D700C1"/>
    <w:rsid w:val="32F609E3"/>
    <w:rsid w:val="32FF1FD1"/>
    <w:rsid w:val="33044F78"/>
    <w:rsid w:val="335D62A4"/>
    <w:rsid w:val="33705E1F"/>
    <w:rsid w:val="33CB7111"/>
    <w:rsid w:val="34190265"/>
    <w:rsid w:val="343D45CB"/>
    <w:rsid w:val="34400DA6"/>
    <w:rsid w:val="347D6549"/>
    <w:rsid w:val="352E2873"/>
    <w:rsid w:val="358557DC"/>
    <w:rsid w:val="366D4898"/>
    <w:rsid w:val="369B23F5"/>
    <w:rsid w:val="38313843"/>
    <w:rsid w:val="38947980"/>
    <w:rsid w:val="38AA04EE"/>
    <w:rsid w:val="39095A48"/>
    <w:rsid w:val="39203BCE"/>
    <w:rsid w:val="395042C2"/>
    <w:rsid w:val="39641F82"/>
    <w:rsid w:val="397E15BD"/>
    <w:rsid w:val="3A6215C5"/>
    <w:rsid w:val="3B5D7F75"/>
    <w:rsid w:val="3B7556B6"/>
    <w:rsid w:val="3C4433F8"/>
    <w:rsid w:val="3C4A4CF3"/>
    <w:rsid w:val="3C596D5B"/>
    <w:rsid w:val="3C993E47"/>
    <w:rsid w:val="3D8F1B9A"/>
    <w:rsid w:val="3EC07597"/>
    <w:rsid w:val="3ED356FF"/>
    <w:rsid w:val="3ED94E3F"/>
    <w:rsid w:val="3F304919"/>
    <w:rsid w:val="3F45735D"/>
    <w:rsid w:val="3F531F38"/>
    <w:rsid w:val="3F77287E"/>
    <w:rsid w:val="4021297B"/>
    <w:rsid w:val="40AB320C"/>
    <w:rsid w:val="41A312DC"/>
    <w:rsid w:val="428D6E25"/>
    <w:rsid w:val="42DA32B5"/>
    <w:rsid w:val="436C6603"/>
    <w:rsid w:val="44223166"/>
    <w:rsid w:val="4423305E"/>
    <w:rsid w:val="449A0E35"/>
    <w:rsid w:val="44AD42A6"/>
    <w:rsid w:val="452D7E40"/>
    <w:rsid w:val="458504BA"/>
    <w:rsid w:val="459531CF"/>
    <w:rsid w:val="46A92C30"/>
    <w:rsid w:val="476846C2"/>
    <w:rsid w:val="48780A99"/>
    <w:rsid w:val="48A73C3A"/>
    <w:rsid w:val="493442A3"/>
    <w:rsid w:val="493C7E91"/>
    <w:rsid w:val="49682B3C"/>
    <w:rsid w:val="49C3581F"/>
    <w:rsid w:val="4A0F7D32"/>
    <w:rsid w:val="4A6A47BC"/>
    <w:rsid w:val="4A835FE1"/>
    <w:rsid w:val="4BFA4A45"/>
    <w:rsid w:val="4C8C5797"/>
    <w:rsid w:val="4C952DB1"/>
    <w:rsid w:val="4CBD528E"/>
    <w:rsid w:val="4CE52F83"/>
    <w:rsid w:val="4CFE65E4"/>
    <w:rsid w:val="4D16442E"/>
    <w:rsid w:val="4D2D2AF2"/>
    <w:rsid w:val="4D6C1DE9"/>
    <w:rsid w:val="4D8B1D7C"/>
    <w:rsid w:val="4D8C28C1"/>
    <w:rsid w:val="4E09495E"/>
    <w:rsid w:val="4E612F90"/>
    <w:rsid w:val="4EA07161"/>
    <w:rsid w:val="4FB82BD0"/>
    <w:rsid w:val="50037165"/>
    <w:rsid w:val="50296FA2"/>
    <w:rsid w:val="50354221"/>
    <w:rsid w:val="505D4BA6"/>
    <w:rsid w:val="51384096"/>
    <w:rsid w:val="51673215"/>
    <w:rsid w:val="517F3F32"/>
    <w:rsid w:val="521050EF"/>
    <w:rsid w:val="52137726"/>
    <w:rsid w:val="527C6137"/>
    <w:rsid w:val="53084DF4"/>
    <w:rsid w:val="536661C9"/>
    <w:rsid w:val="53A97292"/>
    <w:rsid w:val="542165D5"/>
    <w:rsid w:val="547133A2"/>
    <w:rsid w:val="54A35451"/>
    <w:rsid w:val="54ED6E78"/>
    <w:rsid w:val="552B78EE"/>
    <w:rsid w:val="55335EDF"/>
    <w:rsid w:val="55F946C4"/>
    <w:rsid w:val="56E52EDC"/>
    <w:rsid w:val="56FE55EA"/>
    <w:rsid w:val="58025823"/>
    <w:rsid w:val="587C29ED"/>
    <w:rsid w:val="58A27F7A"/>
    <w:rsid w:val="58B724F9"/>
    <w:rsid w:val="58C26C87"/>
    <w:rsid w:val="58D718AD"/>
    <w:rsid w:val="59595C0E"/>
    <w:rsid w:val="5A3660C5"/>
    <w:rsid w:val="5A4E61DD"/>
    <w:rsid w:val="5B5A0AB8"/>
    <w:rsid w:val="5B710C5E"/>
    <w:rsid w:val="5BC319FB"/>
    <w:rsid w:val="5BF115E2"/>
    <w:rsid w:val="5C110BD5"/>
    <w:rsid w:val="5C157256"/>
    <w:rsid w:val="5C6347C7"/>
    <w:rsid w:val="5C806E93"/>
    <w:rsid w:val="5CFC2360"/>
    <w:rsid w:val="5D546DFE"/>
    <w:rsid w:val="5D99194B"/>
    <w:rsid w:val="5DB53C62"/>
    <w:rsid w:val="5E43128A"/>
    <w:rsid w:val="5E7829F7"/>
    <w:rsid w:val="5E9A5477"/>
    <w:rsid w:val="5EF658DB"/>
    <w:rsid w:val="5EFD0600"/>
    <w:rsid w:val="5F057738"/>
    <w:rsid w:val="5F061262"/>
    <w:rsid w:val="5F942D12"/>
    <w:rsid w:val="5FAD4091"/>
    <w:rsid w:val="5FB179AF"/>
    <w:rsid w:val="60211C29"/>
    <w:rsid w:val="604D1427"/>
    <w:rsid w:val="604F6E0D"/>
    <w:rsid w:val="60BA222E"/>
    <w:rsid w:val="60FE35FD"/>
    <w:rsid w:val="613073CC"/>
    <w:rsid w:val="627424D2"/>
    <w:rsid w:val="635C58C0"/>
    <w:rsid w:val="63915F2D"/>
    <w:rsid w:val="63BF0EA6"/>
    <w:rsid w:val="63E87474"/>
    <w:rsid w:val="649368E5"/>
    <w:rsid w:val="64CE07DE"/>
    <w:rsid w:val="65064C74"/>
    <w:rsid w:val="650C02F9"/>
    <w:rsid w:val="653E6768"/>
    <w:rsid w:val="658002CD"/>
    <w:rsid w:val="65B846E6"/>
    <w:rsid w:val="65E248BB"/>
    <w:rsid w:val="65F57301"/>
    <w:rsid w:val="66E7095A"/>
    <w:rsid w:val="66FC0535"/>
    <w:rsid w:val="67BF0756"/>
    <w:rsid w:val="67D4141B"/>
    <w:rsid w:val="67D967F5"/>
    <w:rsid w:val="68264628"/>
    <w:rsid w:val="68354966"/>
    <w:rsid w:val="684B5D08"/>
    <w:rsid w:val="68745312"/>
    <w:rsid w:val="68997A14"/>
    <w:rsid w:val="68CE500B"/>
    <w:rsid w:val="6A1A15AA"/>
    <w:rsid w:val="6AF33365"/>
    <w:rsid w:val="6B0327C6"/>
    <w:rsid w:val="6B2D56C7"/>
    <w:rsid w:val="6CC03E08"/>
    <w:rsid w:val="6CC87DD4"/>
    <w:rsid w:val="6D577344"/>
    <w:rsid w:val="6D5E495F"/>
    <w:rsid w:val="6D9408B1"/>
    <w:rsid w:val="6D9632D6"/>
    <w:rsid w:val="6D985CB7"/>
    <w:rsid w:val="6DBA0945"/>
    <w:rsid w:val="6DC93312"/>
    <w:rsid w:val="6DD7406A"/>
    <w:rsid w:val="6DF21AF5"/>
    <w:rsid w:val="6E0406E9"/>
    <w:rsid w:val="6E2434B3"/>
    <w:rsid w:val="6E2D4647"/>
    <w:rsid w:val="6E634567"/>
    <w:rsid w:val="6EC17438"/>
    <w:rsid w:val="6FF270D2"/>
    <w:rsid w:val="704C098C"/>
    <w:rsid w:val="71786337"/>
    <w:rsid w:val="718C649A"/>
    <w:rsid w:val="71FC163D"/>
    <w:rsid w:val="7216699D"/>
    <w:rsid w:val="723724B1"/>
    <w:rsid w:val="72F00BD2"/>
    <w:rsid w:val="730A2D42"/>
    <w:rsid w:val="73B554EE"/>
    <w:rsid w:val="74327748"/>
    <w:rsid w:val="74FD56F8"/>
    <w:rsid w:val="751B1D25"/>
    <w:rsid w:val="751C1E61"/>
    <w:rsid w:val="752D31DE"/>
    <w:rsid w:val="754B1049"/>
    <w:rsid w:val="76D349E0"/>
    <w:rsid w:val="76DF05A3"/>
    <w:rsid w:val="775F524F"/>
    <w:rsid w:val="79B707E7"/>
    <w:rsid w:val="7A351D7A"/>
    <w:rsid w:val="7AEA338E"/>
    <w:rsid w:val="7B135971"/>
    <w:rsid w:val="7B7B3048"/>
    <w:rsid w:val="7C0F109F"/>
    <w:rsid w:val="7CA839BE"/>
    <w:rsid w:val="7CC876FF"/>
    <w:rsid w:val="7CD82038"/>
    <w:rsid w:val="7D494CE4"/>
    <w:rsid w:val="7D600F5E"/>
    <w:rsid w:val="7DA235FF"/>
    <w:rsid w:val="7E2923C9"/>
    <w:rsid w:val="7E4F35E7"/>
    <w:rsid w:val="7F211A02"/>
    <w:rsid w:val="7F77031B"/>
    <w:rsid w:val="7F875650"/>
    <w:rsid w:val="7FF7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numPr>
        <w:ilvl w:val="0"/>
        <w:numId w:val="1"/>
      </w:numPr>
      <w:spacing w:before="120" w:after="120" w:line="360" w:lineRule="auto"/>
      <w:jc w:val="center"/>
      <w:outlineLvl w:val="0"/>
    </w:pPr>
    <w:rPr>
      <w:rFonts w:ascii="黑体" w:eastAsia="黑体"/>
      <w:b/>
      <w:kern w:val="44"/>
      <w:sz w:val="32"/>
      <w:szCs w:val="20"/>
      <w:lang w:val="zh-CN"/>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qFormat/>
    <w:uiPriority w:val="0"/>
    <w:pPr>
      <w:numPr>
        <w:ilvl w:val="2"/>
        <w:numId w:val="1"/>
      </w:numPr>
      <w:spacing w:before="240" w:after="240" w:line="360" w:lineRule="auto"/>
      <w:jc w:val="center"/>
      <w:outlineLvl w:val="2"/>
    </w:pPr>
    <w:rPr>
      <w:rFonts w:ascii="Arial" w:hAnsi="Arial" w:eastAsia="仿宋_GB2312"/>
      <w:b/>
      <w:sz w:val="24"/>
      <w:szCs w:val="20"/>
      <w:lang w:val="zh-CN"/>
    </w:rPr>
  </w:style>
  <w:style w:type="paragraph" w:styleId="5">
    <w:name w:val="heading 4"/>
    <w:basedOn w:val="1"/>
    <w:next w:val="1"/>
    <w:link w:val="30"/>
    <w:qFormat/>
    <w:uiPriority w:val="0"/>
    <w:pPr>
      <w:keepNext/>
      <w:keepLines/>
      <w:numPr>
        <w:ilvl w:val="3"/>
        <w:numId w:val="1"/>
      </w:numPr>
      <w:spacing w:line="360" w:lineRule="auto"/>
      <w:outlineLvl w:val="3"/>
    </w:pPr>
    <w:rPr>
      <w:rFonts w:ascii="Arial" w:hAnsi="Arial" w:eastAsia="仿宋_GB2312"/>
      <w:sz w:val="24"/>
      <w:szCs w:val="20"/>
      <w:lang w:val="zh-CN"/>
    </w:rPr>
  </w:style>
  <w:style w:type="paragraph" w:styleId="6">
    <w:name w:val="heading 5"/>
    <w:basedOn w:val="1"/>
    <w:next w:val="1"/>
    <w:link w:val="31"/>
    <w:qFormat/>
    <w:uiPriority w:val="0"/>
    <w:pPr>
      <w:numPr>
        <w:ilvl w:val="4"/>
        <w:numId w:val="1"/>
      </w:numPr>
      <w:spacing w:line="360" w:lineRule="auto"/>
      <w:outlineLvl w:val="4"/>
    </w:pPr>
    <w:rPr>
      <w:rFonts w:ascii="Arial" w:hAnsi="Arial" w:eastAsia="仿宋_GB2312"/>
      <w:sz w:val="24"/>
      <w:szCs w:val="20"/>
      <w:lang w:val="zh-CN"/>
    </w:rPr>
  </w:style>
  <w:style w:type="paragraph" w:styleId="7">
    <w:name w:val="heading 6"/>
    <w:basedOn w:val="1"/>
    <w:next w:val="1"/>
    <w:link w:val="32"/>
    <w:qFormat/>
    <w:uiPriority w:val="0"/>
    <w:pPr>
      <w:numPr>
        <w:ilvl w:val="5"/>
        <w:numId w:val="1"/>
      </w:numPr>
      <w:spacing w:line="300" w:lineRule="auto"/>
      <w:outlineLvl w:val="5"/>
    </w:pPr>
    <w:rPr>
      <w:rFonts w:ascii="Arial" w:hAnsi="Arial" w:eastAsia="仿宋_GB2312"/>
      <w:sz w:val="24"/>
      <w:szCs w:val="20"/>
      <w:lang w:val="zh-CN"/>
    </w:rPr>
  </w:style>
  <w:style w:type="paragraph" w:styleId="8">
    <w:name w:val="heading 7"/>
    <w:basedOn w:val="1"/>
    <w:next w:val="9"/>
    <w:link w:val="33"/>
    <w:qFormat/>
    <w:uiPriority w:val="0"/>
    <w:pPr>
      <w:keepNext/>
      <w:keepLines/>
      <w:numPr>
        <w:ilvl w:val="6"/>
        <w:numId w:val="1"/>
      </w:numPr>
      <w:spacing w:line="360" w:lineRule="auto"/>
      <w:outlineLvl w:val="6"/>
    </w:pPr>
    <w:rPr>
      <w:rFonts w:ascii="仿宋_GB2312" w:eastAsia="仿宋_GB2312"/>
      <w:sz w:val="24"/>
      <w:szCs w:val="20"/>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36"/>
    <w:qFormat/>
    <w:uiPriority w:val="99"/>
    <w:pPr>
      <w:ind w:firstLine="420" w:firstLineChars="200"/>
    </w:pPr>
    <w:rPr>
      <w:rFonts w:ascii="Calibri" w:hAnsi="Calibri"/>
    </w:rPr>
  </w:style>
  <w:style w:type="paragraph" w:styleId="10">
    <w:name w:val="Document Map"/>
    <w:basedOn w:val="1"/>
    <w:link w:val="43"/>
    <w:qFormat/>
    <w:uiPriority w:val="0"/>
    <w:pPr>
      <w:shd w:val="clear" w:color="auto" w:fill="000080"/>
    </w:pPr>
    <w:rPr>
      <w:szCs w:val="20"/>
    </w:rPr>
  </w:style>
  <w:style w:type="paragraph" w:styleId="11">
    <w:name w:val="annotation text"/>
    <w:basedOn w:val="1"/>
    <w:link w:val="39"/>
    <w:unhideWhenUsed/>
    <w:qFormat/>
    <w:uiPriority w:val="0"/>
    <w:pPr>
      <w:jc w:val="left"/>
    </w:pPr>
  </w:style>
  <w:style w:type="paragraph" w:styleId="12">
    <w:name w:val="Body Text Indent"/>
    <w:basedOn w:val="1"/>
    <w:link w:val="35"/>
    <w:qFormat/>
    <w:uiPriority w:val="0"/>
    <w:pPr>
      <w:spacing w:line="360" w:lineRule="auto"/>
      <w:ind w:firstLine="359" w:firstLineChars="171"/>
    </w:pPr>
    <w:rPr>
      <w:lang w:val="zh-CN"/>
    </w:rPr>
  </w:style>
  <w:style w:type="paragraph" w:styleId="13">
    <w:name w:val="Body Text Indent 2"/>
    <w:basedOn w:val="1"/>
    <w:link w:val="34"/>
    <w:qFormat/>
    <w:uiPriority w:val="0"/>
    <w:pPr>
      <w:spacing w:line="360" w:lineRule="auto"/>
      <w:ind w:firstLine="480"/>
      <w:outlineLvl w:val="0"/>
    </w:pPr>
    <w:rPr>
      <w:rFonts w:ascii="仿宋_GB2312" w:hAnsi="Calibri" w:eastAsia="仿宋_GB2312"/>
      <w:sz w:val="24"/>
      <w:szCs w:val="20"/>
    </w:rPr>
  </w:style>
  <w:style w:type="paragraph" w:styleId="14">
    <w:name w:val="Balloon Text"/>
    <w:basedOn w:val="1"/>
    <w:link w:val="38"/>
    <w:semiHidden/>
    <w:unhideWhenUsed/>
    <w:qFormat/>
    <w:uiPriority w:val="99"/>
    <w:rPr>
      <w:sz w:val="18"/>
      <w:szCs w:val="18"/>
    </w:rPr>
  </w:style>
  <w:style w:type="paragraph" w:styleId="15">
    <w:name w:val="footer"/>
    <w:basedOn w:val="1"/>
    <w:link w:val="26"/>
    <w:unhideWhenUsed/>
    <w:qFormat/>
    <w:uiPriority w:val="99"/>
    <w:pPr>
      <w:tabs>
        <w:tab w:val="center" w:pos="4153"/>
        <w:tab w:val="right" w:pos="8306"/>
      </w:tabs>
      <w:snapToGrid w:val="0"/>
      <w:jc w:val="left"/>
    </w:pPr>
    <w:rPr>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11"/>
    <w:next w:val="11"/>
    <w:link w:val="40"/>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styleId="24">
    <w:name w:val="annotation reference"/>
    <w:basedOn w:val="22"/>
    <w:semiHidden/>
    <w:unhideWhenUsed/>
    <w:qFormat/>
    <w:uiPriority w:val="99"/>
    <w:rPr>
      <w:sz w:val="21"/>
      <w:szCs w:val="21"/>
    </w:rPr>
  </w:style>
  <w:style w:type="character" w:customStyle="1" w:styleId="25">
    <w:name w:val="页眉 字符"/>
    <w:basedOn w:val="22"/>
    <w:link w:val="16"/>
    <w:qFormat/>
    <w:uiPriority w:val="99"/>
    <w:rPr>
      <w:sz w:val="18"/>
      <w:szCs w:val="18"/>
    </w:rPr>
  </w:style>
  <w:style w:type="character" w:customStyle="1" w:styleId="26">
    <w:name w:val="页脚 字符"/>
    <w:basedOn w:val="22"/>
    <w:link w:val="15"/>
    <w:qFormat/>
    <w:uiPriority w:val="99"/>
    <w:rPr>
      <w:sz w:val="18"/>
      <w:szCs w:val="18"/>
    </w:rPr>
  </w:style>
  <w:style w:type="character" w:customStyle="1" w:styleId="27">
    <w:name w:val="标题 1 字符"/>
    <w:basedOn w:val="22"/>
    <w:link w:val="2"/>
    <w:qFormat/>
    <w:uiPriority w:val="0"/>
    <w:rPr>
      <w:rFonts w:ascii="黑体" w:hAnsi="Times New Roman" w:eastAsia="黑体" w:cs="Times New Roman"/>
      <w:b/>
      <w:kern w:val="44"/>
      <w:sz w:val="32"/>
      <w:szCs w:val="20"/>
      <w:lang w:val="zh-CN" w:eastAsia="zh-CN"/>
    </w:rPr>
  </w:style>
  <w:style w:type="character" w:customStyle="1" w:styleId="28">
    <w:name w:val="标题 2 字符"/>
    <w:basedOn w:val="22"/>
    <w:link w:val="3"/>
    <w:qFormat/>
    <w:uiPriority w:val="0"/>
    <w:rPr>
      <w:rFonts w:ascii="Arial" w:hAnsi="Arial" w:eastAsia="黑体" w:cs="Times New Roman"/>
      <w:b/>
      <w:bCs/>
      <w:sz w:val="32"/>
      <w:szCs w:val="32"/>
    </w:rPr>
  </w:style>
  <w:style w:type="character" w:customStyle="1" w:styleId="29">
    <w:name w:val="标题 3 字符"/>
    <w:basedOn w:val="22"/>
    <w:link w:val="4"/>
    <w:qFormat/>
    <w:uiPriority w:val="0"/>
    <w:rPr>
      <w:rFonts w:ascii="Arial" w:hAnsi="Arial" w:eastAsia="仿宋_GB2312" w:cs="Times New Roman"/>
      <w:b/>
      <w:sz w:val="24"/>
      <w:szCs w:val="20"/>
      <w:lang w:val="zh-CN" w:eastAsia="zh-CN"/>
    </w:rPr>
  </w:style>
  <w:style w:type="character" w:customStyle="1" w:styleId="30">
    <w:name w:val="标题 4 字符"/>
    <w:basedOn w:val="22"/>
    <w:link w:val="5"/>
    <w:qFormat/>
    <w:uiPriority w:val="0"/>
    <w:rPr>
      <w:rFonts w:ascii="Arial" w:hAnsi="Arial" w:eastAsia="仿宋_GB2312" w:cs="Times New Roman"/>
      <w:sz w:val="24"/>
      <w:szCs w:val="20"/>
      <w:lang w:val="zh-CN" w:eastAsia="zh-CN"/>
    </w:rPr>
  </w:style>
  <w:style w:type="character" w:customStyle="1" w:styleId="31">
    <w:name w:val="标题 5 字符"/>
    <w:basedOn w:val="22"/>
    <w:link w:val="6"/>
    <w:qFormat/>
    <w:uiPriority w:val="0"/>
    <w:rPr>
      <w:rFonts w:ascii="Arial" w:hAnsi="Arial" w:eastAsia="仿宋_GB2312" w:cs="Times New Roman"/>
      <w:sz w:val="24"/>
      <w:szCs w:val="20"/>
      <w:lang w:val="zh-CN" w:eastAsia="zh-CN"/>
    </w:rPr>
  </w:style>
  <w:style w:type="character" w:customStyle="1" w:styleId="32">
    <w:name w:val="标题 6 字符"/>
    <w:basedOn w:val="22"/>
    <w:link w:val="7"/>
    <w:qFormat/>
    <w:uiPriority w:val="0"/>
    <w:rPr>
      <w:rFonts w:ascii="Arial" w:hAnsi="Arial" w:eastAsia="仿宋_GB2312" w:cs="Times New Roman"/>
      <w:sz w:val="24"/>
      <w:szCs w:val="20"/>
      <w:lang w:val="zh-CN" w:eastAsia="zh-CN"/>
    </w:rPr>
  </w:style>
  <w:style w:type="character" w:customStyle="1" w:styleId="33">
    <w:name w:val="标题 7 字符"/>
    <w:basedOn w:val="22"/>
    <w:link w:val="8"/>
    <w:qFormat/>
    <w:uiPriority w:val="0"/>
    <w:rPr>
      <w:rFonts w:ascii="仿宋_GB2312" w:hAnsi="Times New Roman" w:eastAsia="仿宋_GB2312" w:cs="Times New Roman"/>
      <w:sz w:val="24"/>
      <w:szCs w:val="20"/>
      <w:lang w:val="zh-CN" w:eastAsia="zh-CN"/>
    </w:rPr>
  </w:style>
  <w:style w:type="character" w:customStyle="1" w:styleId="34">
    <w:name w:val="正文文本缩进 2 字符"/>
    <w:basedOn w:val="22"/>
    <w:link w:val="13"/>
    <w:qFormat/>
    <w:uiPriority w:val="0"/>
    <w:rPr>
      <w:rFonts w:ascii="仿宋_GB2312" w:hAnsi="Calibri" w:eastAsia="仿宋_GB2312" w:cs="Times New Roman"/>
      <w:sz w:val="24"/>
      <w:szCs w:val="20"/>
    </w:rPr>
  </w:style>
  <w:style w:type="character" w:customStyle="1" w:styleId="35">
    <w:name w:val="正文文本缩进 字符"/>
    <w:basedOn w:val="22"/>
    <w:link w:val="12"/>
    <w:qFormat/>
    <w:uiPriority w:val="0"/>
    <w:rPr>
      <w:rFonts w:ascii="Times New Roman" w:hAnsi="Times New Roman" w:eastAsia="宋体" w:cs="Times New Roman"/>
      <w:szCs w:val="24"/>
      <w:lang w:val="zh-CN" w:eastAsia="zh-CN"/>
    </w:rPr>
  </w:style>
  <w:style w:type="character" w:customStyle="1" w:styleId="36">
    <w:name w:val="正文缩进 字符"/>
    <w:link w:val="9"/>
    <w:qFormat/>
    <w:uiPriority w:val="99"/>
    <w:rPr>
      <w:rFonts w:ascii="Calibri" w:hAnsi="Calibri" w:eastAsia="宋体" w:cs="Times New Roman"/>
      <w:szCs w:val="24"/>
    </w:rPr>
  </w:style>
  <w:style w:type="paragraph" w:customStyle="1" w:styleId="37">
    <w:name w:val="正文正文"/>
    <w:basedOn w:val="1"/>
    <w:qFormat/>
    <w:uiPriority w:val="99"/>
    <w:pPr>
      <w:spacing w:after="25" w:afterLines="25" w:line="360" w:lineRule="auto"/>
      <w:ind w:firstLine="200" w:firstLineChars="200"/>
    </w:pPr>
    <w:rPr>
      <w:sz w:val="24"/>
    </w:rPr>
  </w:style>
  <w:style w:type="character" w:customStyle="1" w:styleId="38">
    <w:name w:val="批注框文本 字符"/>
    <w:basedOn w:val="22"/>
    <w:link w:val="14"/>
    <w:semiHidden/>
    <w:qFormat/>
    <w:uiPriority w:val="99"/>
    <w:rPr>
      <w:rFonts w:ascii="Times New Roman" w:hAnsi="Times New Roman" w:eastAsia="宋体" w:cs="Times New Roman"/>
      <w:sz w:val="18"/>
      <w:szCs w:val="18"/>
    </w:rPr>
  </w:style>
  <w:style w:type="character" w:customStyle="1" w:styleId="39">
    <w:name w:val="批注文字 字符"/>
    <w:basedOn w:val="22"/>
    <w:link w:val="11"/>
    <w:qFormat/>
    <w:uiPriority w:val="0"/>
    <w:rPr>
      <w:rFonts w:ascii="Times New Roman" w:hAnsi="Times New Roman" w:eastAsia="宋体" w:cs="Times New Roman"/>
      <w:szCs w:val="24"/>
    </w:rPr>
  </w:style>
  <w:style w:type="character" w:customStyle="1" w:styleId="40">
    <w:name w:val="批注主题 字符"/>
    <w:basedOn w:val="39"/>
    <w:link w:val="19"/>
    <w:semiHidden/>
    <w:qFormat/>
    <w:uiPriority w:val="99"/>
    <w:rPr>
      <w:rFonts w:ascii="Times New Roman" w:hAnsi="Times New Roman" w:eastAsia="宋体" w:cs="Times New Roman"/>
      <w:b/>
      <w:bCs/>
      <w:szCs w:val="24"/>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 w:type="paragraph" w:styleId="42">
    <w:name w:val="List Paragraph"/>
    <w:basedOn w:val="1"/>
    <w:qFormat/>
    <w:uiPriority w:val="34"/>
    <w:pPr>
      <w:ind w:firstLine="420" w:firstLineChars="200"/>
    </w:pPr>
  </w:style>
  <w:style w:type="character" w:customStyle="1" w:styleId="43">
    <w:name w:val="文档结构图 字符"/>
    <w:basedOn w:val="22"/>
    <w:link w:val="10"/>
    <w:qFormat/>
    <w:uiPriority w:val="0"/>
    <w:rPr>
      <w:kern w:val="2"/>
      <w:sz w:val="21"/>
      <w:shd w:val="clear" w:color="auto" w:fill="000080"/>
    </w:rPr>
  </w:style>
  <w:style w:type="paragraph" w:customStyle="1" w:styleId="4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EB754-21A3-48F7-BEDE-40C59A05B683}">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35039</Words>
  <Characters>35520</Characters>
  <Lines>271</Lines>
  <Paragraphs>76</Paragraphs>
  <TotalTime>3</TotalTime>
  <ScaleCrop>false</ScaleCrop>
  <LinksUpToDate>false</LinksUpToDate>
  <CharactersWithSpaces>35626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2022-06-20T08:55:00Z</dcterms:created>
  <dcterms:modified xsi:type="dcterms:W3CDTF">2022-11-23T14:23:05Z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0587861682174B6EA4C79A29CE6574F7</vt:lpwstr>
  </property>
</Properties>
</file>