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rFonts w:ascii="宋体" w:hAnsi="宋体" w:cs="宋体"/>
          <w:bCs/>
          <w:color w:val="auto"/>
          <w:sz w:val="44"/>
          <w:highlight w:val="none"/>
        </w:rPr>
      </w:pPr>
      <w:bookmarkStart w:id="0" w:name="_Toc123112222"/>
      <w:bookmarkStart w:id="1" w:name="_Toc123112261"/>
      <w:bookmarkStart w:id="2" w:name="_Toc139991724"/>
      <w:bookmarkStart w:id="3" w:name="_Toc123701381"/>
      <w:bookmarkStart w:id="4" w:name="_Toc139992299"/>
    </w:p>
    <w:p>
      <w:pPr>
        <w:spacing w:line="360" w:lineRule="auto"/>
        <w:jc w:val="center"/>
        <w:rPr>
          <w:rFonts w:ascii="宋体" w:hAnsi="宋体" w:cs="宋体"/>
          <w:bCs/>
          <w:color w:val="auto"/>
          <w:sz w:val="24"/>
          <w:highlight w:val="none"/>
        </w:rPr>
      </w:pPr>
    </w:p>
    <w:p>
      <w:pPr>
        <w:jc w:val="center"/>
        <w:rPr>
          <w:rFonts w:hint="eastAsia" w:ascii="宋体" w:hAnsi="宋体" w:eastAsia="宋体" w:cs="宋体"/>
          <w:b/>
          <w:color w:val="auto"/>
          <w:sz w:val="52"/>
          <w:highlight w:val="none"/>
          <w:lang w:val="en-US" w:eastAsia="zh-CN"/>
        </w:rPr>
      </w:pPr>
    </w:p>
    <w:p>
      <w:pPr>
        <w:jc w:val="center"/>
        <w:rPr>
          <w:rFonts w:ascii="宋体" w:hAnsi="宋体" w:cs="宋体"/>
          <w:b/>
          <w:color w:val="auto"/>
          <w:sz w:val="52"/>
          <w:szCs w:val="52"/>
          <w:highlight w:val="none"/>
        </w:rPr>
      </w:pPr>
      <w:r>
        <w:rPr>
          <w:rFonts w:hint="eastAsia" w:ascii="宋体" w:hAnsi="宋体" w:cs="宋体"/>
          <w:b/>
          <w:color w:val="auto"/>
          <w:sz w:val="52"/>
          <w:szCs w:val="22"/>
          <w:highlight w:val="none"/>
        </w:rPr>
        <w:t>英大基金管理有限公司</w:t>
      </w:r>
    </w:p>
    <w:p>
      <w:pPr>
        <w:rPr>
          <w:rFonts w:ascii="宋体" w:hAnsi="宋体" w:cs="宋体"/>
          <w:b/>
          <w:color w:val="auto"/>
          <w:highlight w:val="none"/>
        </w:rPr>
      </w:pPr>
    </w:p>
    <w:p>
      <w:pPr>
        <w:jc w:val="center"/>
        <w:rPr>
          <w:rFonts w:ascii="宋体" w:hAnsi="宋体" w:cs="宋体"/>
          <w:b/>
          <w:color w:val="auto"/>
          <w:sz w:val="52"/>
          <w:highlight w:val="none"/>
        </w:rPr>
      </w:pPr>
    </w:p>
    <w:bookmarkEnd w:id="0"/>
    <w:bookmarkEnd w:id="1"/>
    <w:bookmarkEnd w:id="2"/>
    <w:bookmarkEnd w:id="3"/>
    <w:bookmarkEnd w:id="4"/>
    <w:p>
      <w:pPr>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52"/>
          <w:szCs w:val="52"/>
          <w:highlight w:val="none"/>
          <w:lang w:eastAsia="zh-CN"/>
        </w:rPr>
        <w:t>英大延福养老目标日期2055三年持有期混合型发起式基金中基金（FOF）</w:t>
      </w:r>
      <w:r>
        <w:rPr>
          <w:rFonts w:hint="eastAsia" w:ascii="宋体" w:hAnsi="宋体" w:cs="宋体"/>
          <w:b/>
          <w:color w:val="auto"/>
          <w:sz w:val="52"/>
          <w:szCs w:val="52"/>
          <w:highlight w:val="none"/>
        </w:rPr>
        <w:t>基金合同</w:t>
      </w:r>
    </w:p>
    <w:p>
      <w:pPr>
        <w:jc w:val="center"/>
        <w:rPr>
          <w:rFonts w:ascii="宋体" w:hAnsi="宋体" w:cs="宋体"/>
          <w:b/>
          <w:color w:val="auto"/>
          <w:sz w:val="52"/>
          <w:highlight w:val="none"/>
        </w:rPr>
      </w:pPr>
    </w:p>
    <w:p>
      <w:pPr>
        <w:jc w:val="center"/>
        <w:rPr>
          <w:rFonts w:ascii="宋体" w:hAnsi="宋体" w:cs="宋体"/>
          <w:b/>
          <w:color w:val="auto"/>
          <w:sz w:val="52"/>
          <w:highlight w:val="none"/>
        </w:rPr>
      </w:pPr>
    </w:p>
    <w:p>
      <w:pPr>
        <w:rPr>
          <w:rFonts w:ascii="宋体" w:hAnsi="宋体" w:cs="宋体"/>
          <w:b/>
          <w:color w:val="auto"/>
          <w:sz w:val="24"/>
          <w:szCs w:val="24"/>
          <w:highlight w:val="none"/>
        </w:rPr>
      </w:pPr>
    </w:p>
    <w:p>
      <w:pPr>
        <w:jc w:val="center"/>
        <w:rPr>
          <w:rFonts w:ascii="宋体" w:hAnsi="宋体" w:cs="宋体"/>
          <w:b/>
          <w:color w:val="auto"/>
          <w:sz w:val="36"/>
          <w:szCs w:val="36"/>
          <w:highlight w:val="none"/>
        </w:rPr>
      </w:pPr>
      <w:bookmarkStart w:id="5" w:name="_Toc139992301"/>
      <w:bookmarkStart w:id="6" w:name="_Toc123112263"/>
      <w:bookmarkStart w:id="7" w:name="_Toc123112224"/>
      <w:bookmarkStart w:id="8" w:name="_Toc139991726"/>
      <w:bookmarkStart w:id="9" w:name="_Toc123701383"/>
      <w:r>
        <w:rPr>
          <w:rFonts w:hint="eastAsia" w:ascii="宋体" w:hAnsi="宋体" w:cs="宋体"/>
          <w:b/>
          <w:color w:val="auto"/>
          <w:sz w:val="36"/>
          <w:szCs w:val="36"/>
          <w:highlight w:val="none"/>
        </w:rPr>
        <w:t>基金管理人：</w:t>
      </w:r>
      <w:bookmarkEnd w:id="5"/>
      <w:bookmarkEnd w:id="6"/>
      <w:bookmarkEnd w:id="7"/>
      <w:bookmarkEnd w:id="8"/>
      <w:bookmarkEnd w:id="9"/>
      <w:r>
        <w:rPr>
          <w:rFonts w:hint="eastAsia" w:ascii="宋体" w:hAnsi="宋体" w:cs="宋体"/>
          <w:b/>
          <w:color w:val="auto"/>
          <w:sz w:val="36"/>
          <w:szCs w:val="36"/>
          <w:highlight w:val="none"/>
        </w:rPr>
        <w:t>英大基金管理有限公司</w:t>
      </w:r>
    </w:p>
    <w:p>
      <w:pPr>
        <w:jc w:val="center"/>
        <w:rPr>
          <w:rFonts w:ascii="宋体" w:hAnsi="宋体" w:cs="宋体"/>
          <w:b/>
          <w:color w:val="auto"/>
          <w:sz w:val="36"/>
          <w:szCs w:val="36"/>
          <w:highlight w:val="none"/>
        </w:rPr>
      </w:pPr>
      <w:bookmarkStart w:id="10" w:name="_Toc123701384"/>
      <w:bookmarkStart w:id="11" w:name="_Toc123112225"/>
      <w:bookmarkStart w:id="12" w:name="_Toc123112264"/>
      <w:bookmarkStart w:id="13" w:name="_Toc139991727"/>
      <w:bookmarkStart w:id="14" w:name="_Toc139992302"/>
      <w:r>
        <w:rPr>
          <w:rFonts w:hint="eastAsia" w:ascii="宋体" w:hAnsi="宋体" w:cs="宋体"/>
          <w:b/>
          <w:color w:val="auto"/>
          <w:sz w:val="36"/>
          <w:szCs w:val="36"/>
          <w:highlight w:val="none"/>
        </w:rPr>
        <w:t>基金托管人：</w:t>
      </w:r>
      <w:bookmarkEnd w:id="10"/>
      <w:bookmarkEnd w:id="11"/>
      <w:bookmarkEnd w:id="12"/>
      <w:bookmarkEnd w:id="13"/>
      <w:bookmarkEnd w:id="14"/>
      <w:r>
        <w:rPr>
          <w:rFonts w:hint="eastAsia" w:ascii="宋体" w:hAnsi="宋体" w:cs="宋体"/>
          <w:b/>
          <w:color w:val="auto"/>
          <w:sz w:val="36"/>
          <w:szCs w:val="36"/>
          <w:highlight w:val="none"/>
        </w:rPr>
        <w:t>上海浦东发展银行股份有限公司</w:t>
      </w:r>
    </w:p>
    <w:p>
      <w:pPr>
        <w:jc w:val="center"/>
        <w:rPr>
          <w:rFonts w:ascii="宋体" w:hAnsi="宋体" w:cs="宋体"/>
          <w:bCs/>
          <w:color w:val="auto"/>
          <w:sz w:val="36"/>
          <w:szCs w:val="36"/>
          <w:highlight w:val="none"/>
        </w:rPr>
      </w:pPr>
    </w:p>
    <w:p>
      <w:pPr>
        <w:jc w:val="center"/>
        <w:rPr>
          <w:rFonts w:ascii="宋体" w:hAnsi="宋体" w:cs="宋体"/>
          <w:bCs/>
          <w:color w:val="auto"/>
          <w:sz w:val="24"/>
          <w:szCs w:val="24"/>
          <w:highlight w:val="none"/>
        </w:rPr>
      </w:pPr>
      <w:bookmarkStart w:id="15" w:name="_Toc123701386"/>
      <w:bookmarkStart w:id="16" w:name="_Toc139991729"/>
      <w:bookmarkStart w:id="17" w:name="_Toc123112227"/>
      <w:bookmarkStart w:id="18" w:name="_Toc123112266"/>
    </w:p>
    <w:p>
      <w:pPr>
        <w:jc w:val="center"/>
        <w:rPr>
          <w:rFonts w:ascii="宋体" w:hAnsi="宋体" w:cs="宋体"/>
          <w:bCs/>
          <w:color w:val="auto"/>
          <w:sz w:val="30"/>
          <w:szCs w:val="30"/>
          <w:highlight w:val="none"/>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bCs/>
          <w:color w:val="auto"/>
          <w:sz w:val="30"/>
          <w:szCs w:val="30"/>
          <w:highlight w:val="none"/>
        </w:rPr>
        <w:t>二零二二年</w:t>
      </w:r>
      <w:r>
        <w:rPr>
          <w:rFonts w:hint="eastAsia" w:ascii="宋体" w:hAnsi="宋体" w:cs="宋体"/>
          <w:b/>
          <w:bCs/>
          <w:color w:val="auto"/>
          <w:sz w:val="30"/>
          <w:szCs w:val="30"/>
          <w:highlight w:val="none"/>
          <w:lang w:val="en-US" w:eastAsia="zh-CN"/>
        </w:rPr>
        <w:t>十一</w:t>
      </w:r>
      <w:r>
        <w:rPr>
          <w:rFonts w:hint="eastAsia" w:ascii="宋体" w:hAnsi="宋体" w:cs="宋体"/>
          <w:b/>
          <w:bCs/>
          <w:color w:val="auto"/>
          <w:sz w:val="30"/>
          <w:szCs w:val="30"/>
          <w:highlight w:val="none"/>
        </w:rPr>
        <w:t>月</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目    录</w:t>
      </w:r>
      <w:bookmarkEnd w:id="15"/>
      <w:bookmarkEnd w:id="16"/>
      <w:bookmarkEnd w:id="17"/>
      <w:bookmarkEnd w:id="18"/>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"1-1" \h \z \u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_Toc6260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第一部分  前言</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_Toc6260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_Toc2489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第二部分  释义</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_Toc29294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第三部分  基金的基本情况</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_Toc29294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第四部分  基金份额的发售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_Toc6888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第五部分  基金备案</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_Toc6888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第六部分  基金份额的申购与赎回</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_Toc10210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第七部分  基金合同当事人及权利义务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_Toc10210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_Toc32425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第八部分  基金份额持有人大会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_Toc32425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_Toc21324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第九部分  基金管理人、基金托管人的更换条件和程序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_Toc21324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_Toc10218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第十部分  基金的托管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_Toc10218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_Toc23085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第十一部分  基金份额的登记</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_Toc23085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_Toc31739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第十二部分  基金的投资</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_Toc31739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_Toc20987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第十三部分  基金的转型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_Toc20987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_Toc11823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第十四部分  基金的财产</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_Toc11823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_Toc3497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第十五部分  基金资产估值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_Toc3497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_Toc9964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第十六部分  基金费用与税收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_Toc9964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_Toc14394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第十七部分  基金的收益与分配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_Toc14394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_Toc8318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第十八部分  基金的会计与审计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_Toc14554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第十九部分  基金的信息披露</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_Toc14554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_Toc19266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第二十部分  基金合同的变更、终止与基金财产的清算</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_Toc21704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第二十一部分  违约责任</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_Toc21704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_Toc15463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第二十二部分  争议的处理和适用的法律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_Toc15463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_Toc26016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第二十三部分  基金合同的效力</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_Toc26016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_Toc17318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第二十四部分  其他事项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_Toc17318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_Toc28343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第二十五部分  基金合同内容摘要</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_Toc28343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8306"/>
          <w:tab w:val="clear" w:pos="8296"/>
        </w:tabs>
        <w:rPr>
          <w:rFonts w:hAnsi="宋体" w:cs="宋体"/>
          <w:b w:val="0"/>
          <w:bCs/>
          <w:color w:val="auto"/>
          <w:kern w:val="2"/>
          <w:szCs w:val="24"/>
          <w:highlight w:val="none"/>
        </w:rPr>
        <w:sectPr>
          <w:head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 w:val="24"/>
          <w:szCs w:val="24"/>
          <w:highlight w:val="none"/>
        </w:rPr>
        <w:fldChar w:fldCharType="end"/>
      </w:r>
      <w:bookmarkStart w:id="19" w:name="_Toc6306"/>
      <w:bookmarkStart w:id="20" w:name="_Toc26897"/>
      <w:bookmarkStart w:id="21" w:name="_Toc23386"/>
      <w:bookmarkStart w:id="22" w:name="_Toc30935"/>
      <w:bookmarkStart w:id="23" w:name="_Toc139991730"/>
      <w:bookmarkStart w:id="24" w:name="_Toc8727"/>
      <w:bookmarkStart w:id="25" w:name="_Toc15517"/>
      <w:bookmarkStart w:id="26" w:name="_Toc4867"/>
      <w:bookmarkStart w:id="27" w:name="_Toc141703880"/>
      <w:bookmarkStart w:id="28" w:name="_Toc29629"/>
      <w:bookmarkStart w:id="29" w:name="_Toc4966"/>
      <w:bookmarkStart w:id="30" w:name="_Toc32639"/>
      <w:bookmarkStart w:id="31" w:name="_Toc123112268"/>
      <w:bookmarkStart w:id="32" w:name="_Toc123701389"/>
      <w:bookmarkStart w:id="33" w:name="_Toc123112229"/>
      <w:bookmarkStart w:id="34" w:name="_Toc233456271"/>
    </w:p>
    <w:p>
      <w:pPr>
        <w:pStyle w:val="2"/>
        <w:spacing w:before="0" w:after="0"/>
        <w:jc w:val="center"/>
        <w:rPr>
          <w:rFonts w:hAnsi="宋体" w:cs="宋体"/>
          <w:color w:val="auto"/>
          <w:sz w:val="30"/>
          <w:szCs w:val="30"/>
          <w:highlight w:val="none"/>
        </w:rPr>
      </w:pPr>
      <w:bookmarkStart w:id="35" w:name="_Toc11660"/>
      <w:bookmarkStart w:id="36" w:name="_Toc6260"/>
      <w:r>
        <w:rPr>
          <w:rFonts w:hint="eastAsia" w:hAnsi="宋体" w:cs="宋体"/>
          <w:color w:val="auto"/>
          <w:sz w:val="30"/>
          <w:szCs w:val="30"/>
          <w:highlight w:val="none"/>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rFonts w:ascii="宋体" w:hAnsi="宋体" w:cs="宋体"/>
          <w:bCs/>
          <w:color w:val="auto"/>
          <w:sz w:val="24"/>
          <w:szCs w:val="24"/>
          <w:highlight w:val="none"/>
        </w:rPr>
      </w:pPr>
      <w:bookmarkStart w:id="37" w:name="_Toc139991731"/>
    </w:p>
    <w:bookmarkEnd w:id="31"/>
    <w:bookmarkEnd w:id="32"/>
    <w:bookmarkEnd w:id="33"/>
    <w:bookmarkEnd w:id="37"/>
    <w:p>
      <w:pPr>
        <w:spacing w:line="360" w:lineRule="auto"/>
        <w:ind w:firstLine="480" w:firstLineChars="200"/>
        <w:rPr>
          <w:rFonts w:ascii="宋体" w:hAnsi="宋体" w:cs="宋体"/>
          <w:bCs/>
          <w:color w:val="auto"/>
          <w:sz w:val="24"/>
          <w:szCs w:val="24"/>
          <w:highlight w:val="none"/>
        </w:rPr>
      </w:pPr>
      <w:bookmarkStart w:id="38" w:name="_Toc258829399"/>
      <w:r>
        <w:rPr>
          <w:rFonts w:hint="eastAsia" w:ascii="宋体" w:hAnsi="宋体" w:cs="宋体"/>
          <w:bCs/>
          <w:color w:val="auto"/>
          <w:sz w:val="24"/>
          <w:szCs w:val="24"/>
          <w:highlight w:val="none"/>
        </w:rPr>
        <w:t>一、订立本基金合同的目的、依据和原则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1、订立本基金合同的目的是保护投资人合法权益，明确基金合同当事人的权利义务，规范基金运作。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2、订立本基金合同的依据是《中华人民共和国</w:t>
      </w:r>
      <w:r>
        <w:rPr>
          <w:rFonts w:hint="eastAsia" w:ascii="宋体" w:hAnsi="宋体" w:cs="宋体"/>
          <w:color w:val="auto"/>
          <w:sz w:val="24"/>
          <w:szCs w:val="24"/>
          <w:highlight w:val="none"/>
        </w:rPr>
        <w:t>民法典</w:t>
      </w:r>
      <w:r>
        <w:rPr>
          <w:rFonts w:hint="eastAsia" w:ascii="宋体" w:hAnsi="宋体" w:cs="宋体"/>
          <w:bCs/>
          <w:color w:val="auto"/>
          <w:sz w:val="24"/>
          <w:szCs w:val="24"/>
          <w:highlight w:val="none"/>
        </w:rPr>
        <w:t>》（以下简称“《</w:t>
      </w:r>
      <w:r>
        <w:rPr>
          <w:rFonts w:hint="eastAsia" w:ascii="宋体" w:hAnsi="宋体" w:cs="宋体"/>
          <w:color w:val="auto"/>
          <w:sz w:val="24"/>
          <w:szCs w:val="24"/>
          <w:highlight w:val="none"/>
        </w:rPr>
        <w:t>民法典</w:t>
      </w:r>
      <w:r>
        <w:rPr>
          <w:rFonts w:hint="eastAsia" w:ascii="宋体" w:hAnsi="宋体" w:cs="宋体"/>
          <w:bCs/>
          <w:color w:val="auto"/>
          <w:sz w:val="24"/>
          <w:szCs w:val="24"/>
          <w:highlight w:val="none"/>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证券投资基金运作指引第2号——基金中基金指引》（以下简称“《基金中基金指引》”）、《养老目标证券投资基金指引（试行）》（以下简称“《养老目标基金指引》”）、《公开募集开放式证券投资基金流动性风险管理规定》（以下简称“《流动性风险管理规定》”）和其他有关法律法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3、订立本基金合同的原则是平等自愿、诚实信用、充分保护投资人合法权益。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w:t>
      </w:r>
      <w:r>
        <w:rPr>
          <w:rFonts w:hint="eastAsia" w:ascii="宋体" w:hAnsi="宋体" w:cs="宋体"/>
          <w:bCs/>
          <w:color w:val="auto"/>
          <w:sz w:val="24"/>
          <w:szCs w:val="24"/>
          <w:highlight w:val="none"/>
          <w:lang w:eastAsia="zh-CN"/>
        </w:rPr>
        <w:t>英大延福养老目标日期2055三年持有期混合型发起式基金中基金（FOF）</w:t>
      </w:r>
      <w:r>
        <w:rPr>
          <w:rFonts w:hint="eastAsia" w:ascii="宋体" w:hAnsi="宋体" w:cs="宋体"/>
          <w:bCs/>
          <w:color w:val="auto"/>
          <w:sz w:val="24"/>
          <w:szCs w:val="24"/>
          <w:highlight w:val="none"/>
        </w:rPr>
        <w:t>由基金管理人依照《基金法》、基金合同及其他有关规定募集，并经中国证券监督管理委员会（以下简称“中国证监会”）注册。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中国证监会对本基金募集的注册，并不表明其对本基金的投资价值和市场前景做出实质性判断或保证，也不表明投资于本基金没有风险。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基金管理人依照恪尽职守、诚实信用、谨慎勤勉的原则管理和运用基金财产，但不保证投资于本基金一定盈利，也不保证最低收益。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投资者应当认真阅读基金招募说明书、基金合同、</w:t>
      </w:r>
      <w:r>
        <w:rPr>
          <w:rFonts w:hint="eastAsia" w:ascii="宋体" w:hAnsi="宋体" w:cs="宋体"/>
          <w:color w:val="auto"/>
          <w:sz w:val="24"/>
          <w:szCs w:val="24"/>
          <w:highlight w:val="none"/>
        </w:rPr>
        <w:t>基金产品资料概要</w:t>
      </w:r>
      <w:r>
        <w:rPr>
          <w:rFonts w:hint="eastAsia" w:ascii="宋体" w:hAnsi="宋体" w:cs="宋体"/>
          <w:bCs/>
          <w:color w:val="auto"/>
          <w:sz w:val="24"/>
          <w:szCs w:val="24"/>
          <w:highlight w:val="none"/>
        </w:rPr>
        <w:t>等信息披露文件，自主判断基金的投资价值，自主做出投资决策，自行承担投资风险。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五、本基金按照中国法律法规成立并运作，若基金合同的内容与届时有效的法律法规的强制性规定不一致，应当以届时有效的法律法规的规定为准。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本基金可投资于内地与香港股票市场互联互通机制下允许买卖的香港联合交易所上市股票（以下简称“港股”或“港股通标的股票”），可能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本基金可根据投资策略需要或不同配置地市场环境的变化，选择将部分基金资产投资于港股或选择不将基金资产投资于港股，基金资产并非必然投资港股，存在不对港股进行投资的可能。</w:t>
      </w:r>
    </w:p>
    <w:p>
      <w:pPr>
        <w:spacing w:line="360" w:lineRule="auto"/>
        <w:ind w:firstLine="482" w:firstLineChars="200"/>
        <w:rPr>
          <w:rFonts w:ascii="宋体" w:hAnsi="宋体" w:cs="宋体"/>
          <w:b/>
          <w:color w:val="auto"/>
          <w:sz w:val="24"/>
          <w:szCs w:val="24"/>
          <w:highlight w:val="none"/>
        </w:rPr>
      </w:pPr>
      <w:r>
        <w:rPr>
          <w:rFonts w:hint="eastAsia" w:ascii="宋体" w:hAnsi="宋体" w:cs="宋体"/>
          <w:b/>
          <w:bCs w:val="0"/>
          <w:color w:val="auto"/>
          <w:sz w:val="24"/>
          <w:szCs w:val="24"/>
          <w:highlight w:val="none"/>
        </w:rPr>
        <w:t>七、</w:t>
      </w:r>
      <w:r>
        <w:rPr>
          <w:rFonts w:hint="eastAsia" w:ascii="宋体" w:hAnsi="宋体" w:cs="宋体"/>
          <w:b/>
          <w:color w:val="auto"/>
          <w:sz w:val="24"/>
          <w:szCs w:val="24"/>
          <w:highlight w:val="none"/>
        </w:rPr>
        <w:t>本基金名称中包含“养老”字样不代表收益保障或其他任何形式的收益承诺，本基金不保本，可能发生亏损。基金管理人依照恪尽职守、诚实信用、谨慎勤勉的原则管理和运用基金财产，</w:t>
      </w:r>
      <w:r>
        <w:rPr>
          <w:rFonts w:ascii="宋体" w:hAnsi="宋体" w:cs="宋体"/>
          <w:b/>
          <w:color w:val="auto"/>
          <w:sz w:val="24"/>
          <w:szCs w:val="24"/>
          <w:highlight w:val="none"/>
        </w:rPr>
        <w:t>基金管理人在此特别提示投资者：本基金不保本，可能发生亏损</w:t>
      </w:r>
      <w:r>
        <w:rPr>
          <w:rFonts w:hint="eastAsia" w:ascii="宋体" w:hAnsi="宋体" w:cs="宋体"/>
          <w:b/>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八、在目标日期到达前即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前（含该日），本基金每笔份额的最短持有期为3年，投资者认购或者申购或者转入每份基金份额后，在相应基金份额的最短持有期到期日之前（含最短持有期到期日当日），投资者不能提出赎回或转换转出申请，自每份基金份额的最短持有期到期日的下一个工作日（含该日）起投资者可提出赎回申请。在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2056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九、当经济形势、人口结构、资本市场等关键要素发生变化后，本基金会对下滑曲线进行适度调整。本基金实际投资比例与下滑曲线预设的配置目标比例可能存在差异。</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十、本基金单一投资者</w:t>
      </w:r>
      <w:r>
        <w:rPr>
          <w:rFonts w:hint="eastAsia" w:ascii="宋体" w:hAnsi="宋体" w:cs="宋体"/>
          <w:bCs/>
          <w:color w:val="auto"/>
          <w:sz w:val="24"/>
          <w:szCs w:val="24"/>
          <w:highlight w:val="none"/>
        </w:rPr>
        <w:t>（基金管理人或其高级管理人员、基金管理人股东、基金经理等人员作为发起资金提供方除外）</w:t>
      </w:r>
      <w:r>
        <w:rPr>
          <w:rFonts w:ascii="宋体" w:hAnsi="宋体" w:cs="宋体"/>
          <w:bCs/>
          <w:color w:val="auto"/>
          <w:sz w:val="24"/>
          <w:szCs w:val="24"/>
          <w:highlight w:val="none"/>
        </w:rPr>
        <w:t>持有基金份额数不得达到或超过基金份额总数的50%，但在基金运作过程中因基金份额赎回等情形导致被动达到或超过50%的除外。法律法规或监管机构另有规定的，从其规定。</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十一、本基金的投资范围包括存托凭证，除与其他仅投资于沪深市场股票的基金所面临的共同风险外，本基金还将面临投资存托凭证的特殊风险，详见本基金招募说明书。</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十二</w:t>
      </w:r>
      <w:r>
        <w:rPr>
          <w:rFonts w:hint="eastAsia" w:ascii="宋体" w:hAnsi="宋体" w:cs="宋体"/>
          <w:bCs/>
          <w:color w:val="auto"/>
          <w:sz w:val="24"/>
          <w:szCs w:val="24"/>
          <w:highlight w:val="none"/>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39" w:name="_Toc6617"/>
      <w:bookmarkStart w:id="40" w:name="_Toc22864"/>
      <w:bookmarkStart w:id="41" w:name="_Toc2465"/>
      <w:bookmarkStart w:id="42" w:name="_Toc21301"/>
      <w:bookmarkStart w:id="43" w:name="_Toc3224"/>
      <w:bookmarkStart w:id="44" w:name="_Toc13020"/>
      <w:bookmarkStart w:id="45" w:name="_Toc31551"/>
      <w:bookmarkStart w:id="46" w:name="_Toc19592"/>
      <w:bookmarkStart w:id="47" w:name="_Toc24860"/>
      <w:bookmarkStart w:id="48" w:name="_Toc819"/>
      <w:bookmarkStart w:id="49" w:name="_Toc2489"/>
      <w:bookmarkStart w:id="50" w:name="_Toc15067"/>
      <w:r>
        <w:rPr>
          <w:rFonts w:hint="eastAsia" w:hAnsi="宋体" w:cs="宋体"/>
          <w:color w:val="auto"/>
          <w:sz w:val="30"/>
          <w:szCs w:val="30"/>
          <w:highlight w:val="none"/>
        </w:rPr>
        <w:t>第二部分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在本基金合同中，除非文意另有所指，下列词语或简称具有如下含义：</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1、基金或本基金：指</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2、基金管理人：指英大基金管理有限公司</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3、基金托管人：指上海浦东发展银行股份有限公司</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4、基金合同、《基金合同》或本基金合同：指《</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r>
        <w:rPr>
          <w:rFonts w:hint="eastAsia" w:asciiTheme="minorEastAsia" w:hAnsiTheme="minorEastAsia" w:eastAsiaTheme="minorEastAsia" w:cstheme="minorEastAsia"/>
          <w:bCs/>
          <w:color w:val="auto"/>
          <w:sz w:val="24"/>
          <w:szCs w:val="24"/>
          <w:highlight w:val="none"/>
        </w:rPr>
        <w:t>基金合同》及对其的任何有效修订和补充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5、托管协议：指基金管理人与基金托管人就本基金签订之《</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r>
        <w:rPr>
          <w:rFonts w:hint="eastAsia" w:asciiTheme="minorEastAsia" w:hAnsiTheme="minorEastAsia" w:eastAsiaTheme="minorEastAsia" w:cstheme="minorEastAsia"/>
          <w:bCs/>
          <w:color w:val="auto"/>
          <w:sz w:val="24"/>
          <w:szCs w:val="24"/>
          <w:highlight w:val="none"/>
        </w:rPr>
        <w:t>托管协议》及对其的任何有效修订和补充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6、招募说明书：指《</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r>
        <w:rPr>
          <w:rFonts w:hint="eastAsia" w:asciiTheme="minorEastAsia" w:hAnsiTheme="minorEastAsia" w:eastAsiaTheme="minorEastAsia" w:cstheme="minorEastAsia"/>
          <w:bCs/>
          <w:color w:val="auto"/>
          <w:sz w:val="24"/>
          <w:szCs w:val="24"/>
          <w:highlight w:val="none"/>
        </w:rPr>
        <w:t>招募说明书》及对其的更新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7、基金份额发售公告：指《</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r>
        <w:rPr>
          <w:rFonts w:hint="eastAsia" w:asciiTheme="minorEastAsia" w:hAnsiTheme="minorEastAsia" w:eastAsiaTheme="minorEastAsia" w:cstheme="minorEastAsia"/>
          <w:bCs/>
          <w:color w:val="auto"/>
          <w:sz w:val="24"/>
          <w:szCs w:val="24"/>
          <w:highlight w:val="none"/>
        </w:rPr>
        <w:t>基金份额发售公告》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8、基金产品资料概要：指《</w:t>
      </w:r>
      <w:r>
        <w:rPr>
          <w:rFonts w:hint="eastAsia" w:asciiTheme="minorEastAsia" w:hAnsiTheme="minorEastAsia" w:eastAsiaTheme="minorEastAsia" w:cstheme="minorEastAsia"/>
          <w:bCs/>
          <w:color w:val="auto"/>
          <w:sz w:val="24"/>
          <w:szCs w:val="24"/>
          <w:highlight w:val="none"/>
          <w:lang w:eastAsia="zh-CN"/>
        </w:rPr>
        <w:t>英大延福养老目标日期2055三年持有期混合型发起式基金中基金（FOF）</w:t>
      </w:r>
      <w:r>
        <w:rPr>
          <w:rFonts w:hint="eastAsia" w:asciiTheme="minorEastAsia" w:hAnsiTheme="minorEastAsia" w:eastAsiaTheme="minorEastAsia" w:cstheme="minorEastAsia"/>
          <w:bCs/>
          <w:color w:val="auto"/>
          <w:sz w:val="24"/>
          <w:szCs w:val="24"/>
          <w:highlight w:val="none"/>
        </w:rPr>
        <w:t>基金产品资料概要》及其更新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9、法律法规：指中国现行有效并公布实施的法律、行政法规、规范性文件、司法解释、行政规章以及其他对基金合同当事人有约束力的决定、决议、通知等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11、《销售办法》：指中国证监会2020年8月28日颁布、同年10月1日实施的《公开募集证券投资基金销售机构监督管理办法》及颁布机关对其不时做出的修订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13、《运作办法》：指中国证监会2014年7月7日颁布、同年8月8日实施的《公开募集证券投资基金运作管理办法》及颁布机关对其不时做出的修订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14、《基金中基金指引》：指中国证监会2016年9月11日颁布并实施的《公开募集证券投资基金运作指引第2号-基金中基金指引》及颁布机关对其不时做出的修订</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15、《养老目标基金指引》：指中国证监会2018年2月11日颁布实施的《养老目标证券投资基金指引（试行）》及颁布机关对其不时做出的修订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16、《流动性风险管理规定》：指中国证监会2017年8月31日颁布、同年10月1日实施的《公开募集开放式证券投资基金流动性风险管理规定》及颁布机关对其不时做出的修订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17、中国证监会：指中国证券监督管理委员会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18、目标日期：指</w:t>
      </w:r>
      <w:r>
        <w:rPr>
          <w:rFonts w:hint="eastAsia" w:asciiTheme="minorEastAsia" w:hAnsiTheme="minorEastAsia" w:eastAsiaTheme="minorEastAsia" w:cstheme="minorEastAsia"/>
          <w:bCs/>
          <w:color w:val="auto"/>
          <w:sz w:val="24"/>
          <w:szCs w:val="24"/>
          <w:highlight w:val="none"/>
          <w:lang w:eastAsia="zh-CN"/>
        </w:rPr>
        <w:t>2055</w:t>
      </w:r>
      <w:r>
        <w:rPr>
          <w:rFonts w:hint="eastAsia" w:asciiTheme="minorEastAsia" w:hAnsiTheme="minorEastAsia" w:eastAsiaTheme="minorEastAsia" w:cstheme="minorEastAsia"/>
          <w:bCs/>
          <w:color w:val="auto"/>
          <w:sz w:val="24"/>
          <w:szCs w:val="24"/>
          <w:highlight w:val="none"/>
        </w:rPr>
        <w:t>年12月31日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19、银行业监督管理机构：指中国人民银行和/或中国银行保险监督管理委员会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20、基金合同当事人：指受基金合同约束，根据基金合同享有权利并承担义务的法律主体，包括基金管理人、基金托管人和基金份额持有人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21、个人投资者：指依据有关法律法规规定可投资于证券投资基金的自然人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合格境外机构投资者和人民币合格境外机构投资者：指符合《合格境外机构投资者和人民币合格境外机构投资者境内证券期货投资管理办法》（包括对其的不时修订）及相关法律法规规定，经中国证监会批准，使用来自境外的资金进行境内证券期货投资的境外机构投资者，包括境外基金管理公司、商业银行、保险公司、证券公司、期货公司、信托公司、政府投资机构、主权基金、养老基金、慈善基金、捐赠基金、国际组织等中国证监会认可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24、投资人、投资者：指个人投资者、机构投资者、合格境外机构投资者和人民币合格境外机构投资者、发起资金提供方以及法律法规或中国证监会允许购买证券投资基金的其他投资人的合称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25、基金份额持有人：指依基金合同和招募说明书合法取得基金份额的投资人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26、基金销售业务：指基金管理人或销售机构宣传推介基金，发售基金份额，办理基金份额的申购、赎回、转换、转托管及定期定额投资等业务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27、销售机构：指基金管理人以及符合《销售办法》和中国证监会规定的其他条件，取得基金销售业务资格并与基金管理人签订了基金销售服务协议，办理基金销售业务的机构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29、登记机构：指办理登记业务的机构或基金份额登记机构。基金的登记机构为英大基金管理有限公司或接受英大基金管理有限公司委托代为办理登记业务的机构</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30、基金账户：指登记机构为投资人开立的、记录其持有的、基金管理人所管理的基金份额余额及其变动情况的账户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31、基金交易账户：指销售机构为投资人开立的、记录投资人通过该销售机构办理认购、申购、赎回、转换、转托管及定期定额投资等业务而引起的基金份额变动及结余情况的账户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32、基金合同生效日：指基金募集达到法律法规规定及基金合同规定的条件，基金管理人向中国证监会办理基金备案手续完毕，并获得中国证监会书面确认的日期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33、基金合同终止日：指基金合同规定的基金合同终止事由出现后，基金财产清算完毕，清算结果报中国证监会备案并予以公告的日期</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34、基金募集期：指自基金份额发售之日起至发售结束之日止的期间，最长不得超过3个月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35、存续期：指基金合同生效至终止之间的不定期期限</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36、工作日：指上海证券交易所、深圳证券交易所的正常交易日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37、T日：指销售机构在规定时间受理投资人申购、赎回或其他业务申请的开放日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38、T+n日：指自T日起第n个工作日（不包含T日），n为自然数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39、开放日：指为投资人办理基金份额申购、赎回或其他业务的工作日（若为非港股通交易日，则本基金有权不开放申购、赎回，并按规定进行公告）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40、开放时间：指开放日基金接受申购、赎回或其他交易的时间段</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最短持有期：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42、《业务规则》：指《英大基金管理有限公司开放式基金业务规则》，是规范基金管理人所管理的开放式证券投资基金登记方面的业务规则，由基金管理人和投资人共同遵守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43、认购：指在基金募集期内，投资人根据基金合同和招募说明书的规定申请购买基金份额的行为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44、申购：指基金合同生效后，投资人根据基金合同和招募说明书的规定申请购买基金份额的行为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45、赎回：指基金合同生效后，基金份额持有人按基金合同和招募说明书规定的条件要求将基金份额兑换为现金的行为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46、基金转换：指基金份额持有人按照本基金合同和基金管理人届时有效公告规定的条件，申请将其持有基金管理人管理的、某一基金的基金份额转换为基金管理人管理的其他基金基金份额的行为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47、转托管：指基金份额持有人在本基金的不同销售机构之间实施的变更所持基金份额销售机构的操作</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48、定期定额投资计划：指投资人通过有关销售机构提出申请，约定每期申购日、扣款金额及扣款方式，由销售机构于每期约定扣款日在投资人指定银行账户内自动完成扣款及受理基金申购申请的一种投资方式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50、元：指人民币元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52、基金收益：指基金投资所得红利、股息、债券利息、买卖证券价差、银行存款利息、已实现的其他合法收入及因运用基金财产带来的成本和费用的节约</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53、基金资产总值：指基金拥有的各类有价证券、票据价值、银行存款本息、基金应收申购款及其他资产的价值总和</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54、基金资产净值：指基金资产总值减去基金负债后的价值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55、基金份额净值：指计算日基金资产净值除以计算日基金份额总数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56、基金资产估值：指计算评估基金资产和负债的价值，以确定基金资产净值和基金份额净值的过程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57、</w:t>
      </w:r>
      <w:r>
        <w:rPr>
          <w:rFonts w:hint="eastAsia" w:asciiTheme="minorEastAsia" w:hAnsiTheme="minorEastAsia" w:eastAsiaTheme="minorEastAsia" w:cstheme="minorEastAsia"/>
          <w:bCs/>
          <w:color w:val="auto"/>
          <w:sz w:val="24"/>
          <w:szCs w:val="22"/>
          <w:highlight w:val="none"/>
        </w:rPr>
        <w:t>发起式基金：</w:t>
      </w:r>
      <w:r>
        <w:rPr>
          <w:rFonts w:hint="eastAsia" w:asciiTheme="minorEastAsia" w:hAnsiTheme="minorEastAsia" w:eastAsiaTheme="minorEastAsia" w:cstheme="minorEastAsia"/>
          <w:bCs/>
          <w:color w:val="auto"/>
          <w:sz w:val="24"/>
          <w:szCs w:val="22"/>
          <w:highlight w:val="none"/>
          <w:lang w:bidi="ar"/>
        </w:rPr>
        <w:t>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pPr>
        <w:spacing w:line="360" w:lineRule="auto"/>
        <w:ind w:firstLine="480" w:firstLineChars="200"/>
        <w:rPr>
          <w:rFonts w:asciiTheme="minorEastAsia" w:hAnsiTheme="minorEastAsia" w:eastAsiaTheme="minorEastAsia" w:cstheme="minorEastAsia"/>
          <w:bCs/>
          <w:color w:val="auto"/>
          <w:sz w:val="24"/>
          <w:szCs w:val="22"/>
          <w:highlight w:val="none"/>
          <w:lang w:bidi="ar"/>
        </w:rPr>
      </w:pPr>
      <w:r>
        <w:rPr>
          <w:rFonts w:hint="eastAsia" w:asciiTheme="minorEastAsia" w:hAnsiTheme="minorEastAsia" w:eastAsiaTheme="minorEastAsia" w:cstheme="minorEastAsia"/>
          <w:bCs/>
          <w:color w:val="auto"/>
          <w:sz w:val="24"/>
          <w:szCs w:val="22"/>
          <w:highlight w:val="none"/>
        </w:rPr>
        <w:t>58、</w:t>
      </w:r>
      <w:r>
        <w:rPr>
          <w:rFonts w:hint="eastAsia" w:asciiTheme="minorEastAsia" w:hAnsiTheme="minorEastAsia" w:eastAsiaTheme="minorEastAsia" w:cstheme="minorEastAsia"/>
          <w:bCs/>
          <w:color w:val="auto"/>
          <w:sz w:val="24"/>
          <w:szCs w:val="22"/>
          <w:highlight w:val="none"/>
          <w:lang w:bidi="ar"/>
        </w:rPr>
        <w:t>发起资金：指用于认购发起式基金且资金来源于基金管理人的股东资金、基金管理人固有资金、基金管理人高级管理人员或基金经理等人员的资金。发起资金认购本基金的金额不低于1000万元人民币，且发起资金认购的基金份额持有期限自基金合同生效之日起不低于三年，如相关法律法规以及监管部门有新规定的，从其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2"/>
          <w:highlight w:val="none"/>
          <w:lang w:bidi="ar"/>
        </w:rPr>
        <w:t>59、发起资金提供方：指以发起资金认购本基金且承诺以发起资金认购的基金份额持有期限不少于三年的基金管理人股东、基金管理人、基金管理人高级管理人员或基金经理等人员</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60、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规定媒介：指符合中国证监会规定条件的用以进行信息披露的全国性报刊（以下简称“规定报刊”）及《信息披露办法》规定的互联网网站（包括基金管理人网站、基金托管人网站、中国证监会基金电子披露网站，以下简称“规定网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等媒介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62、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63、港股通：指内地投资者委托内地证券公司，经由上海证券交易所和深圳证券交易所设立的证券交易服务公司，向香港联合交易所进行申报，买卖规定范围内的香港联合交易所上市的股票</w:t>
      </w:r>
    </w:p>
    <w:p>
      <w:pPr>
        <w:spacing w:line="360" w:lineRule="auto"/>
        <w:ind w:firstLine="480" w:firstLineChars="200"/>
        <w:rPr>
          <w:rFonts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64、</w:t>
      </w:r>
      <w:r>
        <w:rPr>
          <w:rFonts w:hint="eastAsia" w:asciiTheme="minorEastAsia" w:hAnsiTheme="minorEastAsia" w:eastAsiaTheme="minorEastAsia" w:cstheme="minorEastAsia"/>
          <w:bCs/>
          <w:color w:val="auto"/>
          <w:sz w:val="24"/>
          <w:szCs w:val="24"/>
          <w:highlight w:val="none"/>
          <w:lang w:bidi="ar"/>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rFonts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66、不可抗力：指本基金合同当事人不能预见、不能避免且不能克服的客观事件，包括但不限于地震、台风、水灾、火灾、战争、瘟疫、社会动乱、非一方过错情况下的电力和通讯故障、系统故障、设备故障、网络黑客攻击以及中国证监会、证券/期货交易所、中国证券业协会、中国证券投资基金业协会规定的其他情形</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Cs w:val="24"/>
          <w:highlight w:val="none"/>
        </w:rPr>
      </w:pPr>
      <w:r>
        <w:rPr>
          <w:rFonts w:hint="eastAsia" w:hAnsi="宋体" w:cs="宋体"/>
          <w:b w:val="0"/>
          <w:bCs/>
          <w:color w:val="auto"/>
          <w:szCs w:val="24"/>
          <w:highlight w:val="none"/>
        </w:rPr>
        <w:br w:type="page"/>
      </w:r>
      <w:bookmarkStart w:id="51" w:name="_Toc18631"/>
      <w:bookmarkStart w:id="52" w:name="_Toc6683"/>
      <w:bookmarkStart w:id="53" w:name="_Toc6149"/>
      <w:bookmarkStart w:id="54" w:name="_Toc13288"/>
      <w:bookmarkStart w:id="55" w:name="_Toc22708"/>
      <w:bookmarkStart w:id="56" w:name="_Toc5246"/>
      <w:bookmarkStart w:id="57" w:name="_Toc20318"/>
      <w:bookmarkStart w:id="58" w:name="_Toc29294"/>
      <w:bookmarkStart w:id="59" w:name="_Toc24571"/>
      <w:bookmarkStart w:id="60" w:name="_Toc545"/>
      <w:bookmarkStart w:id="61" w:name="_Toc20627"/>
      <w:bookmarkStart w:id="62" w:name="_Toc733"/>
      <w:bookmarkStart w:id="63" w:name="_Toc258829400"/>
      <w:bookmarkStart w:id="64" w:name="_Toc233456272"/>
      <w:r>
        <w:rPr>
          <w:rFonts w:hint="eastAsia" w:hAnsi="宋体" w:cs="宋体"/>
          <w:color w:val="auto"/>
          <w:sz w:val="30"/>
          <w:szCs w:val="30"/>
          <w:highlight w:val="none"/>
        </w:rPr>
        <w:t>第三部分  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rFonts w:ascii="宋体" w:hAnsi="宋体" w:cs="宋体"/>
          <w:bCs/>
          <w:color w:val="auto"/>
          <w:sz w:val="24"/>
          <w:szCs w:val="24"/>
          <w:highlight w:val="none"/>
        </w:rPr>
      </w:pPr>
      <w:bookmarkStart w:id="66" w:name="_Hlt88031774"/>
      <w:bookmarkEnd w:id="66"/>
      <w:bookmarkStart w:id="67" w:name="_Hlt88031741"/>
    </w:p>
    <w:bookmarkEnd w:id="67"/>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一、基金名称</w:t>
      </w:r>
      <w:bookmarkEnd w:id="65"/>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英大延福养老目标日期2055三年持有期混合型发起式基金中基金（FOF）</w:t>
      </w:r>
    </w:p>
    <w:p>
      <w:pPr>
        <w:spacing w:line="360" w:lineRule="auto"/>
        <w:ind w:firstLine="480" w:firstLineChars="200"/>
        <w:rPr>
          <w:rFonts w:ascii="宋体" w:hAnsi="宋体" w:cs="宋体"/>
          <w:bCs/>
          <w:color w:val="auto"/>
          <w:sz w:val="24"/>
          <w:szCs w:val="24"/>
          <w:highlight w:val="none"/>
        </w:rPr>
      </w:pPr>
      <w:bookmarkStart w:id="68" w:name="_Toc7939257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二、基金的类别</w:t>
      </w:r>
      <w:bookmarkEnd w:id="6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混合型基金中基金（FOF）</w:t>
      </w:r>
    </w:p>
    <w:p>
      <w:pPr>
        <w:spacing w:line="360" w:lineRule="auto"/>
        <w:ind w:firstLine="480" w:firstLineChars="200"/>
        <w:rPr>
          <w:rFonts w:ascii="宋体" w:hAnsi="宋体" w:cs="宋体"/>
          <w:bCs/>
          <w:color w:val="auto"/>
          <w:sz w:val="24"/>
          <w:szCs w:val="24"/>
          <w:highlight w:val="none"/>
        </w:rPr>
      </w:pPr>
      <w:bookmarkStart w:id="69" w:name="_Toc7939257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三、基金的运作方式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契约型开放式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2056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四、基金的投资目标</w:t>
      </w:r>
      <w:bookmarkEnd w:id="6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后（不含该日），本基金投资目标为：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color w:val="auto"/>
          <w:sz w:val="24"/>
          <w:szCs w:val="24"/>
          <w:highlight w:val="none"/>
        </w:rPr>
      </w:pPr>
      <w:bookmarkStart w:id="70" w:name="_Toc7939257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五、基金的最低募集份额总额</w:t>
      </w:r>
      <w:bookmarkEnd w:id="70"/>
    </w:p>
    <w:p>
      <w:pPr>
        <w:spacing w:line="360" w:lineRule="auto"/>
        <w:ind w:firstLine="480" w:firstLineChars="200"/>
        <w:rPr>
          <w:rFonts w:ascii="宋体" w:hAnsi="宋体" w:cs="宋体"/>
          <w:bCs/>
          <w:color w:val="auto"/>
          <w:sz w:val="24"/>
          <w:szCs w:val="24"/>
          <w:highlight w:val="none"/>
        </w:rPr>
      </w:pPr>
      <w:bookmarkStart w:id="71" w:name="_Toc79392577"/>
      <w:r>
        <w:rPr>
          <w:rFonts w:hint="eastAsia" w:ascii="宋体" w:hAnsi="宋体" w:cs="宋体"/>
          <w:bCs/>
          <w:color w:val="auto"/>
          <w:sz w:val="24"/>
          <w:szCs w:val="22"/>
          <w:highlight w:val="none"/>
          <w:lang w:bidi="ar"/>
        </w:rPr>
        <w:t>本基金是发起式基金，由基金管理人股东资金、基金管理人固有资金、基金管理人高级管理人员或者基金经理等人员构成的发起资金提供方认购的发起资金总金额不少于1000万元人民币，且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起不少于3年，法律法规或中国证监会另有规定的除外。</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六、基金份额发售面值</w:t>
      </w:r>
      <w:bookmarkEnd w:id="71"/>
      <w:r>
        <w:rPr>
          <w:rFonts w:hint="eastAsia" w:ascii="宋体" w:hAnsi="宋体" w:cs="宋体"/>
          <w:bCs/>
          <w:color w:val="auto"/>
          <w:sz w:val="24"/>
          <w:szCs w:val="24"/>
          <w:highlight w:val="none"/>
        </w:rPr>
        <w:t>和认购费用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本基金基金份额发售面值为人民币1.00元。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本基金认购费率按招募说明书及基金产品资料概要的规定执行。</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bookmarkStart w:id="72" w:name="_Toc79392578"/>
      <w:r>
        <w:rPr>
          <w:rFonts w:hint="eastAsia" w:ascii="宋体" w:hAnsi="宋体" w:cs="宋体"/>
          <w:bCs/>
          <w:color w:val="auto"/>
          <w:sz w:val="24"/>
          <w:szCs w:val="24"/>
          <w:highlight w:val="none"/>
        </w:rPr>
        <w:t>七、基金存续期限</w:t>
      </w:r>
      <w:bookmarkEnd w:id="7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不定期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基金合同生效之日起三年后的对应自然日</w:t>
      </w:r>
      <w:r>
        <w:rPr>
          <w:rStyle w:val="49"/>
          <w:rFonts w:hint="default"/>
          <w:color w:val="auto"/>
          <w:highlight w:val="none"/>
        </w:rPr>
        <w:t>（若无对应日则顺延至下一日）</w:t>
      </w:r>
      <w:r>
        <w:rPr>
          <w:rFonts w:hint="eastAsia" w:ascii="宋体" w:hAnsi="宋体" w:cs="宋体"/>
          <w:bCs/>
          <w:color w:val="auto"/>
          <w:sz w:val="24"/>
          <w:szCs w:val="24"/>
          <w:highlight w:val="none"/>
        </w:rPr>
        <w:t>，若基金资产净值低于2亿元，本基金应当按照本基金合同约定的程序进行清算并终止，且不得通过召开基金份额持有人大会的方式延续。若届时的法律法规或中国证监会规定发生变化，上述终止规定被取消、更改或补充时，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八、基金份额类别设置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基金合同的约定以及对基金份额持有人利益无实质性不利影响的情况下，根据基金运作情况，基金管理人可在不违反法律法规的规定和基金合同的约定，且对基金份额持有人利益无实质不利影响的情况下，经与基金托管人协商，在履行适当程序后，增加或调整基金份额类别，或者对基金份额分类办法及规则进行调整，或者在法律法规和基金合同规定的范围内变更现有基金份额类别的申购费率或变更收费方式、或者停止现有基金份额类别的销售等，调整实施前基金管理人需依照《信息披露办法》的有关规定在规定媒介上公告，不需召开基金份额持有人大会。</w:t>
      </w:r>
    </w:p>
    <w:p>
      <w:pPr>
        <w:spacing w:line="360" w:lineRule="auto"/>
        <w:ind w:firstLine="480"/>
        <w:rPr>
          <w:rFonts w:hint="eastAsia" w:asciiTheme="minorEastAsia" w:hAnsiTheme="minorEastAsia" w:eastAsiaTheme="minorEastAsia" w:cstheme="minorEastAsia"/>
          <w:bCs/>
          <w:color w:val="auto"/>
          <w:sz w:val="24"/>
          <w:szCs w:val="24"/>
          <w:highlight w:val="none"/>
        </w:rPr>
      </w:pP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九、转型为“</w:t>
      </w:r>
      <w:r>
        <w:rPr>
          <w:rFonts w:hint="eastAsia" w:asciiTheme="minorEastAsia" w:hAnsiTheme="minorEastAsia" w:eastAsiaTheme="minorEastAsia" w:cstheme="minorEastAsia"/>
          <w:bCs/>
          <w:color w:val="auto"/>
          <w:sz w:val="24"/>
          <w:szCs w:val="24"/>
          <w:highlight w:val="none"/>
          <w:lang w:eastAsia="zh-CN"/>
        </w:rPr>
        <w:t>英大稳裕核心混合型基金中基金（FOF）</w:t>
      </w:r>
      <w:r>
        <w:rPr>
          <w:rFonts w:hint="eastAsia" w:asciiTheme="minorEastAsia" w:hAnsiTheme="minorEastAsia" w:eastAsiaTheme="minorEastAsia" w:cstheme="minorEastAsia"/>
          <w:color w:val="auto"/>
          <w:sz w:val="24"/>
          <w:szCs w:val="24"/>
          <w:highlight w:val="none"/>
        </w:rPr>
        <w:t>”后基金的存续形式</w:t>
      </w:r>
    </w:p>
    <w:p>
      <w:pPr>
        <w:spacing w:line="360" w:lineRule="auto"/>
        <w:ind w:firstLine="480"/>
        <w:rPr>
          <w:rFonts w:ascii="宋体" w:hAnsi="宋体" w:cs="宋体"/>
          <w:bCs/>
          <w:color w:val="auto"/>
          <w:sz w:val="24"/>
          <w:szCs w:val="24"/>
          <w:highlight w:val="none"/>
        </w:rPr>
      </w:pPr>
      <w:r>
        <w:rPr>
          <w:rFonts w:hint="eastAsia" w:asciiTheme="minorEastAsia" w:hAnsiTheme="minorEastAsia" w:eastAsiaTheme="minorEastAsia" w:cstheme="minorEastAsia"/>
          <w:color w:val="auto"/>
          <w:sz w:val="24"/>
          <w:szCs w:val="24"/>
          <w:highlight w:val="none"/>
        </w:rPr>
        <w:t>自基金转型日</w:t>
      </w:r>
      <w:r>
        <w:rPr>
          <w:rFonts w:hint="eastAsia" w:asciiTheme="minorEastAsia" w:hAnsiTheme="minorEastAsia" w:eastAsiaTheme="minorEastAsia" w:cstheme="minorEastAsia"/>
          <w:color w:val="auto"/>
          <w:sz w:val="24"/>
          <w:szCs w:val="24"/>
          <w:highlight w:val="none"/>
          <w:lang w:eastAsia="zh-CN"/>
        </w:rPr>
        <w:t>2056</w:t>
      </w:r>
      <w:r>
        <w:rPr>
          <w:rFonts w:hint="eastAsia" w:asciiTheme="minorEastAsia" w:hAnsiTheme="minorEastAsia" w:eastAsiaTheme="minorEastAsia" w:cstheme="minorEastAsia"/>
          <w:color w:val="auto"/>
          <w:sz w:val="24"/>
          <w:szCs w:val="24"/>
          <w:highlight w:val="none"/>
        </w:rPr>
        <w:t>年1月1日起，本基金转型为普通混合型FOF。按照基金合同的约定，基金名称相应变更为“</w:t>
      </w:r>
      <w:r>
        <w:rPr>
          <w:rFonts w:hint="eastAsia" w:asciiTheme="minorEastAsia" w:hAnsiTheme="minorEastAsia" w:eastAsiaTheme="minorEastAsia" w:cstheme="minorEastAsia"/>
          <w:bCs/>
          <w:color w:val="auto"/>
          <w:sz w:val="24"/>
          <w:szCs w:val="24"/>
          <w:highlight w:val="none"/>
          <w:lang w:eastAsia="zh-CN"/>
        </w:rPr>
        <w:t>英大稳裕核心混合型基金中基金（FOF）</w:t>
      </w:r>
      <w:r>
        <w:rPr>
          <w:rFonts w:hint="eastAsia" w:asciiTheme="minorEastAsia" w:hAnsiTheme="minorEastAsia" w:eastAsiaTheme="minorEastAsia" w:cstheme="minorEastAsia"/>
          <w:color w:val="auto"/>
          <w:sz w:val="24"/>
          <w:szCs w:val="24"/>
          <w:highlight w:val="none"/>
        </w:rPr>
        <w:t>”，不再设置最短持有期限。同时，基金的投资目标、投资范围、投资策略等相关内容也将根据基金合同的约定作相应修改。</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73" w:name="_Toc24682"/>
      <w:bookmarkStart w:id="74" w:name="_Toc6714"/>
      <w:bookmarkStart w:id="75" w:name="_Toc15203"/>
      <w:bookmarkStart w:id="76" w:name="_Toc90742390"/>
      <w:bookmarkStart w:id="77" w:name="_Toc16265"/>
      <w:bookmarkStart w:id="78" w:name="_Toc27226"/>
      <w:bookmarkStart w:id="79" w:name="_Toc1459"/>
      <w:bookmarkStart w:id="80" w:name="_Toc29948"/>
      <w:bookmarkStart w:id="81" w:name="_Toc3266"/>
      <w:bookmarkStart w:id="82" w:name="_Toc29784"/>
      <w:bookmarkStart w:id="83" w:name="_Toc27189"/>
      <w:bookmarkStart w:id="84" w:name="_Toc90742321"/>
      <w:bookmarkStart w:id="85" w:name="_Toc7151"/>
      <w:bookmarkStart w:id="86" w:name="_Toc90742688"/>
      <w:bookmarkStart w:id="87" w:name="_Toc22074"/>
      <w:r>
        <w:rPr>
          <w:rFonts w:hint="eastAsia" w:hAnsi="宋体" w:cs="宋体"/>
          <w:color w:val="auto"/>
          <w:sz w:val="30"/>
          <w:szCs w:val="30"/>
          <w:highlight w:val="none"/>
        </w:rPr>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80" w:firstLineChars="200"/>
        <w:rPr>
          <w:rFonts w:ascii="宋体" w:hAnsi="宋体" w:cs="宋体"/>
          <w:bCs/>
          <w:color w:val="auto"/>
          <w:kern w:val="44"/>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一、基金份额的发售时间、发售方式、发售对象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1、发售时间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自基金份额发售之日起最长不得超过3个月，具体发售时间见基金份额发售公告。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2、发售方式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通过各销售机构的基金销售网点公开发售，各销售机构的具体名单见基金份额发售公告以及基金管理人届时发布的调整销售机构的相关公告或基金管理人官网的公示。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3、发售对象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符合法律法规规定的可投资于证券投资基金的个人投资者、机构投资者、发起资金提供方、合格境外机构投资者和人民币合格境外机构投资者及法律法规或中国证监会允许购买证券投资基金的其他投资人。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二、基金份额的认购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1、认购费用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本基金的认购费率由基金管理人决定，并在招募说明书及基金产品资料概要中列示。基金认购费用不列入基金财产。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2、募集期利息的处理方式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有效认购款项在募集期间产生的利息将折算为基金份额归基金份额持有人所有，其中利息转份额的数额以登记机构的记录为准。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3、基金认购份额的计算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基金认购份额具体的计算方法在招募说明书中列示。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4、认购份额余额的处理方式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认购份额</w:t>
      </w:r>
      <w:bookmarkStart w:id="88" w:name="OLE_LINK1"/>
      <w:r>
        <w:rPr>
          <w:rFonts w:hint="eastAsia" w:ascii="宋体" w:hAnsi="宋体" w:cs="宋体"/>
          <w:bCs/>
          <w:color w:val="auto"/>
          <w:sz w:val="24"/>
          <w:szCs w:val="24"/>
          <w:highlight w:val="none"/>
        </w:rPr>
        <w:t>的计算</w:t>
      </w:r>
      <w:bookmarkEnd w:id="88"/>
      <w:r>
        <w:rPr>
          <w:rFonts w:hint="eastAsia" w:ascii="宋体" w:hAnsi="宋体" w:cs="宋体"/>
          <w:bCs/>
          <w:color w:val="auto"/>
          <w:sz w:val="24"/>
          <w:szCs w:val="24"/>
          <w:highlight w:val="none"/>
        </w:rPr>
        <w:t>保留到小数点后2位，小数点2位以后的部分四舍五入，由此误差产生的收益或损失由基金财产承担。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5、认购申请的确认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三、基金份额认购金额及比例的限制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1、投资人认购时，需按销售机构规定的方式全额缴款。</w:t>
      </w:r>
      <w:r>
        <w:rPr>
          <w:rFonts w:hint="eastAsia" w:ascii="宋体" w:hAnsi="宋体" w:cs="宋体"/>
          <w:bCs/>
          <w:color w:val="auto"/>
          <w:sz w:val="24"/>
          <w:szCs w:val="24"/>
          <w:highlight w:val="none"/>
          <w:shd w:val="clear" w:color="auto" w:fill="FFFFFF"/>
        </w:rPr>
        <w:t>投资人在基金募集期内可以多次认购基金份额，认购费用按每笔认购申请单独计算。认购申请一经受理不得撤销。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2、基金管理人可以对每个基金交易账户的单笔最低认购金额进行限制，具体限制请参看招募说明书或相关公告。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3、基金管理人可以对募集期间的单个投资人的累计认购金额及所持基金份额比例进行限制，具体限制和处理方法请参看招募说明书</w:t>
      </w:r>
      <w:r>
        <w:rPr>
          <w:rFonts w:hint="eastAsia" w:ascii="宋体" w:hAnsi="宋体" w:cs="宋体"/>
          <w:bCs/>
          <w:color w:val="auto"/>
          <w:sz w:val="24"/>
          <w:szCs w:val="24"/>
          <w:highlight w:val="none"/>
          <w:shd w:val="clear" w:color="auto" w:fill="FFFFFF"/>
        </w:rPr>
        <w:t>或相关公告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基金管理人可以对募集期间的本基金募集规模设置上限。募集期内超过募集规模上限时，基金管理人可以采用比例确认或其他方式进行确认，具体办法请参看基金份额发售公告或其他相关公告。</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投资人在募集期内可以多次认购基金份额，认购费用按每笔认购申请单独计算，但已受理的认购申请不得撤销。</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5、如果本基金单一投资人（基金管理人或其高级管理人员、</w:t>
      </w:r>
      <w:r>
        <w:rPr>
          <w:rFonts w:hint="eastAsia" w:ascii="宋体" w:hAnsi="宋体" w:cs="宋体"/>
          <w:bCs/>
          <w:color w:val="auto"/>
          <w:sz w:val="24"/>
          <w:szCs w:val="24"/>
          <w:highlight w:val="none"/>
        </w:rPr>
        <w:t>基金管理人股东、</w:t>
      </w:r>
      <w:r>
        <w:rPr>
          <w:rFonts w:hint="eastAsia" w:ascii="宋体" w:hAnsi="宋体" w:cs="宋体"/>
          <w:bCs/>
          <w:color w:val="auto"/>
          <w:sz w:val="24"/>
          <w:szCs w:val="24"/>
          <w:highlight w:val="none"/>
          <w:shd w:val="clear" w:color="auto" w:fill="FFFFFF"/>
        </w:rPr>
        <w:t>基金经理等人员作为发起资金提供方除外）累计认购的基金份额数达到或者超过基金总份额的50%，基金管理人有权对该投资人的认购申请进行限制。基金管理人接受某笔或者某些认购申请有可能导致单一投资人持有基金份额的比例达到或者超过50%，或者变相规避前述50%比例要求的，基金管理人有权拒绝该等全部或者部分认购申请。投资人认购的基金份额数以基金合同生效后登记机构的确认结果为准。</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四、</w:t>
      </w:r>
      <w:r>
        <w:rPr>
          <w:rFonts w:hint="eastAsia" w:ascii="宋体" w:hAnsi="宋体" w:cs="宋体"/>
          <w:bCs/>
          <w:color w:val="auto"/>
          <w:sz w:val="24"/>
          <w:szCs w:val="22"/>
          <w:highlight w:val="none"/>
          <w:lang w:bidi="ar"/>
        </w:rPr>
        <w:t>发起资金的认购</w:t>
      </w:r>
    </w:p>
    <w:p>
      <w:pPr>
        <w:spacing w:line="360" w:lineRule="auto"/>
        <w:ind w:firstLine="480" w:firstLineChars="200"/>
        <w:rPr>
          <w:rFonts w:ascii="宋体" w:hAnsi="宋体" w:cs="宋体"/>
          <w:bCs/>
          <w:color w:val="auto"/>
          <w:sz w:val="24"/>
          <w:szCs w:val="22"/>
          <w:highlight w:val="none"/>
          <w:lang w:bidi="ar"/>
        </w:rPr>
      </w:pPr>
      <w:r>
        <w:rPr>
          <w:rFonts w:hint="eastAsia" w:ascii="宋体" w:hAnsi="宋体" w:cs="宋体"/>
          <w:bCs/>
          <w:color w:val="auto"/>
          <w:sz w:val="24"/>
          <w:szCs w:val="22"/>
          <w:highlight w:val="none"/>
          <w:lang w:bidi="ar"/>
        </w:rPr>
        <w:t>本基金发起资金提供方运用发起资金认购本基金的金额不少于1000万元，且发起资金认购的基金份额持有期限自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起不少于3年，法律法规或中国证监会另有规定的除外。</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2"/>
          <w:highlight w:val="none"/>
          <w:lang w:bidi="ar"/>
        </w:rPr>
        <w:t>本基金发起资金的认购情况见基金管理人届时发布的公告。</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89" w:name="_Toc18526"/>
      <w:bookmarkStart w:id="90" w:name="_Toc17912"/>
      <w:bookmarkStart w:id="91" w:name="_Toc4741"/>
      <w:bookmarkStart w:id="92" w:name="_Toc18797"/>
      <w:bookmarkStart w:id="93" w:name="_Toc6888"/>
      <w:bookmarkStart w:id="94" w:name="_Toc26986"/>
      <w:bookmarkStart w:id="95" w:name="_Toc6559"/>
      <w:bookmarkStart w:id="96" w:name="_Toc18329"/>
      <w:bookmarkStart w:id="97" w:name="_Toc1823"/>
      <w:bookmarkStart w:id="98" w:name="_Toc141703885"/>
      <w:bookmarkStart w:id="99" w:name="_Toc14893"/>
      <w:bookmarkStart w:id="100" w:name="_Toc139991735"/>
      <w:bookmarkStart w:id="101" w:name="_Toc21988"/>
      <w:bookmarkStart w:id="102" w:name="_Toc7848"/>
      <w:r>
        <w:rPr>
          <w:rFonts w:hint="eastAsia" w:hAnsi="宋体" w:cs="宋体"/>
          <w:color w:val="auto"/>
          <w:sz w:val="30"/>
          <w:szCs w:val="30"/>
          <w:highlight w:val="none"/>
        </w:rPr>
        <w:t>第五部分  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54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一、基金备案的条件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2"/>
          <w:highlight w:val="none"/>
        </w:rPr>
        <w:t>本基金自基金份额发售之日起3个月内</w:t>
      </w:r>
      <w:r>
        <w:rPr>
          <w:rFonts w:hint="eastAsia" w:ascii="宋体" w:hAnsi="宋体" w:cs="宋体"/>
          <w:bCs/>
          <w:color w:val="auto"/>
          <w:sz w:val="24"/>
          <w:highlight w:val="none"/>
        </w:rPr>
        <w:t>，在基金募集金额不少于1000万元人民币（其中</w:t>
      </w:r>
      <w:r>
        <w:rPr>
          <w:rFonts w:hint="eastAsia" w:ascii="宋体" w:hAnsi="宋体" w:cs="宋体"/>
          <w:bCs/>
          <w:color w:val="auto"/>
          <w:sz w:val="24"/>
          <w:szCs w:val="22"/>
          <w:highlight w:val="none"/>
          <w:lang w:bidi="ar"/>
        </w:rPr>
        <w:t>发起资金提供方认购本基金的总金额不少于1000万元且承诺发起资金认购的基金份额持有期限自</w:t>
      </w:r>
      <w:r>
        <w:rPr>
          <w:rFonts w:ascii="宋体" w:hAnsi="宋体"/>
          <w:color w:val="auto"/>
          <w:sz w:val="24"/>
          <w:szCs w:val="24"/>
          <w:highlight w:val="none"/>
        </w:rPr>
        <w:t>基金合同生效之日</w:t>
      </w:r>
      <w:r>
        <w:rPr>
          <w:rFonts w:hint="eastAsia" w:ascii="宋体" w:hAnsi="宋体" w:cs="宋体"/>
          <w:bCs/>
          <w:color w:val="auto"/>
          <w:sz w:val="24"/>
          <w:szCs w:val="22"/>
          <w:highlight w:val="none"/>
          <w:lang w:bidi="ar"/>
        </w:rPr>
        <w:t>起不少于3年</w:t>
      </w:r>
      <w:r>
        <w:rPr>
          <w:rFonts w:hint="eastAsia" w:ascii="宋体" w:hAnsi="宋体" w:cs="宋体"/>
          <w:bCs/>
          <w:color w:val="auto"/>
          <w:sz w:val="24"/>
          <w:highlight w:val="none"/>
        </w:rPr>
        <w:t>）</w:t>
      </w:r>
      <w:r>
        <w:rPr>
          <w:rFonts w:hint="eastAsia" w:ascii="宋体" w:hAnsi="宋体" w:cs="宋体"/>
          <w:bCs/>
          <w:color w:val="auto"/>
          <w:sz w:val="24"/>
          <w:szCs w:val="22"/>
          <w:highlight w:val="none"/>
          <w:lang w:bidi="ar"/>
        </w:rPr>
        <w:t>的条件下，基金募集期届满或基金管理人依据法律法规及招募说明书可以决定停止基金发售，并在10日内聘请法定验资机构验资，验资报告需对发起资金提供方及其持有份额进行专门说明，</w:t>
      </w:r>
      <w:r>
        <w:rPr>
          <w:rFonts w:hint="eastAsia" w:ascii="宋体" w:hAnsi="宋体" w:cs="宋体"/>
          <w:bCs/>
          <w:color w:val="auto"/>
          <w:sz w:val="24"/>
          <w:highlight w:val="none"/>
        </w:rPr>
        <w:t>自收到验资报告之日起10日内，向中国证监会办理基金备案手续。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二、基金合同不能生效时募集资金的处理方式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如果募集期限届满，未满足基金备案条件，基金管理人应当承担下列责任：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1、以其固有财产承担因募集行为而产生的债务和费用。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2、在基金募集期限届满后30日内返还投资者已缴纳的款项，并加计银行同期活期存款利息。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3、如基金募集失败，基金管理人、基金托管人及销售机构不得请求报酬。基金管理人、基金托管人和销售机构为基金募集支付之一切费用应由各方各自承担。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三、基金存续期内的基金份额持有人数量和资产规模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《基金合同》生效满3年后的对应日</w:t>
      </w:r>
      <w:r>
        <w:rPr>
          <w:rStyle w:val="49"/>
          <w:rFonts w:hint="default"/>
          <w:color w:val="auto"/>
          <w:highlight w:val="none"/>
        </w:rPr>
        <w:t>（若无对应日则顺延至下一日）</w:t>
      </w:r>
      <w:r>
        <w:rPr>
          <w:rFonts w:hint="eastAsia" w:ascii="宋体" w:hAnsi="宋体" w:cs="宋体"/>
          <w:bCs/>
          <w:color w:val="auto"/>
          <w:sz w:val="24"/>
          <w:szCs w:val="24"/>
          <w:highlight w:val="none"/>
        </w:rPr>
        <w:t>，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法律法规或中国证监会另有规定时，从其规定。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103" w:name="_Toc98560352"/>
      <w:bookmarkStart w:id="104" w:name="_Toc141703886"/>
      <w:bookmarkStart w:id="105" w:name="_Toc79392606"/>
      <w:bookmarkStart w:id="106" w:name="_Toc123051452"/>
      <w:bookmarkStart w:id="107" w:name="_Toc7920"/>
      <w:bookmarkStart w:id="108" w:name="_Toc123102453"/>
      <w:bookmarkStart w:id="109" w:name="_Toc1270"/>
      <w:bookmarkStart w:id="110" w:name="_Toc123112234"/>
      <w:bookmarkStart w:id="111" w:name="_Toc23822"/>
      <w:bookmarkStart w:id="112" w:name="_Toc2221"/>
      <w:bookmarkStart w:id="113" w:name="_Toc4003"/>
      <w:bookmarkStart w:id="114" w:name="_Toc48649707"/>
      <w:bookmarkStart w:id="115" w:name="_Toc11081"/>
      <w:bookmarkStart w:id="116" w:name="_Toc610"/>
      <w:bookmarkStart w:id="117" w:name="_Toc1427"/>
      <w:bookmarkStart w:id="118" w:name="_Toc23261"/>
      <w:bookmarkStart w:id="119" w:name="_Toc20733"/>
      <w:bookmarkStart w:id="120" w:name="_Toc17244"/>
      <w:bookmarkStart w:id="121" w:name="_Toc139991736"/>
      <w:bookmarkStart w:id="122" w:name="_Toc10463"/>
      <w:r>
        <w:rPr>
          <w:rFonts w:hint="eastAsia" w:hAnsi="宋体" w:cs="宋体"/>
          <w:color w:val="auto"/>
          <w:sz w:val="30"/>
          <w:szCs w:val="30"/>
          <w:highlight w:val="none"/>
        </w:rPr>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54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一、申购和赎回场所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申购与赎回将通过销售机构进行。具体的销售机构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二、申购和赎回的开放日及时间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1、开放日及开放时间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年12月31日次日（即</w:t>
      </w:r>
      <w:r>
        <w:rPr>
          <w:rFonts w:hint="eastAsia" w:ascii="宋体" w:hAnsi="宋体" w:cs="宋体"/>
          <w:bCs/>
          <w:color w:val="auto"/>
          <w:sz w:val="24"/>
          <w:szCs w:val="24"/>
          <w:highlight w:val="none"/>
          <w:lang w:eastAsia="zh-CN"/>
        </w:rPr>
        <w:t>2056</w:t>
      </w:r>
      <w:r>
        <w:rPr>
          <w:rFonts w:hint="eastAsia" w:ascii="宋体" w:hAnsi="宋体" w:cs="宋体"/>
          <w:bCs/>
          <w:color w:val="auto"/>
          <w:sz w:val="24"/>
          <w:szCs w:val="24"/>
          <w:highlight w:val="none"/>
        </w:rPr>
        <w:t>年1月1日），在不违反届时有效的法律法规或监管规定的情况下，本基金将转型为“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在开放日办理基金份额的申购和/或赎回。如果投资人多次申购本基金，则其持有的每一份基金份额的赎回开放的时间可能不同。申购和赎回的具体办理时间为上海证券交易所、深圳证券交易所的正常交易日的交易时间（若本基金参与港股通交易且该工作日为非港股通交易日时，则基金管理人可根据实际情况决定本基金是否开放申购、赎回及转换业务），但基金管理人根据法律法规、中国证监会的要求或本基金合同的规定公告暂停申购、赎回时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2、申购、赎回开始日及业务办理时间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基金管理人可根据实际情况依法决定本基金开始办理申购的具体日期，具体业务办理时间在相关公告中规定。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在目标日期到达前即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前（含该日），本基金每笔份额的最短持有期为3年，在基金份额的最短持有期到期日之前（含最短持有期到期日当日），投资者不能提出赎回申请，自每份基金份额的最短持有期到期日的下一个工作日（含该日）起投资者可提出赎回申请。具体业务办理时间在相关公告中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基金管理人将根据转型后基金合同的约定在开放日办理基金份额的申购和赎回，具体业务办理时间在招募说明书或相关公告中载明。在确定申购开始与赎回开始时间后，基金管理人应在申购、赎回开放日前依照《信息披露办法》的有关规定在规定媒介上公告申购与赎回的开始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但对于尚未满足最短持有期要求的基金份额，投资人在基金合同约定之外的日期和时间提出赎回或者转换转出申请的，视为无效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三、申购与赎回的原则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1、“未知价”原则，即申购、赎回价格以申请当日收市后计算的基金份额净值为基准进行计算；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2、“金额申购、份额赎回”原则，即申购以金额申请，赎回以份额申请；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3、当日的申购与赎回申请可以在基金管理人规定的时间以内撤销；</w:t>
      </w:r>
      <w:r>
        <w:rPr>
          <w:rStyle w:val="49"/>
          <w:rFonts w:hint="default"/>
          <w:color w:val="auto"/>
          <w:highlight w:val="none"/>
        </w:rPr>
        <w:t>在当日业务办理时间结束后不得撤销；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4、赎回遵循“先进先出”原则，即按照投资人认购、申购的先后次序进行顺序赎回；</w:t>
      </w:r>
    </w:p>
    <w:p>
      <w:pPr>
        <w:spacing w:line="360" w:lineRule="auto"/>
        <w:ind w:firstLine="480" w:firstLineChars="200"/>
        <w:rPr>
          <w:rFonts w:hint="eastAsia" w:ascii="宋体" w:hAnsi="宋体" w:eastAsia="宋体" w:cs="宋体"/>
          <w:b/>
          <w:color w:val="auto"/>
          <w:sz w:val="24"/>
          <w:szCs w:val="24"/>
          <w:highlight w:val="none"/>
          <w:u w:val="single"/>
          <w:lang w:eastAsia="zh-CN"/>
        </w:rPr>
      </w:pPr>
      <w:r>
        <w:rPr>
          <w:rFonts w:hint="eastAsia" w:ascii="宋体" w:hAnsi="宋体" w:cs="宋体"/>
          <w:bCs/>
          <w:color w:val="auto"/>
          <w:sz w:val="24"/>
          <w:szCs w:val="24"/>
          <w:highlight w:val="none"/>
        </w:rPr>
        <w:t>5、办理申购、赎回业务时，应当遵循基金份额持有人利益优先原则，确保投资者的合法权益不受损害并得到公平对待</w:t>
      </w:r>
      <w:r>
        <w:rPr>
          <w:rFonts w:hint="eastAsia" w:ascii="宋体" w:hAnsi="宋体" w:cs="宋体"/>
          <w:bCs/>
          <w:color w:val="auto"/>
          <w:sz w:val="24"/>
          <w:szCs w:val="24"/>
          <w:highlight w:val="none"/>
          <w:lang w:eastAsia="zh-CN"/>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shd w:val="clear" w:color="auto" w:fill="FFFFFF"/>
        </w:rPr>
        <w:t>投资者办理申购、赎回等业务时应提交的文件和办理手续、办理时间、处理规则等在遵守基金合同和招募说明书规定的前提下，以各销售机构的具体规定为准。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四、申购与赎回的程序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1、申购和赎回的申请方式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投资人必须根据销售机构规定的程序，在开放日的具体业务办理时间内提出申购或赎回的申请。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2、申购和赎回的款项支付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zh-CN"/>
        </w:rPr>
        <w:t>投资人申购基金份额时，必须在规定时间内全额交付申购款项，投资人全额交付申购款项，申购成立；基金份额登记机构确认基金份额时，申购生效。若资金在规定时间内未全额到账则申购不成立，申购款项将退回投资人账户，基金管理人、基金托管人和销售机构等不承担由此产生的利息等任何损失。</w:t>
      </w:r>
    </w:p>
    <w:p>
      <w:pPr>
        <w:spacing w:line="360" w:lineRule="auto"/>
        <w:ind w:firstLine="480" w:firstLineChars="200"/>
        <w:rPr>
          <w:rFonts w:ascii="宋体" w:hAnsi="宋体" w:cs="宋体"/>
          <w:bCs/>
          <w:color w:val="auto"/>
          <w:sz w:val="24"/>
          <w:szCs w:val="24"/>
          <w:highlight w:val="none"/>
        </w:rPr>
      </w:pPr>
      <w:r>
        <w:rPr>
          <w:rStyle w:val="49"/>
          <w:rFonts w:hint="default"/>
          <w:color w:val="auto"/>
          <w:highlight w:val="none"/>
        </w:rPr>
        <w:t>基金份额持有人递交赎回申请，必须持有足够的基金份额余额，否则所提交的赎回申请不成立。</w:t>
      </w:r>
      <w:r>
        <w:rPr>
          <w:rFonts w:hint="eastAsia" w:ascii="宋体" w:hAnsi="宋体" w:cs="宋体"/>
          <w:bCs/>
          <w:color w:val="auto"/>
          <w:sz w:val="24"/>
          <w:szCs w:val="24"/>
          <w:highlight w:val="none"/>
        </w:rPr>
        <w:t>基金份额持有人</w:t>
      </w:r>
      <w:r>
        <w:rPr>
          <w:rStyle w:val="49"/>
          <w:rFonts w:hint="default"/>
          <w:color w:val="auto"/>
          <w:highlight w:val="none"/>
        </w:rPr>
        <w:t>在规定的时间内</w:t>
      </w:r>
      <w:r>
        <w:rPr>
          <w:rFonts w:hint="eastAsia" w:ascii="宋体" w:hAnsi="宋体" w:cs="宋体"/>
          <w:bCs/>
          <w:color w:val="auto"/>
          <w:sz w:val="24"/>
          <w:szCs w:val="24"/>
          <w:highlight w:val="none"/>
        </w:rPr>
        <w:t>递交赎回申请，赎回成立；基金份额登记机构确认赎回时，赎回生效。投资者赎回申请生效后，基金管理人将在T＋10日（包括该日）内支付赎回款项。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遇交易所或交易市场数据传输延迟、通讯系统故障、银行数据交换系统故障、港股通交易系统或港股通资金交收规则限制或其他非基金管理人及基金托管人所能控制的因素影响业务处理流程，则赎回款顺延至上述情形消除后的下一个工作日划出。在发生巨额赎回或本基金合同载明的延缓支付赎回款项的情形时，款项的支付办法参照本基金合同有关条款处理。基金管理人可以在法律法规允许的范围内，对上述业务办理时间进行调整，并按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3、申购和赎回申请的确认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以交易时间结束前受理有效申购和赎回申请的当天作为申购或赎回申请日（T日），在正常情况下，本基金登记机构在T+3日内对该交易的有效性进行确认。T日提交的有效申请，投资人应在T+4日后（包括该日）到销售网点柜台或以销售机构规定的其他方式查询申请的确认情况。若申购不成功，则申购款项（无利息）退还给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销售机构对申购、赎回申请的受理并不代表该申请一定生效，而仅代表销售机构确实接收到申购、赎回申请。申购与赎回申请的确认以登记机构的确认结果为准。对于申购、赎回申请及申购、赎回份额的确认情况，投资者应及时查询。</w:t>
      </w:r>
      <w:r>
        <w:rPr>
          <w:rStyle w:val="49"/>
          <w:rFonts w:hint="default"/>
          <w:color w:val="auto"/>
          <w:highlight w:val="none"/>
        </w:rPr>
        <w:t>因投资人怠于履行该项查询等各项义务，致使其相关权益受损的，基金管理人、基金托管人、基金销售机构不承担由此造成的损失或不利后果。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如未来法律法规或监管机构对上述内容另有规定，从其规定。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在法律法规允许的范围内，基金管理人或登记机构可根据相关业务规则，对上述业务办理时间进行调整，本基金管理人将于调整实施前按照有关规定予以公告。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五、申购和赎回的数量限制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1、基金管理人可以规定投资人首次申购和每次申购的最低金额以及每次赎回的最低份额，具体规定请参见招募说明书或相关公告。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2、基金管理人可以规定投资人每个基金交易账户的最低基金份额余额，具体规定请参见招募说明书或相关公告。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3、基金管理人可以规定单个投资人累计持有的基金份额上限，具体规定请参见招募说明书或相关公告。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4、基金管理人可以规定本基金的总规模限额、单日累计申购金额/净申购金额上限、单个账户单日累计申购金额/净申购金额上限、单笔申购金额上限，具体规定请参见招募说明书或相关公告。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6、基金管理人可在法律法规允许的情况下，调整上述规定申购金额和赎回份额等数量限制。基金管理人必须在调整实施前依照《信息披露办法》的有关规定在规定媒介上公告。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六、申购和赎回的价格、费用及其用途</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1、本基金份额净值的计算，保留到小数点后4位，小数点后第5位四舍五入，由此产生的收益或损失由基金财产承担。T日的基金份额净值在T+2日内计算，并按基金合同的约定公告。遇特殊情况，经履行适当程序，可以适当延迟计算或公告。</w:t>
      </w:r>
      <w:r>
        <w:rPr>
          <w:rFonts w:hint="eastAsia" w:ascii="宋体" w:hAnsi="宋体" w:cs="宋体"/>
          <w:bCs/>
          <w:color w:val="auto"/>
          <w:sz w:val="24"/>
          <w:szCs w:val="24"/>
          <w:highlight w:val="none"/>
          <w:shd w:val="clear" w:color="auto" w:fill="FFFFFF"/>
        </w:rPr>
        <w:t>为保护基金份额持有人利益，基金管理人与基金托管人协商一致，可阶段性调整基金份额净值计算精度并进行相应公告，无需召开基金份额持有人大会审议。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2、申购份额的计算及余额的处理方式：本基金申购份额的计算及余额的处理方式详见《招募说明书》。</w:t>
      </w:r>
      <w:r>
        <w:rPr>
          <w:rFonts w:hint="eastAsia" w:ascii="宋体" w:hAnsi="宋体" w:cs="宋体"/>
          <w:bCs/>
          <w:color w:val="auto"/>
          <w:sz w:val="24"/>
          <w:szCs w:val="24"/>
          <w:highlight w:val="none"/>
          <w:shd w:val="clear" w:color="auto" w:fill="FFFFFF"/>
        </w:rPr>
        <w:t>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本基金申购费用由投资人承担，不列入基金财产。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运用本基金财产申购自身管理的其他基金的（ETF除外），应当通过直销渠道申购且基金管理人不得收取申购费、赎回费（按照相关法规、基金招募说明书约定应当收取，并记入基金财产的赎回费用除外）、销售服务费等销售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9、</w:t>
      </w:r>
      <w:r>
        <w:rPr>
          <w:rFonts w:hint="eastAsia" w:ascii="宋体" w:hAnsi="宋体" w:cs="宋体"/>
          <w:bCs/>
          <w:color w:val="auto"/>
          <w:sz w:val="24"/>
          <w:szCs w:val="24"/>
          <w:highlight w:val="none"/>
          <w:shd w:val="clear" w:color="auto" w:fill="FFFFFF"/>
        </w:rPr>
        <w:t>基金管理人可以在不违反法律法规规定、基金合同约定和对存量基金份额持有人利益无实质性不利影响的情形下根据市场情况制定基金促销计划，定期或不定期地开展基金促销活动。在基金促销活动期间，对基金份额持有人利益无实质性不利影响的情况下，按中国证监会要求履行必要手续后，基金管理人可以适当调低基金申购费率、赎回费率。</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10、法律法规或监管部门另有规定的，从其规定。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七、拒绝或暂停申购的情形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发生下列情况时，基金管理人可拒绝或暂停接受投资人的申购申请：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1、因不可抗力导致基金无法正常运作或者因不可抗力导致基金管理人无法接受投资人的申购申请。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2、发生基金合同规定的暂停基金资产估值情况时</w:t>
      </w:r>
      <w:r>
        <w:rPr>
          <w:rStyle w:val="49"/>
          <w:rFonts w:hint="default"/>
          <w:color w:val="auto"/>
          <w:highlight w:val="none"/>
        </w:rPr>
        <w:t>，基金管理人可暂停接受投资者的申购申请</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证券交易所或银行间债券交易市场交易时间</w:t>
      </w:r>
      <w:r>
        <w:rPr>
          <w:rFonts w:hint="eastAsia" w:ascii="宋体" w:hAnsi="宋体" w:cs="宋体"/>
          <w:bCs/>
          <w:color w:val="auto"/>
          <w:sz w:val="24"/>
          <w:szCs w:val="24"/>
          <w:highlight w:val="none"/>
        </w:rPr>
        <w:t>非正常停市，导致基金管理人无法计算当日基金资产净值。</w:t>
      </w:r>
    </w:p>
    <w:p>
      <w:pPr>
        <w:spacing w:line="360" w:lineRule="auto"/>
        <w:ind w:firstLine="480" w:firstLineChars="200"/>
        <w:rPr>
          <w:rFonts w:ascii="宋体" w:hAnsi="宋体" w:cs="宋体"/>
          <w:bCs/>
          <w:color w:val="auto"/>
          <w:sz w:val="24"/>
          <w:szCs w:val="24"/>
          <w:highlight w:val="none"/>
        </w:rPr>
      </w:pPr>
      <w:bookmarkStart w:id="123" w:name="_Hlt70481650"/>
      <w:bookmarkEnd w:id="123"/>
      <w:r>
        <w:rPr>
          <w:rFonts w:hint="eastAsia" w:ascii="宋体" w:hAnsi="宋体" w:cs="宋体"/>
          <w:bCs/>
          <w:color w:val="auto"/>
          <w:sz w:val="24"/>
          <w:szCs w:val="24"/>
          <w:highlight w:val="none"/>
        </w:rPr>
        <w:t>4、</w:t>
      </w:r>
      <w:r>
        <w:rPr>
          <w:rFonts w:hint="eastAsia" w:ascii="宋体" w:hAnsi="宋体" w:cs="宋体"/>
          <w:bCs/>
          <w:color w:val="auto"/>
          <w:sz w:val="24"/>
          <w:szCs w:val="24"/>
          <w:highlight w:val="none"/>
          <w:shd w:val="clear" w:color="auto" w:fill="FFFFFF"/>
        </w:rPr>
        <w:t>基金管理人接受某笔或某些申购申请可能会影响或损害现有基金份额持有人利益或对存量基金份额持有人利益构成潜在重大不利影响时。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5、基金资产规模过大，使基金管理人无法找到合适的投资品种，或其他可能对基金业绩产生负面影响，或发生其他损害现有基金份额持有人利益的情形。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6、基金管理人基于投资运作与风险控制的需要认为应当拒绝大额申购或暂停申购时。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8、基金管理人接受某笔或者某些申购申请有可能导致单一投资者持有基金份额的比例达到或者超过50%，或者变相规避50%集中度的情形，基金管理人使用固有资金、公司高级管理人员</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基金管理人股东及基金经理等人员出资认购的基金份额超过基金总份额50%的情形除外。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9、基金管理人、基金托管人、基金销售机构或登记机构的技术故障等异常情况导致基金销售系统、基金销售支付结算系统、基金登记系统或基金会计系统无法正常运行。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10、占相当比例的被投资基金拒绝或暂停申购、暂停上市或二级市场交易停牌时。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shd w:val="clear" w:color="auto" w:fill="FFFFFF"/>
        </w:rPr>
        <w:t>当一笔新的申购申请被确认成功，使本基金总规模超过基金管理人规定的本基金总规模上限时；或使本基金单日申购金额或净申购比例超过基金管理人规定的当日申购金额或净申购比例上限时；或该投资人当日申购金额超过单个投资人单日或单笔申购金额上限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12、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13、法律法规规定或中国证监会认定的其他情形。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上述第1、2、3、5、6、7、9、10、12、13项暂停申购情形之一且基金管理人决定暂停接受投资人申购申请时，基金管理人应当根据有关规定在规定媒介上刊登暂停申购公告。发生上述第4、8、11项情形时，基金管理人可以采取比例确认等方式对该投资人的申购申请进行限制，基金管理人有权拒绝该等全部或者部分申购申请。如果投资人的申购申请被全部或部分拒绝，被拒绝的申购款项将退还给投资人。在暂停申购的情况消除时，基金管理人应及时恢复申购业务的办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八、暂停赎回或延缓支付赎回款项的情形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发生下列情形时，基金管理人可暂停接受投资人的赎回申请或延缓支付赎回款项：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1、因不可抗力导致基金管理人不能支付赎回款项。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2、发生基金合同规定的暂停基金资产估值情况时。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3、证券交易所或外汇市场交易时间非正常停市或休市、港股通临时停市，导致基金管理人无法计算当日基金资产净值。</w:t>
      </w:r>
      <w:bookmarkStart w:id="124" w:name="_Hlt15250089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4、连续两个或两个以上开放日发生巨额赎回。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5、发生继续接受赎回申请将损害现有基金份额持有人利益的情形时，基金管理人可暂停接受基金份额持有人的赎回申请。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7、占相当比例的被投资基金拒绝或暂停赎回、暂停上市或二级市场交易停牌、延期办理赎回、延期支付赎回款项时。</w:t>
      </w:r>
    </w:p>
    <w:bookmarkEnd w:id="124"/>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8、法律法规规定或中国证监会认定的其他情形。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生上述情形（第4项除外）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若出现上述第4项所述情形，按基金合同的相关条款处理。在暂停赎回的情况消除时，基金管理人应及时恢复赎回业务的办理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九、巨额赎回的情形及处理方式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1、巨额赎回的认定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2、巨额赎回的处理方式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当基金出现巨额赎回时，基金管理人可以根据基金当时的资产组合状况决定全额赎回或部分延期赎回或暂停赎回。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（1）全额赎回：当基金管理人认为有能力支付投资人的全部赎回申请时，按正常赎回程序执行。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以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若基金发生巨额赎回，基金管理人决定进行延期办理的情形下，对于单个基金份额持有人当日赎回申请超过上一开放日基金总份额10%以上的部分，基金管理人有权先行对该单个基金份额持有人超出10%的赎回申请实施延期办理，延期的赎回申请与下一开放日赎回申请一并处理，无优先权并以下一开放日的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1）全额赎回”或“（2）部分延期赎回”的约定方式与其他基金份额持有人的赎回申请一并办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3、巨额赎回的公告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当发生上述巨额赎回并延期办理时，基金管理人应当通过邮寄、传真或者招募说明书规定的其他方式在3个交易日内通知基金份额持有人，说明有关处理方法，并按相关规定在规定媒介上刊登公告。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十、暂停申购或赎回的公告和重新开放申购或赎回的公告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1、发生上述暂停申购或赎回情况的，基金管理人应在规定期限内在规定媒介上刊登暂停公告。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2、上述暂停申购或赎回情况消除的，基金管理人应根据暂停申购或赎回的具体情形，于重新开放日公布最近1个估值日的基金份额净值。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十一、基金转换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十二、基金的非交易过户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w:t>
      </w:r>
      <w:r>
        <w:rPr>
          <w:rFonts w:hint="eastAsia" w:ascii="宋体" w:hAnsi="宋体" w:cs="宋体"/>
          <w:bCs/>
          <w:color w:val="auto"/>
          <w:sz w:val="24"/>
          <w:szCs w:val="24"/>
          <w:highlight w:val="none"/>
        </w:rPr>
        <w:t>非法人</w:t>
      </w:r>
      <w:r>
        <w:rPr>
          <w:rFonts w:hint="eastAsia" w:ascii="宋体" w:hAnsi="宋体" w:cs="宋体"/>
          <w:color w:val="auto"/>
          <w:sz w:val="24"/>
          <w:szCs w:val="24"/>
          <w:highlight w:val="none"/>
        </w:rPr>
        <w:t>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十三、基金的转托管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基金份额持有人可办理已持有基金份额在不同销售机构之间的转托管，基金销售机构可以按照规定的标准收取转托管费。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如果出现基金管理人、登记机构、办理转托管的销售机构因技术系统性能限制或其他合理原因，可以暂停该业务或者拒绝基金份额持有人的转托管申请。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十四、定期定额投资计划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十五、基金份额的冻结和解冻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基金登记机构只受理国家有权机关依法要求的基金份额的冻结与解冻，以及登记机构认可、符合法律法规的其他情况下的冻结与解冻。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基金账户或基金份额被冻结的，被冻结部分产生的权益一并冻结，被冻结部分份额仍然参与收益分配。法律法规或监管机构另有规定的除外。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十六、基金份额的转让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允许且条件具备的情况下，基金管理人在对基金份额持有人利益无实质性不利影响的前提下，履行适当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十七、实施侧袋机制期间本基金的申购与赎回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本基金实施侧袋机制的，本基金的申购和赎回安排详见招募说明书或相关公告。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十八、如相关法律法规允许基金管理人办理基金份额的质押业务或其他基金业务，基金管理人将制定和实施相应的业务规则，并可收取一定的手续费。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十九、基金管理人可在法律法规允许的范围内，在不影响基金份额持有人实质利益的前提下，根据市场情况对上述申购和赎回的安排进行补充和调整并提前公告。</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25" w:name="_Toc139991737"/>
      <w:bookmarkStart w:id="126" w:name="_Toc3601"/>
      <w:bookmarkStart w:id="127" w:name="_Toc123051453"/>
      <w:bookmarkStart w:id="128" w:name="_Toc123102454"/>
      <w:bookmarkStart w:id="129" w:name="_Toc14835"/>
      <w:bookmarkStart w:id="130" w:name="_Toc15143"/>
      <w:bookmarkStart w:id="131" w:name="_Toc10210"/>
      <w:bookmarkStart w:id="132" w:name="_Toc141703887"/>
      <w:bookmarkStart w:id="133" w:name="_Toc31644"/>
      <w:bookmarkStart w:id="134" w:name="_Toc29251"/>
      <w:bookmarkStart w:id="135" w:name="_Toc98560353"/>
      <w:bookmarkStart w:id="136" w:name="_Toc31235"/>
      <w:bookmarkStart w:id="137" w:name="_Toc123112235"/>
      <w:bookmarkStart w:id="138" w:name="_Toc26207"/>
      <w:bookmarkStart w:id="139" w:name="_Toc16859"/>
      <w:bookmarkStart w:id="140" w:name="_Toc12245"/>
      <w:bookmarkStart w:id="141" w:name="_Toc6405"/>
      <w:bookmarkStart w:id="142" w:name="_Toc31653"/>
      <w:r>
        <w:rPr>
          <w:rFonts w:hint="eastAsia" w:hAnsi="宋体" w:cs="宋体"/>
          <w:color w:val="auto"/>
          <w:sz w:val="30"/>
          <w:szCs w:val="30"/>
          <w:highlight w:val="none"/>
        </w:rPr>
        <w:t>第七部分  基金合同当事人及权利义务</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3" w:name="_Hlt55355235"/>
      <w:bookmarkEnd w:id="143"/>
      <w:bookmarkStart w:id="144" w:name="_Toc523711668"/>
      <w:bookmarkStart w:id="145" w:name="_Toc15118234"/>
      <w:bookmarkStart w:id="146" w:name="_Toc57530239"/>
      <w:bookmarkStart w:id="147" w:name="_Toc7939258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w:t>
      </w:r>
      <w:bookmarkEnd w:id="144"/>
      <w:r>
        <w:rPr>
          <w:rFonts w:hint="eastAsia" w:ascii="宋体" w:hAnsi="宋体" w:cs="宋体"/>
          <w:bCs/>
          <w:color w:val="auto"/>
          <w:sz w:val="24"/>
          <w:szCs w:val="24"/>
          <w:highlight w:val="none"/>
        </w:rPr>
        <w:t>管理人</w:t>
      </w:r>
      <w:bookmarkEnd w:id="145"/>
      <w:bookmarkEnd w:id="146"/>
      <w:bookmarkEnd w:id="147"/>
    </w:p>
    <w:p>
      <w:pPr>
        <w:spacing w:line="360" w:lineRule="auto"/>
        <w:ind w:firstLine="480" w:firstLineChars="200"/>
        <w:rPr>
          <w:rFonts w:ascii="宋体" w:hAnsi="宋体" w:cs="宋体"/>
          <w:bCs/>
          <w:color w:val="auto"/>
          <w:sz w:val="24"/>
          <w:szCs w:val="24"/>
          <w:highlight w:val="none"/>
        </w:rPr>
      </w:pPr>
      <w:bookmarkStart w:id="148" w:name="_Toc15118235"/>
      <w:r>
        <w:rPr>
          <w:rFonts w:hint="eastAsia" w:ascii="宋体" w:hAnsi="宋体" w:cs="宋体"/>
          <w:bCs/>
          <w:color w:val="auto"/>
          <w:sz w:val="24"/>
          <w:szCs w:val="24"/>
          <w:highlight w:val="none"/>
        </w:rPr>
        <w:t>（一）基金管理人简况</w:t>
      </w:r>
      <w:bookmarkEnd w:id="148"/>
    </w:p>
    <w:p>
      <w:pPr>
        <w:spacing w:line="360" w:lineRule="auto"/>
        <w:ind w:firstLine="480" w:firstLineChars="200"/>
        <w:rPr>
          <w:rFonts w:ascii="宋体" w:hAnsi="宋体" w:cs="宋体"/>
          <w:bCs/>
          <w:color w:val="auto"/>
          <w:sz w:val="24"/>
          <w:szCs w:val="24"/>
          <w:highlight w:val="none"/>
        </w:rPr>
      </w:pPr>
      <w:bookmarkStart w:id="149" w:name="_Toc15118236"/>
      <w:bookmarkStart w:id="150" w:name="_Toc15118237"/>
      <w:r>
        <w:rPr>
          <w:rFonts w:hint="eastAsia" w:ascii="宋体" w:hAnsi="宋体" w:cs="宋体"/>
          <w:bCs/>
          <w:color w:val="auto"/>
          <w:sz w:val="24"/>
          <w:szCs w:val="24"/>
          <w:highlight w:val="none"/>
        </w:rPr>
        <w:t>名称：</w:t>
      </w:r>
      <w:bookmarkEnd w:id="149"/>
      <w:r>
        <w:rPr>
          <w:rFonts w:hint="eastAsia" w:ascii="宋体" w:hAnsi="宋体" w:cs="宋体"/>
          <w:bCs/>
          <w:color w:val="auto"/>
          <w:sz w:val="24"/>
          <w:szCs w:val="24"/>
          <w:highlight w:val="none"/>
        </w:rPr>
        <w:t>英大基金管理有限公司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住所：北京市朝阳区东三环中路1号环球金融中心西塔22楼2201</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法定代表人：马晓燕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设立日期：2012年8月17日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批准设立机关及批准设立文号：中国证监会证监许可〔2012〕759号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组织形式：有限责任公司（法人独资）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注册资本：11.46亿元人民币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存续期限：持续经营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联系电话：010-57835666、400-890-5288</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（二）基金管理人的权利与义务</w:t>
      </w:r>
      <w:bookmarkEnd w:id="15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（4）销售基金份额；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w:t>
      </w:r>
      <w:bookmarkStart w:id="151" w:name="_Hlt88896155"/>
      <w:r>
        <w:rPr>
          <w:rFonts w:hint="eastAsia" w:ascii="宋体" w:hAnsi="宋体" w:cs="宋体"/>
          <w:bCs/>
          <w:color w:val="auto"/>
          <w:sz w:val="24"/>
          <w:szCs w:val="24"/>
          <w:highlight w:val="none"/>
        </w:rPr>
        <w:t>按照规定召集</w:t>
      </w:r>
      <w:bookmarkEnd w:id="151"/>
      <w:r>
        <w:rPr>
          <w:rFonts w:hint="eastAsia" w:ascii="宋体" w:hAnsi="宋体" w:cs="宋体"/>
          <w:bCs/>
          <w:color w:val="auto"/>
          <w:sz w:val="24"/>
          <w:szCs w:val="24"/>
          <w:highlight w:val="none"/>
        </w:rPr>
        <w:t>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（7）在基金托管人更换时，提名新的基金托管人；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（10）依据《基金合同》及有关法律规定决定基金收益的分配方案；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（11）在《基金合同》约定的范围内，拒绝或暂停受理申购</w:t>
      </w:r>
      <w:r>
        <w:rPr>
          <w:rFonts w:hint="eastAsia" w:ascii="宋体" w:hAnsi="宋体" w:cs="宋体"/>
          <w:color w:val="auto"/>
          <w:sz w:val="24"/>
          <w:szCs w:val="24"/>
          <w:highlight w:val="none"/>
        </w:rPr>
        <w:t>、赎回与转换</w:t>
      </w:r>
      <w:r>
        <w:rPr>
          <w:rFonts w:hint="eastAsia" w:ascii="宋体" w:hAnsi="宋体" w:cs="宋体"/>
          <w:bCs/>
          <w:color w:val="auto"/>
          <w:sz w:val="24"/>
          <w:szCs w:val="24"/>
          <w:highlight w:val="none"/>
        </w:rPr>
        <w:t>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（13）在法律法规允许的前提下，为基金的利益依法为基金进行融资；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（16）在符合有关法律、法规的前提下，制订和调整有关基金认购、申购、赎回、转换</w:t>
      </w:r>
      <w:r>
        <w:rPr>
          <w:rFonts w:hint="eastAsia" w:ascii="宋体" w:hAnsi="宋体" w:cs="宋体"/>
          <w:color w:val="auto"/>
          <w:sz w:val="24"/>
          <w:szCs w:val="24"/>
          <w:highlight w:val="none"/>
        </w:rPr>
        <w:t>、定期定额投资</w:t>
      </w:r>
      <w:r>
        <w:rPr>
          <w:rFonts w:hint="eastAsia" w:ascii="宋体" w:hAnsi="宋体" w:cs="宋体"/>
          <w:bCs/>
          <w:color w:val="auto"/>
          <w:sz w:val="24"/>
          <w:szCs w:val="24"/>
          <w:highlight w:val="none"/>
        </w:rPr>
        <w:t>和非交易过户等的业务规则；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color w:val="auto"/>
          <w:sz w:val="24"/>
          <w:szCs w:val="24"/>
          <w:highlight w:val="none"/>
        </w:rPr>
      </w:pPr>
      <w:bookmarkStart w:id="152" w:name="_Toc523711669"/>
      <w:r>
        <w:rPr>
          <w:rFonts w:hint="eastAsia" w:ascii="宋体" w:hAnsi="宋体" w:cs="宋体"/>
          <w:bCs/>
          <w:color w:val="auto"/>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（6）除依据《基金法》、基金合同及其他有关规定外，不得利用基金财产为自己及任何第三人谋取非法利益，不得委托第三人运作基金财产；</w:t>
      </w:r>
      <w:bookmarkStart w:id="153" w:name="_Hlt88897298"/>
      <w:bookmarkEnd w:id="153"/>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（7）依法接受基金托管人的监督；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（9）进行基金会计核算并编制基金财务会计报告；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（10）编制</w:t>
      </w:r>
      <w:r>
        <w:rPr>
          <w:rFonts w:hint="eastAsia" w:ascii="宋体" w:hAnsi="宋体" w:cs="宋体"/>
          <w:bCs/>
          <w:color w:val="auto"/>
          <w:sz w:val="24"/>
          <w:szCs w:val="24"/>
          <w:highlight w:val="none"/>
          <w:shd w:val="clear" w:color="auto" w:fill="FFFFFF"/>
        </w:rPr>
        <w:t>季度报告、中期报告和年度报告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（12）保守基金商业秘密，不泄露基金投资计划、投资意向等。除《基金法》、《基金合同》及其他有关规定另有规定外，在基金信息公开披露前应予保密，不向他人泄露</w:t>
      </w: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但</w:t>
      </w:r>
      <w:r>
        <w:rPr>
          <w:rFonts w:hint="eastAsia" w:ascii="宋体" w:hAnsi="宋体" w:cs="宋体"/>
          <w:bCs/>
          <w:color w:val="auto"/>
          <w:sz w:val="24"/>
          <w:highlight w:val="none"/>
        </w:rPr>
        <w:t>依法向监管机构、司法机关、交易所及审计、法律等外部专业顾问提供的除外</w:t>
      </w:r>
      <w:r>
        <w:rPr>
          <w:rFonts w:hint="eastAsia" w:ascii="宋体" w:hAnsi="宋体" w:cs="宋体"/>
          <w:color w:val="auto"/>
          <w:spacing w:val="-4"/>
          <w:sz w:val="24"/>
          <w:szCs w:val="24"/>
          <w:highlight w:val="none"/>
        </w:rPr>
        <w:t>）</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（14）按规定受理申购与赎回申请，及时、足额支付赎回款项；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（24）基金管理人在募集期间未能达到基金</w:t>
      </w:r>
      <w:bookmarkStart w:id="154" w:name="_Hlt88823209"/>
      <w:bookmarkEnd w:id="154"/>
      <w:r>
        <w:rPr>
          <w:rFonts w:hint="eastAsia" w:ascii="宋体" w:hAnsi="宋体" w:cs="宋体"/>
          <w:bCs/>
          <w:color w:val="auto"/>
          <w:sz w:val="24"/>
          <w:szCs w:val="24"/>
          <w:highlight w:val="none"/>
        </w:rPr>
        <w:t>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（26）建立并保存基金份额持有人名册；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（27）法律法规及中国证监会规定的和《基金合同》约定的其他义务。</w:t>
      </w:r>
    </w:p>
    <w:p>
      <w:pPr>
        <w:spacing w:line="360" w:lineRule="auto"/>
        <w:ind w:firstLine="480" w:firstLineChars="200"/>
        <w:rPr>
          <w:rFonts w:ascii="宋体" w:hAnsi="宋体" w:cs="宋体"/>
          <w:bCs/>
          <w:color w:val="auto"/>
          <w:sz w:val="24"/>
          <w:szCs w:val="24"/>
          <w:highlight w:val="none"/>
        </w:rPr>
      </w:pPr>
      <w:bookmarkStart w:id="155" w:name="_Toc15118238"/>
      <w:bookmarkStart w:id="156" w:name="_Toc57530240"/>
      <w:bookmarkStart w:id="157" w:name="_Toc79392581"/>
      <w:r>
        <w:rPr>
          <w:rFonts w:hint="eastAsia" w:ascii="宋体" w:hAnsi="宋体" w:cs="宋体"/>
          <w:bCs/>
          <w:color w:val="auto"/>
          <w:sz w:val="24"/>
          <w:szCs w:val="24"/>
          <w:highlight w:val="none"/>
        </w:rPr>
        <w:t>二、基金托管人</w:t>
      </w:r>
      <w:bookmarkEnd w:id="152"/>
      <w:bookmarkEnd w:id="155"/>
      <w:bookmarkEnd w:id="156"/>
      <w:bookmarkEnd w:id="157"/>
    </w:p>
    <w:p>
      <w:pPr>
        <w:spacing w:line="360" w:lineRule="auto"/>
        <w:ind w:firstLine="480" w:firstLineChars="200"/>
        <w:rPr>
          <w:rFonts w:ascii="宋体" w:hAnsi="宋体" w:cs="宋体"/>
          <w:bCs/>
          <w:color w:val="auto"/>
          <w:sz w:val="24"/>
          <w:szCs w:val="24"/>
          <w:highlight w:val="none"/>
        </w:rPr>
      </w:pPr>
      <w:bookmarkStart w:id="158" w:name="_Toc15118239"/>
      <w:r>
        <w:rPr>
          <w:rFonts w:hint="eastAsia" w:ascii="宋体" w:hAnsi="宋体" w:cs="宋体"/>
          <w:bCs/>
          <w:color w:val="auto"/>
          <w:sz w:val="24"/>
          <w:szCs w:val="24"/>
          <w:highlight w:val="none"/>
        </w:rPr>
        <w:t>（一）基金托管人简况</w:t>
      </w:r>
      <w:bookmarkEnd w:id="15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名称：上海浦东发展银行股份有限公司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住所：上海市中山东一路12号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法定代表人：郑杨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成立时间：1992年10月19日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组织形式：股份有限公司（上市）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注册资本：人民币293.52亿元</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存续期间：永久存续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基金托管资格批文及文号：中国证监会证监基金字[2003]105号</w:t>
      </w:r>
    </w:p>
    <w:p>
      <w:pPr>
        <w:spacing w:line="360" w:lineRule="auto"/>
        <w:ind w:firstLine="480" w:firstLineChars="200"/>
        <w:rPr>
          <w:rFonts w:ascii="宋体" w:hAnsi="宋体" w:cs="宋体"/>
          <w:bCs/>
          <w:color w:val="auto"/>
          <w:sz w:val="24"/>
          <w:szCs w:val="24"/>
          <w:highlight w:val="none"/>
        </w:rPr>
      </w:pPr>
      <w:bookmarkStart w:id="159" w:name="_Toc15118240"/>
      <w:r>
        <w:rPr>
          <w:rFonts w:hint="eastAsia" w:ascii="宋体" w:hAnsi="宋体" w:cs="宋体"/>
          <w:bCs/>
          <w:color w:val="auto"/>
          <w:sz w:val="24"/>
          <w:szCs w:val="24"/>
          <w:highlight w:val="none"/>
        </w:rPr>
        <w:t>（二）基金托管人的权利与义务</w:t>
      </w:r>
      <w:bookmarkEnd w:id="15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（4）根据相关市场规则，为基金开设</w:t>
      </w:r>
      <w:r>
        <w:rPr>
          <w:rFonts w:hint="eastAsia" w:ascii="宋体" w:hAnsi="宋体" w:cs="宋体"/>
          <w:color w:val="auto"/>
          <w:spacing w:val="-1"/>
          <w:sz w:val="24"/>
          <w:szCs w:val="24"/>
          <w:highlight w:val="none"/>
        </w:rPr>
        <w:t>资金账户、</w:t>
      </w:r>
      <w:r>
        <w:rPr>
          <w:rFonts w:hint="eastAsia" w:ascii="宋体" w:hAnsi="宋体" w:cs="宋体"/>
          <w:bCs/>
          <w:color w:val="auto"/>
          <w:sz w:val="24"/>
          <w:szCs w:val="24"/>
          <w:highlight w:val="none"/>
        </w:rPr>
        <w:t>证券账户</w:t>
      </w:r>
      <w:r>
        <w:rPr>
          <w:rFonts w:hint="eastAsia" w:ascii="宋体" w:hAnsi="宋体" w:cs="宋体"/>
          <w:color w:val="auto"/>
          <w:spacing w:val="-1"/>
          <w:sz w:val="24"/>
          <w:szCs w:val="24"/>
          <w:highlight w:val="none"/>
        </w:rPr>
        <w:t>、期货结算账户</w:t>
      </w:r>
      <w:r>
        <w:rPr>
          <w:rFonts w:hint="eastAsia" w:ascii="宋体" w:hAnsi="宋体" w:cs="Meiryo UI"/>
          <w:bCs/>
          <w:color w:val="auto"/>
          <w:sz w:val="24"/>
          <w:highlight w:val="none"/>
        </w:rPr>
        <w:t>（如有）</w:t>
      </w:r>
      <w:r>
        <w:rPr>
          <w:rFonts w:hint="eastAsia" w:ascii="宋体" w:hAnsi="宋体" w:cs="宋体"/>
          <w:bCs/>
          <w:color w:val="auto"/>
          <w:sz w:val="24"/>
          <w:szCs w:val="24"/>
          <w:highlight w:val="none"/>
        </w:rPr>
        <w:t>等投资所需账户，为基金办理证券</w:t>
      </w:r>
      <w:r>
        <w:rPr>
          <w:rFonts w:hint="eastAsia" w:ascii="宋体" w:hAnsi="宋体" w:cs="宋体"/>
          <w:color w:val="auto"/>
          <w:sz w:val="24"/>
          <w:szCs w:val="24"/>
          <w:highlight w:val="none"/>
        </w:rPr>
        <w:t>、期货</w:t>
      </w:r>
      <w:r>
        <w:rPr>
          <w:rFonts w:hint="eastAsia" w:ascii="宋体" w:hAnsi="宋体" w:cs="宋体"/>
          <w:bCs/>
          <w:color w:val="auto"/>
          <w:sz w:val="24"/>
          <w:szCs w:val="24"/>
          <w:highlight w:val="none"/>
        </w:rPr>
        <w:t>交易资金清算；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（5）提议召开或召集基金份额持有人大会；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（6）在基金管理人更换时，提名新的基金管理人；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（1）以诚实信用、勤勉尽责的原则持有并安全保管基金财产；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（6）按规定开设基金财产的资金账户、证券账户和</w:t>
      </w:r>
      <w:r>
        <w:rPr>
          <w:rFonts w:hint="eastAsia" w:ascii="宋体" w:hAnsi="宋体" w:cs="宋体"/>
          <w:color w:val="auto"/>
          <w:spacing w:val="-1"/>
          <w:sz w:val="24"/>
          <w:szCs w:val="24"/>
          <w:highlight w:val="none"/>
        </w:rPr>
        <w:t>期货</w:t>
      </w:r>
      <w:r>
        <w:rPr>
          <w:rFonts w:hint="eastAsia" w:ascii="宋体" w:hAnsi="宋体" w:cs="宋体"/>
          <w:bCs/>
          <w:color w:val="auto"/>
          <w:sz w:val="24"/>
          <w:highlight w:val="none"/>
        </w:rPr>
        <w:t>结</w:t>
      </w:r>
      <w:r>
        <w:rPr>
          <w:rFonts w:hint="eastAsia" w:ascii="宋体" w:hAnsi="宋体" w:cs="Meiryo UI"/>
          <w:bCs/>
          <w:color w:val="auto"/>
          <w:sz w:val="24"/>
          <w:highlight w:val="none"/>
        </w:rPr>
        <w:t>算</w:t>
      </w:r>
      <w:r>
        <w:rPr>
          <w:rFonts w:hint="eastAsia" w:ascii="宋体" w:hAnsi="宋体" w:cs="宋体"/>
          <w:bCs/>
          <w:color w:val="auto"/>
          <w:sz w:val="24"/>
          <w:highlight w:val="none"/>
        </w:rPr>
        <w:t>账户</w:t>
      </w:r>
      <w:r>
        <w:rPr>
          <w:rFonts w:hint="eastAsia" w:ascii="宋体" w:hAnsi="宋体" w:cs="Meiryo UI"/>
          <w:bCs/>
          <w:color w:val="auto"/>
          <w:sz w:val="24"/>
          <w:highlight w:val="none"/>
        </w:rPr>
        <w:t>（如有）</w:t>
      </w:r>
      <w:r>
        <w:rPr>
          <w:rFonts w:hint="eastAsia" w:ascii="宋体" w:hAnsi="宋体" w:cs="宋体"/>
          <w:bCs/>
          <w:color w:val="auto"/>
          <w:sz w:val="24"/>
          <w:szCs w:val="24"/>
          <w:highlight w:val="none"/>
        </w:rPr>
        <w:t>等投资所需账户，按照《基金合同》的约定，根据基金管理人的投资指令，及时办理清算、交割事宜；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（7）保守基金商业秘密，除《基金法》、《基金合同》及其他有关规定另有规定外，在基金信息公开披露前予以保密，不得向他人泄露</w:t>
      </w: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但向监管机构、司法机关等有权机关、</w:t>
      </w:r>
      <w:r>
        <w:rPr>
          <w:rFonts w:hint="eastAsia" w:ascii="宋体" w:hAnsi="宋体"/>
          <w:color w:val="auto"/>
          <w:sz w:val="24"/>
          <w:highlight w:val="none"/>
        </w:rPr>
        <w:t>基金托管人上市的证券交易所</w:t>
      </w:r>
      <w:r>
        <w:rPr>
          <w:rFonts w:hint="eastAsia" w:ascii="宋体" w:hAnsi="宋体" w:cs="宋体"/>
          <w:color w:val="auto"/>
          <w:spacing w:val="-4"/>
          <w:sz w:val="24"/>
          <w:szCs w:val="24"/>
          <w:highlight w:val="none"/>
        </w:rPr>
        <w:t>或因审计、法律等向外部专业顾问提供的情况除外）</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（8）复核、审查基金管理人计算的基金资产</w:t>
      </w:r>
      <w:r>
        <w:rPr>
          <w:rFonts w:hint="eastAsia" w:ascii="宋体" w:hAnsi="宋体" w:cs="宋体"/>
          <w:color w:val="auto"/>
          <w:spacing w:val="-1"/>
          <w:sz w:val="24"/>
          <w:szCs w:val="24"/>
          <w:highlight w:val="none"/>
        </w:rPr>
        <w:t>净值、基金份额</w:t>
      </w:r>
      <w:r>
        <w:rPr>
          <w:rFonts w:hint="eastAsia" w:ascii="宋体" w:hAnsi="宋体" w:cs="宋体"/>
          <w:bCs/>
          <w:color w:val="auto"/>
          <w:sz w:val="24"/>
          <w:szCs w:val="24"/>
          <w:highlight w:val="none"/>
        </w:rPr>
        <w:t>净值、基金份额申购、赎回价格；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（9）办理与基金托管业务活动有关的信息披露事项；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（10）对基金财务会计报告、季度</w:t>
      </w:r>
      <w:r>
        <w:rPr>
          <w:rFonts w:hint="eastAsia" w:ascii="宋体" w:hAnsi="宋体" w:cs="宋体"/>
          <w:color w:val="auto"/>
          <w:spacing w:val="-6"/>
          <w:sz w:val="24"/>
          <w:szCs w:val="24"/>
          <w:highlight w:val="none"/>
        </w:rPr>
        <w:t>报告、中期报告</w:t>
      </w:r>
      <w:r>
        <w:rPr>
          <w:rFonts w:hint="eastAsia" w:ascii="宋体" w:hAnsi="宋体" w:cs="宋体"/>
          <w:bCs/>
          <w:color w:val="auto"/>
          <w:sz w:val="24"/>
          <w:szCs w:val="24"/>
          <w:highlight w:val="none"/>
        </w:rPr>
        <w:t>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（11）保存基金托管业务活动的记录、账册、报表和其他相关资料</w:t>
      </w:r>
      <w:r>
        <w:rPr>
          <w:rFonts w:hint="eastAsia" w:ascii="宋体" w:hAnsi="宋体" w:cs="宋体"/>
          <w:color w:val="auto"/>
          <w:sz w:val="24"/>
          <w:szCs w:val="24"/>
          <w:highlight w:val="none"/>
        </w:rPr>
        <w:t>15年</w:t>
      </w:r>
      <w:r>
        <w:rPr>
          <w:rFonts w:hint="eastAsia" w:ascii="宋体" w:hAnsi="宋体" w:cs="宋体"/>
          <w:bCs/>
          <w:color w:val="auto"/>
          <w:sz w:val="24"/>
          <w:szCs w:val="24"/>
          <w:highlight w:val="none"/>
        </w:rPr>
        <w:t>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w:t>
      </w:r>
      <w:r>
        <w:rPr>
          <w:rFonts w:hint="eastAsia" w:ascii="宋体" w:hAnsi="宋体" w:cs="宋体"/>
          <w:color w:val="auto"/>
          <w:sz w:val="24"/>
          <w:szCs w:val="24"/>
          <w:highlight w:val="none"/>
        </w:rPr>
        <w:t>从基金管理人或其委托的登记机构处接收</w:t>
      </w:r>
      <w:r>
        <w:rPr>
          <w:rFonts w:hint="eastAsia" w:ascii="宋体" w:hAnsi="宋体" w:cs="宋体"/>
          <w:bCs/>
          <w:color w:val="auto"/>
          <w:sz w:val="24"/>
          <w:szCs w:val="24"/>
          <w:highlight w:val="none"/>
        </w:rPr>
        <w:t>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（13）按规定制作相关账册并与基金管理人核对；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w:t>
      </w:r>
      <w:r>
        <w:rPr>
          <w:rFonts w:hint="eastAsia" w:ascii="宋体" w:hAnsi="宋体" w:cs="宋体"/>
          <w:color w:val="auto"/>
          <w:sz w:val="24"/>
          <w:szCs w:val="24"/>
          <w:highlight w:val="none"/>
        </w:rPr>
        <w:t>基金管理人、</w:t>
      </w:r>
      <w:r>
        <w:rPr>
          <w:rFonts w:hint="eastAsia" w:ascii="宋体" w:hAnsi="宋体" w:cs="宋体"/>
          <w:bCs/>
          <w:color w:val="auto"/>
          <w:sz w:val="24"/>
          <w:szCs w:val="24"/>
          <w:highlight w:val="none"/>
        </w:rPr>
        <w:t>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（16）按照《基金合同》的规定监督基金管理人的投资运作；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（20）基金管理人因违反《基金合同》造成基金财产损失时，应为基金份额持有人利益向基金管理人追偿</w:t>
      </w:r>
      <w:bookmarkStart w:id="160" w:name="_Hlt88825668"/>
      <w:bookmarkEnd w:id="160"/>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w:t>
      </w:r>
      <w:bookmarkStart w:id="161" w:name="_Toc523711670"/>
      <w:r>
        <w:rPr>
          <w:rFonts w:hint="eastAsia" w:ascii="宋体" w:hAnsi="宋体" w:cs="宋体"/>
          <w:bCs/>
          <w:color w:val="auto"/>
          <w:sz w:val="24"/>
          <w:szCs w:val="24"/>
          <w:highlight w:val="none"/>
        </w:rPr>
        <w:t>法律法规及中国证监会规定的和《基金合同》约定的其他义务。</w:t>
      </w:r>
    </w:p>
    <w:bookmarkEnd w:id="161"/>
    <w:p>
      <w:pPr>
        <w:spacing w:line="360" w:lineRule="auto"/>
        <w:ind w:firstLine="480" w:firstLineChars="200"/>
        <w:rPr>
          <w:rFonts w:ascii="宋体" w:hAnsi="宋体" w:cs="宋体"/>
          <w:bCs/>
          <w:color w:val="auto"/>
          <w:sz w:val="24"/>
          <w:szCs w:val="24"/>
          <w:highlight w:val="none"/>
        </w:rPr>
      </w:pPr>
      <w:bookmarkStart w:id="162" w:name="_Toc79392582"/>
      <w:r>
        <w:rPr>
          <w:rFonts w:hint="eastAsia" w:ascii="宋体" w:hAnsi="宋体" w:cs="宋体"/>
          <w:bCs/>
          <w:color w:val="auto"/>
          <w:sz w:val="24"/>
          <w:szCs w:val="24"/>
          <w:highlight w:val="none"/>
        </w:rPr>
        <w:t>三、基金份额持有人</w:t>
      </w:r>
      <w:bookmarkEnd w:id="16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基金投资者持有本基金</w:t>
      </w:r>
      <w:bookmarkStart w:id="163" w:name="_Hlt88899909"/>
      <w:bookmarkEnd w:id="163"/>
      <w:r>
        <w:rPr>
          <w:rFonts w:hint="eastAsia" w:ascii="宋体" w:hAnsi="宋体" w:cs="宋体"/>
          <w:bCs/>
          <w:color w:val="auto"/>
          <w:sz w:val="24"/>
          <w:szCs w:val="24"/>
          <w:highlight w:val="none"/>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除法律法规另有规定或基金合同另有约定外，每份基金份额具有同等的合法权益。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（1）分享基金财产收益；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（2）参与分配清算后的剩余基金财产；</w:t>
      </w:r>
      <w:bookmarkStart w:id="164" w:name="_Hlt88825574"/>
      <w:bookmarkEnd w:id="16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shd w:val="clear" w:color="auto" w:fill="FFFFFF"/>
        </w:rPr>
        <w:t>根据基金合同的约定，</w:t>
      </w:r>
      <w:r>
        <w:rPr>
          <w:rFonts w:hint="eastAsia" w:ascii="宋体" w:hAnsi="宋体" w:cs="宋体"/>
          <w:bCs/>
          <w:color w:val="auto"/>
          <w:sz w:val="24"/>
          <w:szCs w:val="24"/>
          <w:highlight w:val="none"/>
        </w:rPr>
        <w:t>依法转让或者申请赎回其持有的基金份额；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（6）查阅或者复制公开披露的基金信息资料；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（1）认真阅读并遵守《基金合同》、招募说明书等信息披露文件；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（3）关注基金信息披露，及时行使权利和履行义务；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（4）交纳基金认购、申购款项及法律法规和《基金合同》所规定的费用；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（6）不从事任何有损基金及其他《基金合同》当事人合法权益的活动；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（8）返还在基金交易过程中因任何原因获得的不当得利；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w:t>
      </w:r>
      <w:r>
        <w:rPr>
          <w:rFonts w:hint="eastAsia" w:ascii="宋体" w:hAnsi="宋体" w:cs="宋体"/>
          <w:bCs/>
          <w:color w:val="auto"/>
          <w:sz w:val="24"/>
          <w:szCs w:val="24"/>
          <w:highlight w:val="none"/>
          <w:shd w:val="clear" w:color="auto" w:fill="FFFFFF"/>
        </w:rPr>
        <w:t>提供基金管理人和监管机构依法要求提供的信息，以及不时的更新和补充，并保证其真实性；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（10）遵守基金管理人、基金托管人、销售机构和登记机构的相关交易及业务规则；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65" w:name="_Toc123102455"/>
      <w:bookmarkStart w:id="166" w:name="_Toc141703888"/>
      <w:bookmarkStart w:id="167" w:name="_Toc18567"/>
      <w:bookmarkStart w:id="168" w:name="_Toc7058"/>
      <w:bookmarkStart w:id="169" w:name="_Toc10650"/>
      <w:bookmarkStart w:id="170" w:name="_Toc32425"/>
      <w:bookmarkStart w:id="171" w:name="_Toc3771"/>
      <w:bookmarkStart w:id="172" w:name="_Toc123112236"/>
      <w:bookmarkStart w:id="173" w:name="_Toc3321"/>
      <w:bookmarkStart w:id="174" w:name="_Toc6447"/>
      <w:bookmarkStart w:id="175" w:name="_Toc20768"/>
      <w:bookmarkStart w:id="176" w:name="_Toc11030"/>
      <w:bookmarkStart w:id="177" w:name="_Toc4559"/>
      <w:bookmarkStart w:id="178" w:name="_Toc139991738"/>
      <w:bookmarkStart w:id="179" w:name="_Toc123051454"/>
      <w:bookmarkStart w:id="180" w:name="_Toc79392583"/>
      <w:bookmarkStart w:id="181" w:name="_Toc98560354"/>
      <w:bookmarkStart w:id="182" w:name="_Toc9706"/>
      <w:bookmarkStart w:id="183" w:name="_Toc25783"/>
      <w:r>
        <w:rPr>
          <w:rFonts w:hint="eastAsia" w:hAnsi="宋体" w:cs="宋体"/>
          <w:color w:val="auto"/>
          <w:sz w:val="30"/>
          <w:szCs w:val="30"/>
          <w:highlight w:val="none"/>
        </w:rPr>
        <w:t>第八部分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1080"/>
        </w:tabs>
        <w:spacing w:line="360" w:lineRule="auto"/>
        <w:ind w:left="1075" w:leftChars="199" w:hanging="657" w:hangingChars="274"/>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spacing w:line="360" w:lineRule="auto"/>
        <w:ind w:firstLine="480" w:firstLineChars="200"/>
        <w:rPr>
          <w:rFonts w:ascii="宋体" w:hAnsi="宋体" w:cs="宋体"/>
          <w:bCs/>
          <w:color w:val="auto"/>
          <w:sz w:val="24"/>
          <w:szCs w:val="24"/>
          <w:highlight w:val="none"/>
        </w:rPr>
      </w:pPr>
      <w:bookmarkStart w:id="184" w:name="_Toc79392584"/>
      <w:bookmarkStart w:id="185" w:name="_Toc15641220"/>
      <w:bookmarkStart w:id="186" w:name="_Toc57530243"/>
      <w:r>
        <w:rPr>
          <w:rFonts w:hint="eastAsia" w:ascii="宋体" w:hAnsi="宋体" w:cs="宋体"/>
          <w:bCs/>
          <w:color w:val="auto"/>
          <w:sz w:val="24"/>
          <w:szCs w:val="24"/>
          <w:highlight w:val="none"/>
        </w:rPr>
        <w:t>一、召开事由</w:t>
      </w:r>
      <w:bookmarkEnd w:id="184"/>
      <w:bookmarkEnd w:id="185"/>
      <w:bookmarkEnd w:id="18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1、当出现或需要决定下列事由之一的，应当召开基金份额持有人大会，法律法规、中国证监会或基金合同另有规定的除外：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（1）终止《基金合同》；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（2）更换基金管理人；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（3）更换基金托管人；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（4）转换基金运作方式，但在目标日期次日起根据《基金合同》约定转为每日开放申购赎回模式除外；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（5）调整基金管理人、基金托管人的报酬标准</w:t>
      </w:r>
      <w:r>
        <w:rPr>
          <w:rFonts w:ascii="宋体" w:hAnsi="宋体"/>
          <w:color w:val="auto"/>
          <w:sz w:val="24"/>
          <w:szCs w:val="24"/>
          <w:highlight w:val="none"/>
        </w:rPr>
        <w:t>，但法律法规要求调整该等报酬标准的除外</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（6）变更基金类别；</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（7）本基金与其他基金的合并；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（8）变更基金投资目标、范围或策略，但在目标日期次日起根据《基金合同》约定转为“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”并按《基金合同》约定的投资目标、范围执行的除外；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（9）变更基金份额持有人大会程序；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（10）基金管理人或基金托管人要求召开基金份额持有人大会；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（12）对基金合同当事人权利和义务产生重大影响的其他事项；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（13）法律法规、《基金合同》或中国证监会规定的其他应当召开基金份额持有人大会的事项。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（1）调低除基金管理费、基金托管费外其他应由基金承担的费用；调整申购费率、调低赎回费率，或变更收费方式；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（2）法律法规要求增加的基金费用的收取；</w:t>
      </w:r>
    </w:p>
    <w:p>
      <w:pPr>
        <w:widowControl/>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color w:val="auto"/>
          <w:sz w:val="24"/>
          <w:szCs w:val="24"/>
          <w:highlight w:val="none"/>
        </w:rPr>
        <w:t>在法律法规和基金合同规定的范围内增加或</w:t>
      </w:r>
      <w:r>
        <w:rPr>
          <w:rFonts w:hint="eastAsia" w:asciiTheme="minorEastAsia" w:hAnsiTheme="minorEastAsia" w:eastAsiaTheme="minorEastAsia" w:cstheme="minorEastAsia"/>
          <w:bCs/>
          <w:color w:val="auto"/>
          <w:sz w:val="24"/>
          <w:szCs w:val="24"/>
          <w:highlight w:val="none"/>
        </w:rPr>
        <w:t>调整本基金的</w:t>
      </w:r>
      <w:r>
        <w:rPr>
          <w:rFonts w:hint="eastAsia" w:asciiTheme="minorEastAsia" w:hAnsiTheme="minorEastAsia" w:eastAsiaTheme="minorEastAsia" w:cstheme="minorEastAsia"/>
          <w:color w:val="auto"/>
          <w:sz w:val="24"/>
          <w:szCs w:val="24"/>
          <w:highlight w:val="none"/>
        </w:rPr>
        <w:t>基金份额类</w:t>
      </w:r>
      <w:r>
        <w:rPr>
          <w:rFonts w:hint="eastAsia" w:asciiTheme="minorEastAsia" w:hAnsiTheme="minorEastAsia" w:eastAsiaTheme="minorEastAsia" w:cstheme="minorEastAsia"/>
          <w:color w:val="auto"/>
          <w:spacing w:val="-10"/>
          <w:sz w:val="24"/>
          <w:szCs w:val="24"/>
          <w:highlight w:val="none"/>
        </w:rPr>
        <w:t>别、对基金份额分类办法及规则进行调整、停止现有基金份额类别的销售、调整</w:t>
      </w:r>
      <w:r>
        <w:rPr>
          <w:rFonts w:hint="eastAsia" w:asciiTheme="minorEastAsia" w:hAnsiTheme="minorEastAsia" w:eastAsiaTheme="minorEastAsia" w:cstheme="minorEastAsia"/>
          <w:bCs/>
          <w:color w:val="auto"/>
          <w:sz w:val="24"/>
          <w:szCs w:val="24"/>
          <w:highlight w:val="none"/>
        </w:rPr>
        <w:t>申购费率、调低赎回费率</w:t>
      </w:r>
      <w:r>
        <w:rPr>
          <w:rFonts w:hint="eastAsia" w:asciiTheme="minorEastAsia" w:hAnsiTheme="minorEastAsia" w:eastAsiaTheme="minorEastAsia" w:cstheme="minorEastAsia"/>
          <w:bCs/>
          <w:color w:val="auto"/>
          <w:sz w:val="24"/>
          <w:szCs w:val="24"/>
          <w:highlight w:val="none"/>
          <w:shd w:val="clear" w:color="auto" w:fill="FFFFFF"/>
        </w:rPr>
        <w:t>、变更收费方式等</w:t>
      </w:r>
      <w:r>
        <w:rPr>
          <w:rFonts w:hint="eastAsia" w:asciiTheme="minorEastAsia" w:hAnsiTheme="minorEastAsia" w:eastAsiaTheme="minorEastAsia" w:cstheme="minorEastAsia"/>
          <w:bCs/>
          <w:color w:val="auto"/>
          <w:sz w:val="24"/>
          <w:szCs w:val="24"/>
          <w:highlight w:val="none"/>
        </w:rPr>
        <w:t>；</w:t>
      </w:r>
    </w:p>
    <w:p>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（4）对基金收益分配的有关业务规则进行调整；</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（5）因相应的法律法规发生变动而应当对《基金合同》进行修改；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（6）对《基金合同》的修改对基金份额持有人利益无实质性不利影响或修改不涉及《基金合同》当事人权利义务关系发生重大变化；</w:t>
      </w:r>
    </w:p>
    <w:p>
      <w:pPr>
        <w:spacing w:line="360" w:lineRule="auto"/>
        <w:ind w:firstLine="480" w:firstLineChars="200"/>
        <w:rPr>
          <w:rFonts w:ascii="宋体"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（7）基金管理人、销售机构、登记机构</w:t>
      </w:r>
      <w:r>
        <w:rPr>
          <w:rFonts w:hint="eastAsia" w:ascii="宋体" w:hAnsi="宋体" w:cs="宋体"/>
          <w:bCs/>
          <w:color w:val="auto"/>
          <w:sz w:val="24"/>
          <w:szCs w:val="24"/>
          <w:highlight w:val="none"/>
        </w:rPr>
        <w:t>在法律法规规定的范围内调整有关基金认购、申购、赎回、转换、基金交易、非交易过户、转托管、转让、质押等业务的规则；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（8）在法律法规或中国证监会允许的范围内推出新业务或服务；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（9）目标日期次日起根据《基金合同》约定转为每日开放申购赎回模式，基金名称相应变更为“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”，同时，基金的投资将根据《基金合同》的约定执行；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（10）按照本基金合同的约定，变更业绩比较基准；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（11）按照法律法规和《基金合同》规定不需召开基金份额持有人大会的其他情形。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color w:val="auto"/>
          <w:sz w:val="24"/>
          <w:szCs w:val="24"/>
          <w:highlight w:val="none"/>
        </w:rPr>
      </w:pPr>
      <w:bookmarkStart w:id="187" w:name="_Toc79392585"/>
      <w:bookmarkStart w:id="188" w:name="_Toc15641221"/>
      <w:bookmarkStart w:id="189" w:name="_Toc57530244"/>
      <w:r>
        <w:rPr>
          <w:rFonts w:hint="eastAsia" w:ascii="宋体" w:hAnsi="宋体" w:cs="宋体"/>
          <w:bCs/>
          <w:color w:val="auto"/>
          <w:sz w:val="24"/>
          <w:szCs w:val="24"/>
          <w:highlight w:val="none"/>
        </w:rPr>
        <w:t>二、会议召集人及召集方式</w:t>
      </w:r>
      <w:bookmarkEnd w:id="187"/>
      <w:bookmarkEnd w:id="188"/>
      <w:bookmarkEnd w:id="189"/>
    </w:p>
    <w:p>
      <w:pPr>
        <w:spacing w:line="360" w:lineRule="auto"/>
        <w:ind w:firstLine="480" w:firstLineChars="200"/>
        <w:rPr>
          <w:rFonts w:ascii="宋体" w:hAnsi="宋体" w:cs="宋体"/>
          <w:bCs/>
          <w:color w:val="auto"/>
          <w:sz w:val="24"/>
          <w:szCs w:val="24"/>
          <w:highlight w:val="none"/>
        </w:rPr>
      </w:pPr>
      <w:bookmarkStart w:id="190" w:name="_Toc57530245"/>
      <w:bookmarkStart w:id="191" w:name="_Toc15641222"/>
      <w:r>
        <w:rPr>
          <w:rFonts w:hint="eastAsia" w:ascii="宋体" w:hAnsi="宋体" w:cs="宋体"/>
          <w:bCs/>
          <w:color w:val="auto"/>
          <w:sz w:val="24"/>
          <w:szCs w:val="24"/>
          <w:highlight w:val="none"/>
        </w:rPr>
        <w:t>1、除法律法规规定或《基金合同》另有约定外，基金份额持有人大会由基金管理人召集。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2、基金管理人未按规定召集或不能召开时，由基金托管人召集。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6、基金份额持有人会议的召集人负责选择确定开会时间、地点、方式和权益登记日。</w:t>
      </w:r>
    </w:p>
    <w:p>
      <w:pPr>
        <w:spacing w:line="360" w:lineRule="auto"/>
        <w:ind w:firstLine="480" w:firstLineChars="200"/>
        <w:rPr>
          <w:rFonts w:ascii="宋体" w:hAnsi="宋体" w:cs="宋体"/>
          <w:bCs/>
          <w:color w:val="auto"/>
          <w:sz w:val="24"/>
          <w:szCs w:val="24"/>
          <w:highlight w:val="none"/>
        </w:rPr>
      </w:pPr>
      <w:bookmarkStart w:id="192" w:name="_Toc79392586"/>
      <w:r>
        <w:rPr>
          <w:rFonts w:hint="eastAsia" w:ascii="宋体" w:hAnsi="宋体" w:cs="宋体"/>
          <w:bCs/>
          <w:color w:val="auto"/>
          <w:sz w:val="24"/>
          <w:szCs w:val="24"/>
          <w:highlight w:val="none"/>
        </w:rPr>
        <w:t>三、召开基金份额持有人大会的通知时间、通知内容、通知方式</w:t>
      </w:r>
      <w:bookmarkEnd w:id="190"/>
      <w:bookmarkEnd w:id="191"/>
      <w:bookmarkEnd w:id="19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1、召开基金份额持有人大会，召集人应于会议召开前30日，在规定媒介公告。基金份额持有人大会通知应至少载明以下内容：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（1）会议召开的时间、地点和会议形式；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（2）会议拟审议的事项、议事程序和表决方式；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（3）有权出席基金份额持有人大会的基金份额持有人的权益登记日；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（4）授权委托证明的内容要求（包括但不限于代理人身份，代理权限和代理有效期限等）、送达时间和地点;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（5）会务常设联系人姓名及联系电话；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（6）出席会议者必须准备的文件和必须履行的手续；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（7）召集人需要通知的其他事项。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rFonts w:ascii="宋体" w:hAnsi="宋体" w:cs="宋体"/>
          <w:bCs/>
          <w:color w:val="auto"/>
          <w:sz w:val="24"/>
          <w:szCs w:val="24"/>
          <w:highlight w:val="none"/>
        </w:rPr>
      </w:pPr>
      <w:bookmarkStart w:id="193" w:name="_Toc57530246"/>
      <w:bookmarkStart w:id="194" w:name="_Toc15641223"/>
      <w:bookmarkStart w:id="195" w:name="_Toc79392587"/>
      <w:r>
        <w:rPr>
          <w:rFonts w:hint="eastAsia" w:ascii="宋体" w:hAnsi="宋体" w:cs="宋体"/>
          <w:bCs/>
          <w:color w:val="auto"/>
          <w:sz w:val="24"/>
          <w:szCs w:val="24"/>
          <w:highlight w:val="none"/>
        </w:rPr>
        <w:t>四、基金份额持有人出席会议的方式</w:t>
      </w:r>
      <w:bookmarkEnd w:id="193"/>
      <w:bookmarkEnd w:id="194"/>
      <w:bookmarkEnd w:id="19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基金份额持有人大会可通过现场开会方式、通讯开会方式或法律法规、监管机构允许的其他方式召开，会议的召开方式由会议召集人确定。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在同时符合以下条件时，通讯开会的方式视为有效：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（1）会议召集人按《基金合同》约定公布会议通知后，在2个工作日内连续公布相关提示性公告；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spacing w:line="360" w:lineRule="auto"/>
        <w:ind w:firstLine="480" w:firstLineChars="200"/>
        <w:rPr>
          <w:rFonts w:ascii="宋体" w:hAnsi="宋体" w:cs="宋体"/>
          <w:bCs/>
          <w:color w:val="auto"/>
          <w:sz w:val="24"/>
          <w:szCs w:val="24"/>
          <w:highlight w:val="none"/>
        </w:rPr>
      </w:pPr>
      <w:bookmarkStart w:id="196" w:name="_Toc79392588"/>
      <w:bookmarkStart w:id="197" w:name="_Toc15641224"/>
      <w:bookmarkStart w:id="198" w:name="_Toc57530247"/>
      <w:r>
        <w:rPr>
          <w:rFonts w:hint="eastAsia" w:ascii="宋体" w:hAnsi="宋体" w:cs="宋体"/>
          <w:bCs/>
          <w:color w:val="auto"/>
          <w:sz w:val="24"/>
          <w:szCs w:val="24"/>
          <w:highlight w:val="none"/>
        </w:rPr>
        <w:t>五、议事内容与程序</w:t>
      </w:r>
      <w:bookmarkEnd w:id="196"/>
      <w:bookmarkEnd w:id="197"/>
      <w:bookmarkEnd w:id="198"/>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1、议事内容及提案权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基金份额持有人大会的召集人发出召集会议的通知后，对原有提案的修改应当在基金份额持有人大会召开前及时公告。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基金份额持有人大会不得对未事先公告的议事内容进行表决。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2、议事程序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ascii="宋体" w:hAnsi="宋体" w:cs="宋体"/>
          <w:bCs/>
          <w:color w:val="auto"/>
          <w:sz w:val="24"/>
          <w:szCs w:val="24"/>
          <w:highlight w:val="none"/>
        </w:rPr>
      </w:pPr>
      <w:bookmarkStart w:id="199" w:name="_Toc79392589"/>
      <w:bookmarkStart w:id="200" w:name="_Toc57530248"/>
      <w:bookmarkStart w:id="201" w:name="_Toc15641225"/>
      <w:r>
        <w:rPr>
          <w:rFonts w:hint="eastAsia" w:ascii="宋体" w:hAnsi="宋体" w:cs="宋体"/>
          <w:bCs/>
          <w:color w:val="auto"/>
          <w:sz w:val="24"/>
          <w:szCs w:val="24"/>
          <w:highlight w:val="none"/>
        </w:rPr>
        <w:t>六、表决</w:t>
      </w:r>
      <w:bookmarkEnd w:id="199"/>
      <w:bookmarkEnd w:id="200"/>
      <w:bookmarkEnd w:id="20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基金份额持有人所持每份基金份额有一票表决权。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基金份额持有人大会决议分为一般决议和特别决议：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基金份额持有人大会采取记名方式进行投票表决。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基金份额持有人大会的各项提案或同一项提案内并列的各项议题应当分开审议、逐项表决。</w:t>
      </w:r>
    </w:p>
    <w:p>
      <w:pPr>
        <w:spacing w:line="360" w:lineRule="auto"/>
        <w:ind w:firstLine="480" w:firstLineChars="200"/>
        <w:rPr>
          <w:rFonts w:ascii="宋体" w:hAnsi="宋体" w:cs="宋体"/>
          <w:bCs/>
          <w:color w:val="auto"/>
          <w:sz w:val="24"/>
          <w:szCs w:val="24"/>
          <w:highlight w:val="none"/>
        </w:rPr>
      </w:pPr>
      <w:bookmarkStart w:id="202" w:name="_Toc57530249"/>
      <w:bookmarkStart w:id="203" w:name="_Toc79392590"/>
      <w:bookmarkStart w:id="204" w:name="_Toc15641226"/>
      <w:r>
        <w:rPr>
          <w:rFonts w:hint="eastAsia" w:ascii="宋体" w:hAnsi="宋体" w:cs="宋体"/>
          <w:bCs/>
          <w:color w:val="auto"/>
          <w:sz w:val="24"/>
          <w:szCs w:val="24"/>
          <w:highlight w:val="none"/>
        </w:rPr>
        <w:t>七、计票</w:t>
      </w:r>
      <w:bookmarkEnd w:id="202"/>
      <w:bookmarkEnd w:id="203"/>
      <w:bookmarkEnd w:id="20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（2）监票人应当在基金份额持有人表决后立即进行清点并由大会主持人当场公布计票结果。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（4）计票过程应由公证机关予以公证，基金管理人或基金托管人拒不出席大会的，不影响计票的效力。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57530250"/>
      <w:bookmarkStart w:id="206" w:name="_Toc15641227"/>
      <w:bookmarkStart w:id="207" w:name="_Toc79392591"/>
      <w:r>
        <w:rPr>
          <w:rFonts w:hint="eastAsia" w:ascii="宋体" w:hAnsi="宋体" w:cs="宋体"/>
          <w:bCs/>
          <w:color w:val="auto"/>
          <w:sz w:val="24"/>
          <w:szCs w:val="24"/>
          <w:highlight w:val="none"/>
        </w:rPr>
        <w:t>。基金管理人或基金托管人拒派代表对书面表决意见的计票进行监督的，不影响计票和表决结果。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八、生效与公告</w:t>
      </w:r>
      <w:bookmarkEnd w:id="205"/>
      <w:bookmarkEnd w:id="206"/>
      <w:bookmarkEnd w:id="207"/>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基金份额持有人大会的决议，召集人应当自通过之日起5日内报中国证监会备案。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基金份额持有人大会决议自生效之日起2日内在规定媒介上公告。</w:t>
      </w:r>
      <w:bookmarkStart w:id="208" w:name="_Hlt88820702"/>
      <w:bookmarkEnd w:id="208"/>
      <w:r>
        <w:rPr>
          <w:rFonts w:hint="eastAsia" w:ascii="宋体" w:hAnsi="宋体" w:cs="宋体"/>
          <w:bCs/>
          <w:color w:val="auto"/>
          <w:sz w:val="24"/>
          <w:szCs w:val="24"/>
          <w:highlight w:val="none"/>
        </w:rPr>
        <w:t>如果采用通讯方式进行表决，在公告基金份额持有人大会决议时，必须将公证书全文、公证机构、公证员姓名等一同公告。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九、实施侧袋机制期间基金份额持有人大会的特殊约定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侧袋机制实施期间，关于基金份额持有人大会的相关规定以本节特殊约定内容为准，本节没有规定的适用本部分的相关规定。</w:t>
      </w:r>
    </w:p>
    <w:p>
      <w:pPr>
        <w:spacing w:line="360" w:lineRule="auto"/>
        <w:ind w:firstLine="480" w:firstLineChars="200"/>
        <w:rPr>
          <w:rFonts w:ascii="宋体" w:hAnsi="宋体" w:cs="宋体"/>
          <w:bCs/>
          <w:color w:val="auto"/>
          <w:sz w:val="24"/>
          <w:szCs w:val="24"/>
          <w:highlight w:val="none"/>
        </w:rPr>
      </w:pPr>
      <w:bookmarkStart w:id="209" w:name="_Toc18769"/>
      <w:bookmarkStart w:id="210" w:name="_Toc1745"/>
      <w:bookmarkStart w:id="211" w:name="_Toc3963"/>
      <w:r>
        <w:rPr>
          <w:rFonts w:hint="eastAsia" w:ascii="宋体" w:hAnsi="宋体" w:cs="宋体"/>
          <w:bCs/>
          <w:color w:val="auto"/>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pStyle w:val="2"/>
        <w:jc w:val="center"/>
        <w:rPr>
          <w:rFonts w:hAnsi="宋体" w:cs="宋体"/>
          <w:color w:val="auto"/>
          <w:sz w:val="30"/>
          <w:szCs w:val="30"/>
          <w:highlight w:val="none"/>
        </w:rPr>
      </w:pPr>
      <w:r>
        <w:rPr>
          <w:rFonts w:hint="eastAsia" w:hAnsi="宋体" w:cs="宋体"/>
          <w:b w:val="0"/>
          <w:bCs/>
          <w:color w:val="auto"/>
          <w:szCs w:val="24"/>
          <w:highlight w:val="none"/>
        </w:rPr>
        <w:br w:type="page"/>
      </w:r>
      <w:bookmarkStart w:id="212" w:name="_Toc21735"/>
      <w:bookmarkStart w:id="213" w:name="_Toc31821"/>
      <w:bookmarkStart w:id="214" w:name="_Toc16164"/>
      <w:bookmarkStart w:id="215" w:name="_Toc98560355"/>
      <w:bookmarkStart w:id="216" w:name="_Toc123051455"/>
      <w:bookmarkStart w:id="217" w:name="_Toc141703889"/>
      <w:bookmarkStart w:id="218" w:name="_Toc21324"/>
      <w:bookmarkStart w:id="219" w:name="_Toc18206"/>
      <w:bookmarkStart w:id="220" w:name="_Toc139991739"/>
      <w:bookmarkStart w:id="221" w:name="_Toc123112237"/>
      <w:bookmarkStart w:id="222" w:name="_Toc123102456"/>
      <w:bookmarkStart w:id="223" w:name="_Toc3080"/>
      <w:bookmarkStart w:id="224" w:name="_Toc725"/>
      <w:bookmarkStart w:id="225" w:name="_Toc3572"/>
      <w:bookmarkStart w:id="226" w:name="_Toc10398"/>
      <w:r>
        <w:rPr>
          <w:rFonts w:hint="eastAsia" w:hAnsi="宋体" w:cs="宋体"/>
          <w:color w:val="auto"/>
          <w:sz w:val="30"/>
          <w:szCs w:val="30"/>
          <w:highlight w:val="none"/>
        </w:rPr>
        <w:t>第九部分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spacing w:line="360" w:lineRule="auto"/>
        <w:textAlignment w:val="bottom"/>
        <w:rPr>
          <w:rFonts w:ascii="宋体" w:hAnsi="宋体" w:cs="宋体"/>
          <w:bCs/>
          <w:color w:val="auto"/>
          <w:sz w:val="24"/>
          <w:szCs w:val="24"/>
          <w:highlight w:val="none"/>
        </w:rPr>
      </w:pPr>
      <w:bookmarkStart w:id="227" w:name="_Toc57530252"/>
      <w:bookmarkStart w:id="228" w:name="_Toc15118245"/>
      <w:bookmarkStart w:id="229" w:name="_Toc79392593"/>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一、基金管理人和基金托管人职责终止的情形</w:t>
      </w:r>
      <w:bookmarkEnd w:id="227"/>
      <w:bookmarkEnd w:id="228"/>
      <w:bookmarkEnd w:id="229"/>
    </w:p>
    <w:p>
      <w:pPr>
        <w:spacing w:line="360" w:lineRule="auto"/>
        <w:ind w:firstLine="480" w:firstLineChars="200"/>
        <w:rPr>
          <w:rFonts w:ascii="宋体" w:hAnsi="宋体" w:cs="宋体"/>
          <w:bCs/>
          <w:color w:val="auto"/>
          <w:sz w:val="24"/>
          <w:szCs w:val="24"/>
          <w:highlight w:val="none"/>
        </w:rPr>
      </w:pPr>
      <w:bookmarkStart w:id="230" w:name="_Toc22005971"/>
      <w:r>
        <w:rPr>
          <w:rFonts w:hint="eastAsia" w:ascii="宋体" w:hAnsi="宋体" w:cs="宋体"/>
          <w:bCs/>
          <w:color w:val="auto"/>
          <w:sz w:val="24"/>
          <w:szCs w:val="24"/>
          <w:highlight w:val="none"/>
        </w:rPr>
        <w:t>（一）基金管理人职责终止的情形</w:t>
      </w:r>
      <w:bookmarkEnd w:id="23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有下列情形之一的，基金管理人职责终止：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1、被依法取消基金管理资格；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2、被基金份额持有人大会解任；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3、依法解散、被依法撤销或被依法宣告破产；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4、法律法规及中国证监会规定的和《基金合同》约定的其他情形。</w:t>
      </w:r>
    </w:p>
    <w:p>
      <w:pPr>
        <w:spacing w:line="360" w:lineRule="auto"/>
        <w:ind w:firstLine="480" w:firstLineChars="200"/>
        <w:rPr>
          <w:rFonts w:ascii="宋体" w:hAnsi="宋体" w:cs="宋体"/>
          <w:bCs/>
          <w:color w:val="auto"/>
          <w:sz w:val="24"/>
          <w:szCs w:val="24"/>
          <w:highlight w:val="none"/>
        </w:rPr>
      </w:pPr>
      <w:bookmarkStart w:id="231" w:name="_Toc22005972"/>
      <w:r>
        <w:rPr>
          <w:rFonts w:hint="eastAsia" w:ascii="宋体" w:hAnsi="宋体" w:cs="宋体"/>
          <w:bCs/>
          <w:color w:val="auto"/>
          <w:sz w:val="24"/>
          <w:szCs w:val="24"/>
          <w:highlight w:val="none"/>
        </w:rPr>
        <w:t>（二）基金托管人职责终止的情形</w:t>
      </w:r>
      <w:bookmarkEnd w:id="23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有下列情形之一的，基金托管人职责终止：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1、被依法取消基金托管资格；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2、被基金份额持有人大会解任；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3、依法解散、被依法撤销或被依法宣告破产；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4、法律法规及中国证监会规定的和《基金合同》约定的其他情形。</w:t>
      </w:r>
    </w:p>
    <w:p>
      <w:pPr>
        <w:spacing w:line="360" w:lineRule="auto"/>
        <w:ind w:firstLine="480" w:firstLineChars="200"/>
        <w:rPr>
          <w:rFonts w:ascii="宋体" w:hAnsi="宋体" w:cs="宋体"/>
          <w:bCs/>
          <w:color w:val="auto"/>
          <w:sz w:val="24"/>
          <w:szCs w:val="24"/>
          <w:highlight w:val="none"/>
        </w:rPr>
      </w:pPr>
      <w:bookmarkStart w:id="232" w:name="_Toc57530253"/>
      <w:bookmarkStart w:id="233" w:name="_Toc15118246"/>
      <w:bookmarkStart w:id="234" w:name="_Toc79392594"/>
      <w:r>
        <w:rPr>
          <w:rFonts w:hint="eastAsia" w:ascii="宋体" w:hAnsi="宋体" w:cs="宋体"/>
          <w:bCs/>
          <w:color w:val="auto"/>
          <w:sz w:val="24"/>
          <w:szCs w:val="24"/>
          <w:highlight w:val="none"/>
        </w:rPr>
        <w:t>二、基金管理人和基金托管人的更换程序</w:t>
      </w:r>
      <w:bookmarkEnd w:id="232"/>
      <w:bookmarkEnd w:id="233"/>
      <w:bookmarkEnd w:id="234"/>
    </w:p>
    <w:p>
      <w:pPr>
        <w:spacing w:line="360" w:lineRule="auto"/>
        <w:ind w:firstLine="480" w:firstLineChars="200"/>
        <w:rPr>
          <w:rFonts w:ascii="宋体" w:hAnsi="宋体" w:cs="宋体"/>
          <w:bCs/>
          <w:color w:val="auto"/>
          <w:sz w:val="24"/>
          <w:szCs w:val="24"/>
          <w:highlight w:val="none"/>
        </w:rPr>
      </w:pPr>
      <w:bookmarkStart w:id="235" w:name="_Toc22005974"/>
      <w:r>
        <w:rPr>
          <w:rFonts w:hint="eastAsia" w:ascii="宋体" w:hAnsi="宋体" w:cs="宋体"/>
          <w:bCs/>
          <w:color w:val="auto"/>
          <w:sz w:val="24"/>
          <w:szCs w:val="24"/>
          <w:highlight w:val="none"/>
        </w:rPr>
        <w:t>（一）基金管理人的更换程序</w:t>
      </w:r>
      <w:bookmarkEnd w:id="235"/>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1、提名：新任基金管理人由基金托管人或由单独或合计持有10%以上（含10%）基金份额的基金份额持有人提名；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3、临时基金管理人：新任基金管理人产生之前，由中国证监会指定临时基金管理人；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4、备案：基金份额持有人大会更换基金管理人的决议须报中国证监会备案；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5、公告：基金管理人更换后，由基金托管人在更换基金管理人的基金份额持有人大会决议生效后2日内在规定媒介公告；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8、基金名称变更：基金管理人更换后，如果原任或新任基金管理人要求，应按其要求替换或删除基金名称中与原基金管理人有关的名称字样。</w:t>
      </w:r>
    </w:p>
    <w:p>
      <w:pPr>
        <w:spacing w:line="360" w:lineRule="auto"/>
        <w:ind w:firstLine="480" w:firstLineChars="200"/>
        <w:rPr>
          <w:rFonts w:ascii="宋体" w:hAnsi="宋体" w:cs="宋体"/>
          <w:bCs/>
          <w:color w:val="auto"/>
          <w:sz w:val="24"/>
          <w:szCs w:val="24"/>
          <w:highlight w:val="none"/>
        </w:rPr>
      </w:pPr>
      <w:bookmarkStart w:id="236" w:name="_Toc22005975"/>
      <w:r>
        <w:rPr>
          <w:rFonts w:hint="eastAsia" w:ascii="宋体" w:hAnsi="宋体" w:cs="宋体"/>
          <w:bCs/>
          <w:color w:val="auto"/>
          <w:sz w:val="24"/>
          <w:szCs w:val="24"/>
          <w:highlight w:val="none"/>
        </w:rPr>
        <w:t>（二）基金托管人的更换程序</w:t>
      </w:r>
      <w:bookmarkEnd w:id="23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1、提名：新任基金托管人由基金管理人或由单独或合计持有10%以上（含10%）基金份额的基金份额持有人提名；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3、临时基金托管人：新任基金托管人产生之前，由中国证监会指定临时基金托管人；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4、备案：基金份额持有人大会更换基金托管人的决议须报中国证监会备案；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5、公告：基金托管人更换后，由基金管理人在更换基金托管人的基金份额持有人大会决议生效后2日内在规定媒介公告；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7、审计：原任基金托管人职责终止的，应当按照法律法规规定聘请会计师事务所对基金财产进行审计，并将审计结果予以公告，同时报中国证监会备案，</w:t>
      </w:r>
      <w:r>
        <w:rPr>
          <w:rFonts w:hint="eastAsia" w:ascii="宋体" w:hAnsi="宋体" w:cs="宋体"/>
          <w:bCs/>
          <w:color w:val="auto"/>
          <w:sz w:val="24"/>
          <w:szCs w:val="24"/>
          <w:highlight w:val="none"/>
          <w:shd w:val="clear" w:color="auto" w:fill="FFFFFF"/>
        </w:rPr>
        <w:t>审计费用在基金财产中列支</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bookmarkStart w:id="237" w:name="_Toc1357"/>
      <w:r>
        <w:rPr>
          <w:rFonts w:hint="eastAsia" w:ascii="宋体" w:hAnsi="宋体" w:cs="宋体"/>
          <w:bCs/>
          <w:color w:val="auto"/>
          <w:sz w:val="24"/>
          <w:szCs w:val="24"/>
          <w:highlight w:val="none"/>
        </w:rPr>
        <w:t>（三）基金管理人与基金托管人同时更换的条件和程序</w:t>
      </w:r>
      <w:bookmarkEnd w:id="237"/>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1、提名：如果基金管理人和基金托管人同时更换，由单独或合计持有基金总份额10%以上（含10%）的基金份额持有人提名新的基金管理人和基金托管人；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2、基金管理人和基金托管人的更换分别按上述程序进行；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3、公告：新任基金管理人和新任基金托管人应在更换基金管理人和基金托管人的基金份额持有人大会决议生效后2日内在规定媒介上联合公告。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hAnsi="宋体" w:cs="宋体"/>
          <w:color w:val="auto"/>
          <w:sz w:val="30"/>
          <w:szCs w:val="30"/>
          <w:highlight w:val="none"/>
        </w:rPr>
      </w:pPr>
      <w:r>
        <w:rPr>
          <w:rFonts w:hint="eastAsia" w:hAnsi="宋体" w:cs="宋体"/>
          <w:b w:val="0"/>
          <w:bCs/>
          <w:color w:val="auto"/>
          <w:kern w:val="2"/>
          <w:szCs w:val="24"/>
          <w:highlight w:val="none"/>
        </w:rPr>
        <w:br w:type="page"/>
      </w:r>
      <w:bookmarkStart w:id="238" w:name="_Toc10218"/>
      <w:r>
        <w:rPr>
          <w:rFonts w:hint="eastAsia" w:hAnsi="宋体" w:cs="宋体"/>
          <w:color w:val="auto"/>
          <w:sz w:val="30"/>
          <w:szCs w:val="30"/>
          <w:highlight w:val="none"/>
        </w:rPr>
        <w:t>第十部分  基金的托管</w:t>
      </w:r>
      <w:bookmarkEnd w:id="238"/>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基金托管人和基金管理人按照《基金法》、《基金合同》及其他有关规定订立托管协议。</w:t>
      </w:r>
    </w:p>
    <w:p>
      <w:pPr>
        <w:spacing w:line="360" w:lineRule="auto"/>
        <w:ind w:firstLine="480" w:firstLineChars="200"/>
        <w:textAlignment w:val="bottom"/>
        <w:rPr>
          <w:rFonts w:ascii="宋体" w:hAnsi="宋体" w:cs="宋体"/>
          <w:bCs/>
          <w:color w:val="auto"/>
          <w:sz w:val="24"/>
          <w:szCs w:val="24"/>
          <w:highlight w:val="none"/>
        </w:rPr>
      </w:pPr>
      <w:r>
        <w:rPr>
          <w:rFonts w:hint="eastAsia" w:ascii="宋体" w:hAnsi="宋体" w:cs="宋体"/>
          <w:bCs/>
          <w:color w:val="auto"/>
          <w:sz w:val="24"/>
          <w:szCs w:val="24"/>
          <w:highlight w:val="none"/>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39" w:name="_Toc19520"/>
      <w:bookmarkStart w:id="240" w:name="_Toc26383"/>
      <w:bookmarkStart w:id="241" w:name="_Toc48649710"/>
      <w:bookmarkStart w:id="242" w:name="_Toc79392624"/>
      <w:bookmarkStart w:id="243" w:name="_Toc141703891"/>
      <w:bookmarkStart w:id="244" w:name="_Toc123051457"/>
      <w:bookmarkStart w:id="245" w:name="_Toc139991741"/>
      <w:bookmarkStart w:id="246" w:name="_Toc14725"/>
      <w:bookmarkStart w:id="247" w:name="_Toc123102458"/>
      <w:bookmarkStart w:id="248" w:name="_Toc16789"/>
      <w:bookmarkStart w:id="249" w:name="_Toc26152"/>
      <w:bookmarkStart w:id="250" w:name="_Toc21886"/>
      <w:bookmarkStart w:id="251" w:name="_Toc2255"/>
      <w:bookmarkStart w:id="252" w:name="_Toc22674"/>
      <w:bookmarkStart w:id="253" w:name="_Toc98560357"/>
      <w:bookmarkStart w:id="254" w:name="_Toc26084"/>
      <w:bookmarkStart w:id="255" w:name="_Toc23085"/>
      <w:bookmarkStart w:id="256" w:name="_Toc3244"/>
      <w:bookmarkStart w:id="257" w:name="_Toc31469"/>
      <w:bookmarkStart w:id="258" w:name="_Toc123112239"/>
      <w:r>
        <w:rPr>
          <w:rFonts w:hint="eastAsia" w:hAnsi="宋体" w:cs="宋体"/>
          <w:color w:val="auto"/>
          <w:sz w:val="30"/>
          <w:szCs w:val="30"/>
          <w:highlight w:val="none"/>
        </w:rPr>
        <w:t>第十一部分  基金份额的登记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spacing w:line="360" w:lineRule="auto"/>
        <w:textAlignment w:val="bottom"/>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二、基金登记业务办理机构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办理非交易过户等事宜中的权利和义务，保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三、基金登记机构的权利</w:t>
      </w:r>
      <w:bookmarkStart w:id="259" w:name="_Hlt88820748"/>
      <w:bookmarkEnd w:id="259"/>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基金登记机构享有以下权利：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1、取得登记费；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2、建立和管理投资者基金账户；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3、保管基金份额持有人开户资料、交易资料、基金份额持有人名册等；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4、在法律法规允许的范围内，对登记业务的办理时间及规则进行调整，并依照有关规定于开始实施前在规定媒介上公告；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四、基金登记机构的义务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基金登记机构承担以下义务：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1、配备足够的专业人员办理本基金份额的登记业务；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2、严格按照法律法规和《基金合同》规定的条件办理本基金份额的登记业务；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3、妥善保存登记数据，并将基金份额持有人名称、身份信息及基金份额明细等数据备份至中国证监会认定的机构。其保存期限自基金账户销户之日起不得少于20年，法律法规或监管部门另有规定的除外；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5、按《基金合同》及招募说明书规定为投资者办理非交易过户业务、提供其他必要的服务；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6、接受基金管理人的监督；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60" w:name="_Toc11395"/>
      <w:bookmarkStart w:id="261" w:name="_Toc22538"/>
      <w:bookmarkStart w:id="262" w:name="_Toc3872"/>
      <w:bookmarkStart w:id="263" w:name="_Toc11351"/>
      <w:bookmarkStart w:id="264" w:name="_Toc578"/>
      <w:bookmarkStart w:id="265" w:name="_Toc31739"/>
      <w:bookmarkStart w:id="266" w:name="_Toc16437"/>
      <w:bookmarkStart w:id="267" w:name="_Toc801"/>
      <w:bookmarkStart w:id="268" w:name="_Toc5477"/>
      <w:bookmarkStart w:id="269" w:name="_Toc2981"/>
      <w:bookmarkStart w:id="270" w:name="_Toc13343"/>
      <w:bookmarkStart w:id="271" w:name="_Toc21917"/>
      <w:r>
        <w:rPr>
          <w:rFonts w:hint="eastAsia" w:hAnsi="宋体" w:cs="宋体"/>
          <w:color w:val="auto"/>
          <w:sz w:val="30"/>
          <w:szCs w:val="30"/>
          <w:highlight w:val="none"/>
        </w:rPr>
        <w:t>第十二部分  基金的投资</w:t>
      </w:r>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一、投资目标</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二、投资范围</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本基金不投资于股指期货、国债期货及股票期权等衍生类金融工具。</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Theme="minorEastAsia" w:hAnsiTheme="minorEastAsia" w:eastAsiaTheme="minorEastAsia" w:cstheme="minorEastAsia"/>
          <w:bCs/>
          <w:color w:val="auto"/>
          <w:sz w:val="24"/>
          <w:szCs w:val="24"/>
          <w:highlight w:val="none"/>
          <w:lang w:eastAsia="zh-CN"/>
        </w:rPr>
        <w:t>2055</w:t>
      </w:r>
      <w:r>
        <w:rPr>
          <w:rFonts w:hint="eastAsia" w:asciiTheme="minorEastAsia" w:hAnsiTheme="minorEastAsia" w:eastAsiaTheme="minorEastAsia" w:cstheme="minorEastAsia"/>
          <w:bCs/>
          <w:color w:val="auto"/>
          <w:sz w:val="24"/>
          <w:szCs w:val="24"/>
          <w:highlight w:val="none"/>
        </w:rPr>
        <w:t>年12月31日以后则合计原则上不高于基金资产的30%），对商品基金投资占基金资产的比例不超过10%。本基金投资于港股通标的股票的比例不超过股票资产的50%。本基金投资于QDII基金和香港互认基金的比例合计不超过基金资产的20%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本基金所持有现金或到期日在一年以内的政府债券的比例合计不低于基金资产净值的5%，其中现金不包括结算备付金、存出保证金及应收申购款等。</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权益类资产指股票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含存托凭证）</w:t>
      </w:r>
      <w:r>
        <w:rPr>
          <w:rFonts w:hint="eastAsia" w:asciiTheme="minorEastAsia" w:hAnsiTheme="minorEastAsia" w:eastAsiaTheme="minorEastAsia" w:cstheme="minorEastAsia"/>
          <w:bCs/>
          <w:color w:val="auto"/>
          <w:sz w:val="24"/>
          <w:szCs w:val="24"/>
          <w:highlight w:val="none"/>
        </w:rPr>
        <w:t>、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如法律法规或监管机构变更投资品种的投资比例限制，基金管理人在履行适当程序后，可以调整上述投资品种的投资比例。</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三、投资策略</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1、大类资产配置策略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本基金以</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年12月31日的临近，整体趋势上逐步降低权益类资产的配置比例，增加非权益类资产的配置比例。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目标日期（2055年12月31日）</w:t>
            </w:r>
            <w:r>
              <w:rPr>
                <w:rFonts w:hint="eastAsia" w:ascii="宋体" w:hAnsi="宋体" w:eastAsia="宋体" w:cs="宋体"/>
                <w:bCs/>
                <w:color w:val="auto"/>
                <w:sz w:val="24"/>
                <w:szCs w:val="24"/>
                <w:highlight w:val="none"/>
                <w:vertAlign w:val="baseline"/>
                <w:lang w:val="en-US" w:eastAsia="zh-CN"/>
              </w:rPr>
              <w:t>之</w:t>
            </w:r>
            <w:r>
              <w:rPr>
                <w:rFonts w:hint="eastAsia" w:ascii="宋体" w:hAnsi="宋体" w:eastAsia="宋体" w:cs="宋体"/>
                <w:bCs/>
                <w:i w:val="0"/>
                <w:color w:val="auto"/>
                <w:kern w:val="2"/>
                <w:sz w:val="24"/>
                <w:szCs w:val="24"/>
                <w:highlight w:val="none"/>
                <w:u w:val="none"/>
                <w:lang w:val="en-US" w:eastAsia="zh-CN" w:bidi="ar"/>
              </w:rPr>
              <w:t>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本基金的下滑曲线图如下：</w:t>
      </w:r>
    </w:p>
    <w:p>
      <w:pPr>
        <w:spacing w:line="360" w:lineRule="auto"/>
        <w:ind w:firstLine="480" w:firstLineChars="200"/>
        <w:rPr>
          <w:rFonts w:hint="eastAsia" w:ascii="宋体" w:hAnsi="宋体" w:cs="宋体"/>
          <w:bCs/>
          <w:color w:val="auto"/>
          <w:sz w:val="24"/>
          <w:szCs w:val="24"/>
          <w:highlight w:val="none"/>
        </w:rPr>
      </w:pPr>
    </w:p>
    <w:p>
      <w:pPr>
        <w:spacing w:line="360" w:lineRule="auto"/>
        <w:ind w:firstLine="420" w:firstLineChars="200"/>
        <w:rPr>
          <w:rFonts w:ascii="宋体" w:hAnsi="宋体" w:cs="宋体"/>
          <w:bCs/>
          <w:color w:val="auto"/>
          <w:sz w:val="24"/>
          <w:szCs w:val="24"/>
          <w:highlight w:val="none"/>
        </w:rPr>
      </w:pPr>
      <w:r>
        <w:rPr>
          <w:rFonts w:hint="eastAsia" w:ascii="宋体" w:hAnsi="宋体" w:cs="宋体"/>
          <w:bCs/>
          <w:color w:val="auto"/>
          <w:highlight w:val="none"/>
        </w:rPr>
        <w:drawing>
          <wp:anchor distT="0" distB="0" distL="114300" distR="114300" simplePos="0" relativeHeight="251660288" behindDoc="0" locked="0" layoutInCell="1" allowOverlap="1">
            <wp:simplePos x="0" y="0"/>
            <wp:positionH relativeFrom="column">
              <wp:posOffset>-105410</wp:posOffset>
            </wp:positionH>
            <wp:positionV relativeFrom="paragraph">
              <wp:posOffset>16510</wp:posOffset>
            </wp:positionV>
            <wp:extent cx="5485130" cy="2317115"/>
            <wp:effectExtent l="0" t="0" r="1270" b="6985"/>
            <wp:wrapTopAndBottom/>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9"/>
                    <a:stretch>
                      <a:fillRect/>
                    </a:stretch>
                  </pic:blipFill>
                  <pic:spPr>
                    <a:xfrm>
                      <a:off x="0" y="0"/>
                      <a:ext cx="5485130" cy="2317115"/>
                    </a:xfrm>
                    <a:prstGeom prst="rect">
                      <a:avLst/>
                    </a:prstGeom>
                  </pic:spPr>
                </pic:pic>
              </a:graphicData>
            </a:graphic>
          </wp:anchor>
        </w:drawing>
      </w:r>
      <w:r>
        <w:rPr>
          <w:rFonts w:hint="eastAsia" w:ascii="宋体" w:hAnsi="宋体" w:cs="宋体"/>
          <w:bCs/>
          <w:color w:val="auto"/>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（1）基金分类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（2）基金量化筛选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（3）风格量化分析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（4）定性访谈研究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（5）类别化基金研究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3、股票投资策略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（1）个股精选策略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1）成长性指标：主营业务收入增长率、息税折旧前利润增长率、现金流；</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4）财务指标：净资产收益率（ROE）、毛利率；</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（2）港股投资策略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2）独立思考（Original ideas）领先市场共识，寻找未被充分挖掘的企业。</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（3）存托凭证投资策略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4、固定收益类资产投资策略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（1）信用债券投资策略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（2）证券公司短期公司债券投资策略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（3）银行存款、同业存单投资策略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（4）可转换债券、可交换债券投资策略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（5）杠杆投资策略</w:t>
      </w:r>
    </w:p>
    <w:p>
      <w:p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numPr>
          <w:ilvl w:val="255"/>
          <w:numId w:val="0"/>
        </w:numPr>
        <w:overflowPunct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目标日期（2055年12月31日）</w:t>
            </w:r>
            <w:r>
              <w:rPr>
                <w:rFonts w:hint="eastAsia" w:ascii="宋体" w:hAnsi="宋体" w:eastAsia="宋体" w:cs="宋体"/>
                <w:bCs/>
                <w:color w:val="auto"/>
                <w:sz w:val="24"/>
                <w:szCs w:val="24"/>
                <w:highlight w:val="none"/>
                <w:vertAlign w:val="baseline"/>
                <w:lang w:val="en-US" w:eastAsia="zh-CN"/>
              </w:rPr>
              <w:t>之</w:t>
            </w:r>
            <w:r>
              <w:rPr>
                <w:rFonts w:hint="eastAsia" w:ascii="宋体" w:hAnsi="宋体" w:eastAsia="宋体" w:cs="宋体"/>
                <w:bCs/>
                <w:i w:val="0"/>
                <w:color w:val="auto"/>
                <w:kern w:val="2"/>
                <w:sz w:val="24"/>
                <w:szCs w:val="24"/>
                <w:highlight w:val="none"/>
                <w:u w:val="none"/>
                <w:lang w:val="en-US" w:eastAsia="zh-CN" w:bidi="ar"/>
              </w:rPr>
              <w:t>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（7）本基金对股票（含存托凭证）、股票型基金、混合型基金和商品基金（含商品期货基金和黄金ETF）的投资比例不超过基金资产的60%（</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年12月31日以后则合计原则上不高于基金资产的30%），其中对商品基金投资占基金资产的比例不超过10%</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（9）本基金投资于货币市场基金的比例不超过基金资产的15%；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本基金的业绩比较基准为：中证800指数收益率×A%＋中债综合全价（总值）指数收益率×（1-A%）。</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A%为下滑曲线权益类资产中枢占比。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其中A%的取值如下：</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80%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numPr>
          <w:ilvl w:val="0"/>
          <w:numId w:val="2"/>
        </w:num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七、基金管理人代表基金行使股东或债权人权利的处理原则及方法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八、侧袋机制的实施和投资运作安排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侧袋账户的实施条件、实施程序、运作安排、投资安排、特定资产的处置变现和支付等对投资者权益有重大影响的事项详见招募说明书的规定。</w:t>
      </w:r>
    </w:p>
    <w:p>
      <w:pPr>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272" w:name="_Toc92662704"/>
      <w:bookmarkStart w:id="273" w:name="_Toc3054"/>
      <w:bookmarkStart w:id="274" w:name="_Toc93226145"/>
      <w:bookmarkStart w:id="275" w:name="_Toc20102"/>
      <w:bookmarkStart w:id="276" w:name="_Toc139991743"/>
      <w:bookmarkStart w:id="277" w:name="_Toc24474"/>
      <w:bookmarkStart w:id="278" w:name="_Toc21642"/>
      <w:bookmarkStart w:id="279" w:name="_Toc20987"/>
      <w:bookmarkStart w:id="280" w:name="_Toc18000"/>
      <w:bookmarkStart w:id="281" w:name="_Toc31611"/>
      <w:bookmarkStart w:id="282" w:name="_Toc141703893"/>
      <w:bookmarkStart w:id="283" w:name="_Toc13819"/>
      <w:bookmarkStart w:id="284" w:name="_Toc26114"/>
      <w:bookmarkStart w:id="285" w:name="_Toc32030"/>
      <w:bookmarkStart w:id="286" w:name="_Toc128310496"/>
      <w:bookmarkStart w:id="287" w:name="_Toc20782"/>
      <w:bookmarkStart w:id="288" w:name="_Toc29561"/>
      <w:r>
        <w:rPr>
          <w:rFonts w:hint="eastAsia" w:hAnsi="宋体" w:cs="宋体"/>
          <w:color w:val="auto"/>
          <w:sz w:val="30"/>
          <w:szCs w:val="30"/>
          <w:highlight w:val="none"/>
        </w:rPr>
        <w:t>第十三部分  基金的转型</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一、基金转型的条件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年12月31日后（不含该日），在不违反届时有效的法律法规或监管规定的情况下，本基金将转型为“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”，届时本基金将转为每个开放日开放申购赎回的运作模式及变更基金名称，并不再受3年最短持有期的限制。转型后基金的投资、申赎、费率等也将做相应的调整，有关基金转型的相关事项届时将另行公告。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由上述情形导致本基金运作方式转换、变更基金名称以及基金投资等的，无需召开基金份额持有人大会。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基金份额持有人在转型前申购本基金，至转型日持有基金份额不足3年的，在转型日之后（含转型日）可以提出赎回申请，不受3年最短持有期限制。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二、本基金转型后的名称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本基金在目标日期到达后即</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年12月31日后（不含该日），基金名称变更为“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”，同时，基金开放申购与赎回等相关内容也将根据《基金合同》的相关约定做相应修改，上述变更无需经基金份额持有人大会决议。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三、本基金转型后的投资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（一）投资目标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（二）投资范围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本基金不投资于股指期货、国债期货及股票期权等衍生类金融工具。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中国证监会依法核准或注册的公开募集证券投资基金的比例不低于基金资产的80%。投资于股票（含存托凭证）、股票型基金、混合型基金和商品基金（含商品期货基金和黄金ETF）等品种的比例合计原则上不超过30%。投资于港股通标的股票的比例不超过股票资产的50%。本基金持有的现金或者到期日在一年以内的政府债券的比例合计不低于基金资产净值的5%，其中现金不包括结算备付金、存出保证金和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本基金投资权益类资产的比例为0-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本基金投资的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本基金力争通过合理判断市场走势，合理配置不同资产类别以及投资工具的比例，通过定量和定性相结合的方法精选具有不同风险收益特征的优秀基金，力争实现基金资产的稳定回报。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1、大类资产配置策略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目标日期到达后，即</w:t>
      </w:r>
      <w:r>
        <w:rPr>
          <w:rFonts w:hint="eastAsia" w:ascii="宋体" w:hAnsi="宋体" w:cs="宋体"/>
          <w:bCs/>
          <w:color w:val="auto"/>
          <w:sz w:val="24"/>
          <w:szCs w:val="24"/>
          <w:highlight w:val="none"/>
          <w:lang w:eastAsia="zh-CN"/>
        </w:rPr>
        <w:t>2056</w:t>
      </w:r>
      <w:r>
        <w:rPr>
          <w:rFonts w:hint="eastAsia" w:ascii="宋体" w:hAnsi="宋体" w:cs="宋体"/>
          <w:bCs/>
          <w:color w:val="auto"/>
          <w:sz w:val="24"/>
          <w:szCs w:val="24"/>
          <w:highlight w:val="none"/>
        </w:rPr>
        <w:t>年1月1日起（含该日），本基金投资权益类资产的比例为0-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资产配置策略主要是以自上而下的视角重点分析宏观经济走势、基于经济结构调整过程中相关政策与法规的变化、金融市场利率及流动性水平变化、金融市场环境状况、投资者情绪以及证券市场不同类别资产的估值/风险/收益状况等，判断宏观经济发展趋势、政策导向和金融市场的未来发展趋势，确定合适的资产配置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本基金投资目标将以产生稳定的利息收入为主，以资本增值为辅，基金的资产配置策略倾向稳健保守，以便为投资人在退休后的时间中提供稳定的资金来源。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（1）基金分类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（2）基金量化筛选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（3）风格量化分析</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（4）定性访谈研究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（5）类别化基金研究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3、股票投资策略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（1）个股精选策略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1）成长性指标：主营业务收入增长率、息税折旧前利润增长率、现金流；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2）盈利指标：毛利率、净资产收益率、投资回报率、企业净利润率等指标。结合相关财务模型的分析，形成对标的股票的初步判断；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3）估值指标：市盈增长比率（PEG）、市盈率（P/E）、市净率（P/B）、企业价值/息税前利润（EV/EBIT）、企业价值/息税、折旧、摊销前利润（EV/EBITDA）、自由现金流贴现（DCF）；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4）财务指标：净资产收益率（ROE）、毛利率；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5）研究投入规模指标：研发投入与营业收入比率、科研人员及高学历人员数量及占比、人力投入占比。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1）在技术能力方面，选择研发团队技术实力强、技术的发展与应用前景广阔并且在技术上具有一定护城河的公司；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3）在公司治理结构方面，将从上市公司的管理层评价、战略定位和管理制度体系等方面进行评价。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（2）港股投资策略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本基金可通过内地与香港股票市场交易互联互通机制投资于香港股票市场，不使用合格境内机构投资者（QDII）境外投资额度进行境外投资。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2）独立思考（Original ideas）领先市场共识，寻找未被充分挖掘的企业。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4）长期投资（Long-term investment horizon）注重现金分红及资本增值，愿意承受短期盈余增长波动。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（3）存托凭证投资策略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4、固定收益类资产投资策略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（1）信用债券投资策略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（2）证券公司短期公司债券投资策略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（3）银行存款、同业存单投资策略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（4）可转换债券、可交换债券投资策略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（5）杠杆投资策略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投资于股票（含存托凭证）、股票型基金、混合型基金和商品基金（含商品期货基金和黄金ETF）等品种的比例合计原则上不超过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（2）本基金权益类资产比例为0-</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（3）本基金持有不低于基金资产净值5%的现金或者到期日在一年以内的政府债券，其中现金不包括结算备付金、存出保证金和应收申购款等；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（4）本基金持有货币市场基金的市值，不得高于基金资产的15%；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（6）本基金持有单只基金的市值，不得高于本基金资产净值的20%；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（7）本基金管理人管理的全部基金中基金（ETF联接基金除外）持有单只基金的市值，不得超过该基金资产净值的20%，其中该基金资产净值以最近定期报告披露的规模为准；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（9）本基金投资其他基金时，被投资基金的运作期限不低于1年，且最近定期报告披露的基金资产净值不低于1亿元；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（10）本基金持有一家公司发行的证券（同一家公司在内地和香港同时上市的A+H股合计计算且不包括本基金所投资的基金份额），其市值不超过基金资产净值的10％；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管理人管理的全部基金持有一家公司发行的证券（同一家公司在内地和香港同时上市的A+H股合计计算且不包括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的因素致使基金投资不符合前款第（6）项、第（7）项规定的投资比例的，基金管理人应当在20个交易日内进行调整，但中国证监会规定的特殊情形除外。除上述第（3）项、第（6）项、第（7）项、第（16）项、第（23）项、第（24）项另有约定外，因证券市场波动、证券发行人合并或基金规模变动等基金管理人之外的因素致使基金投资比例不符合上述规定投资比例的，基金管理人应当在10个可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基金管理人应当自基金转型之日起6个月内使基金的投资组合比例符合基金合同的有关约定。在上述期间内，本基金的投资范围、投资策略应当符合本基金合同的约定。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如果法律法规或监管部门对上述投资组合比例限制进行变更的，以变更后的规定为准。法律法规或监管部门取消上述限制，如适用于本基金，基金管理人在履行适当程序后，则本基金投资不再受相关限制。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本基金转型后业绩比较基准为：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中证800指数收益率×15%+中债综合全价（总值）指数收益率×85%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本基金作为混合型基金中基金，其预期风险和预期收益水平高于货币市场基金、货币型基金中基金（FOF）、债券型基金和债券型基金中基金（FOF），低于股票型基金和股票型基金中基金（FOF）。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（七）基金管理人代表基金行使股东或债权人权利的处理原则及方法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（八）侧袋机制的实施和投资运作安排</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侧袋账户的实施条件、实施程序、运作安排、投资安排、特定资产的处置变现和支付等对投资者权益有重大影响的事项详见招募说明书的规定。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四、基金转型后的申购和赎回开放时间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本基金转为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后，投资人在开放日内可办理基金份额的申购和赎回，具体办理时间为上海证券交易所、深圳证券交易所的正常交易日的交易时间（若为非港股通交易日，则本基金有权不开放申购、赎回，并按规定进行公告），但基金管理人根据法律法规、中国证监会的要求或本基金合同的规定公告暂停申购、赎回时除外。</w:t>
      </w:r>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pPr>
        <w:pStyle w:val="2"/>
        <w:spacing w:before="0" w:after="0"/>
        <w:jc w:val="center"/>
        <w:rPr>
          <w:rFonts w:hAnsi="宋体" w:cs="宋体"/>
          <w:color w:val="auto"/>
          <w:sz w:val="30"/>
          <w:szCs w:val="30"/>
          <w:highlight w:val="none"/>
        </w:rPr>
      </w:pPr>
      <w:bookmarkStart w:id="289" w:name="_Toc11823"/>
      <w:r>
        <w:rPr>
          <w:rFonts w:hint="eastAsia" w:hAnsi="宋体" w:cs="宋体"/>
          <w:color w:val="auto"/>
          <w:sz w:val="30"/>
          <w:szCs w:val="30"/>
          <w:highlight w:val="none"/>
        </w:rPr>
        <w:t>第十四部分  基金的财产</w:t>
      </w:r>
      <w:bookmarkEnd w:id="289"/>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一、基金资产总值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基金资产总值是指基金拥有的各类有价证券、资产支持证券及票据价值、基金份额、银行存款本息和基金应收款项以及其他投资所形成的价值总和。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二、基金资产净值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基金资产净值是指基金资产总值减去基金负债后的价值。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三、基金财产的账户</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bookmarkStart w:id="290" w:name="_Hlt88841837"/>
      <w:bookmarkEnd w:id="290"/>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四、基金财产的保管和处分</w:t>
      </w:r>
      <w:bookmarkStart w:id="291" w:name="_Hlt88900062"/>
      <w:bookmarkEnd w:id="291"/>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292" w:name="_Toc17782"/>
      <w:bookmarkStart w:id="293" w:name="_Toc871"/>
      <w:bookmarkStart w:id="294" w:name="_Toc7802"/>
      <w:bookmarkStart w:id="295" w:name="_Toc3497"/>
      <w:bookmarkStart w:id="296" w:name="_Toc2623"/>
      <w:bookmarkStart w:id="297" w:name="_Toc31917"/>
      <w:bookmarkStart w:id="298" w:name="_Toc19714"/>
      <w:bookmarkStart w:id="299" w:name="_Toc27832"/>
      <w:bookmarkStart w:id="300" w:name="_Toc141703894"/>
      <w:bookmarkStart w:id="301" w:name="_Toc139991744"/>
      <w:r>
        <w:rPr>
          <w:rFonts w:hint="eastAsia" w:hAnsi="宋体" w:cs="宋体"/>
          <w:color w:val="auto"/>
          <w:sz w:val="30"/>
          <w:szCs w:val="30"/>
          <w:highlight w:val="none"/>
        </w:rPr>
        <w:t>第十五部分  基金资产估值</w:t>
      </w:r>
      <w:bookmarkEnd w:id="292"/>
      <w:bookmarkEnd w:id="293"/>
      <w:bookmarkEnd w:id="294"/>
      <w:bookmarkEnd w:id="295"/>
      <w:bookmarkEnd w:id="296"/>
      <w:bookmarkEnd w:id="297"/>
      <w:bookmarkEnd w:id="298"/>
      <w:bookmarkEnd w:id="299"/>
    </w:p>
    <w:p>
      <w:pPr>
        <w:spacing w:line="360" w:lineRule="auto"/>
        <w:ind w:firstLine="480" w:firstLineChars="200"/>
        <w:rPr>
          <w:rFonts w:ascii="宋体" w:hAnsi="宋体" w:cs="宋体"/>
          <w:bCs/>
          <w:color w:val="auto"/>
          <w:sz w:val="24"/>
          <w:szCs w:val="24"/>
          <w:highlight w:val="none"/>
        </w:rPr>
      </w:pPr>
    </w:p>
    <w:bookmarkEnd w:id="300"/>
    <w:bookmarkEnd w:id="301"/>
    <w:p>
      <w:pPr>
        <w:spacing w:line="360" w:lineRule="auto"/>
        <w:ind w:firstLine="480" w:firstLineChars="200"/>
        <w:rPr>
          <w:rFonts w:asciiTheme="minorEastAsia" w:hAnsiTheme="minorEastAsia" w:eastAsiaTheme="minorEastAsia" w:cstheme="minorEastAsia"/>
          <w:bCs/>
          <w:color w:val="auto"/>
          <w:sz w:val="24"/>
          <w:szCs w:val="24"/>
          <w:highlight w:val="none"/>
        </w:rPr>
      </w:pPr>
      <w:bookmarkStart w:id="302" w:name="_Toc139991745"/>
      <w:bookmarkStart w:id="303" w:name="_Toc32046"/>
      <w:bookmarkStart w:id="304" w:name="_Toc141703895"/>
      <w:r>
        <w:rPr>
          <w:rFonts w:hint="eastAsia" w:asciiTheme="minorEastAsia" w:hAnsiTheme="minorEastAsia" w:eastAsiaTheme="minorEastAsia" w:cstheme="minorEastAsia"/>
          <w:bCs/>
          <w:color w:val="auto"/>
          <w:sz w:val="24"/>
          <w:szCs w:val="24"/>
          <w:highlight w:val="none"/>
        </w:rPr>
        <w:t>一、估值日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二、估值对象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基金所拥有的证券投资基金、股票、债券、资产支持证券和银行存款本息、应收款项、其它投资等资产及负债。</w:t>
      </w:r>
    </w:p>
    <w:p>
      <w:pPr>
        <w:numPr>
          <w:ilvl w:val="0"/>
          <w:numId w:val="3"/>
        </w:num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估值原则</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基金管理人在确定相关金融资产和金融负债的公允价值时，应符合《企业会计准则》、监管部门有关规定。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四、估值方法</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1、证券投资基金的估值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（1）投资于非上市基金的估值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1）投资的境内非货币市场基金，按所投资基金估值日的份额净值估值；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（2）投资于交易所上市基金的估值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1）投资的ETF基金，按所投资ETF基金估值日的收盘价估值；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2）投资的境内上市开放式基金（LOF），按所投资基金估值日的份额净值估值；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3）投资的境内上市定期开放式基金、封闭式基金，按所投资基金估值日的收盘价估值；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2、证券交易所上市的有价证券的估值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（4）交易所上市交易的可转换债券以每日收盘价作为估值全价；</w:t>
      </w:r>
    </w:p>
    <w:p>
      <w:pPr>
        <w:pStyle w:val="37"/>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3、处于未上市期间的有价证券应区分如下情况处理：</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（1）送股、转增股、配股和公开增发的新股，按估值日在证券交易所挂牌的同一股票的估值方法估值；该日无交易的，以最近一日的市价（收盘价）估值</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shd w:val="clear" w:color="auto" w:fill="FFFFFF"/>
        </w:rPr>
        <w:t>5、同业存单按估值日第三方估值机构提供的估值净价估值；选定的第三方估值机构未提供估值价格的，按成本估值。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rPr>
        <w:t>6</w:t>
      </w:r>
      <w:r>
        <w:rPr>
          <w:rFonts w:hint="eastAsia" w:asciiTheme="minorEastAsia" w:hAnsiTheme="minorEastAsia" w:eastAsiaTheme="minorEastAsia" w:cstheme="minorEastAsia"/>
          <w:bCs/>
          <w:color w:val="auto"/>
          <w:sz w:val="24"/>
          <w:szCs w:val="24"/>
          <w:highlight w:val="none"/>
          <w:shd w:val="clear" w:color="auto" w:fill="FFFFFF"/>
        </w:rPr>
        <w:t>、同一证券同时在两个或两个以上市场交易的，按证券所处的市场分别估值。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7、本基金采用第三方估值机构按照上述公允价值确定原则提供的数据估值。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8、本基金投资存托凭证的估值核算，依照境内上市交易的股票执行。</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13、相关法律法规以及监管部门有强制规定的，从其规定。如有新增事项，按国家最新规定估值。</w:t>
      </w:r>
    </w:p>
    <w:p>
      <w:pPr>
        <w:spacing w:line="360" w:lineRule="auto"/>
        <w:ind w:firstLine="480" w:firstLineChars="200"/>
        <w:rPr>
          <w:rStyle w:val="47"/>
          <w:rFonts w:asciiTheme="minorEastAsia" w:hAnsiTheme="minorEastAsia" w:eastAsiaTheme="minorEastAsia" w:cstheme="minorEastAsia"/>
          <w:bCs/>
          <w:color w:val="auto"/>
          <w:sz w:val="24"/>
          <w:szCs w:val="24"/>
          <w:highlight w:val="none"/>
        </w:rPr>
      </w:pPr>
      <w:r>
        <w:rPr>
          <w:rStyle w:val="47"/>
          <w:rFonts w:hint="eastAsia" w:asciiTheme="minorEastAsia" w:hAnsiTheme="minorEastAsia" w:eastAsiaTheme="minorEastAsia" w:cstheme="minorEastAsia"/>
          <w:bCs/>
          <w:color w:val="auto"/>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五、估值程序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六、估值错误的处理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本基金合同的当事人应按照以下约定处理：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1、估值错误类型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2、估值错误处理原则</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（4）估值错误调整采用尽量恢复至假设未发生估值错误的正确情形的方式。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color w:val="auto"/>
          <w:sz w:val="24"/>
          <w:szCs w:val="24"/>
          <w:highlight w:val="none"/>
        </w:rPr>
        <w:t>按法律法规规定的其他原则处理估值错误。</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3、估值错误处理程序</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估值错误被发现后，有关的当事人应当及时进行处理，处理的程序如下：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（1）查明估值错误发生的原因，列明所有的当事人，并根据估值错误发生的原因确定估值错误的责任方；</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（2）根据估值错误处理原则或当事人协商的方法对因估值错误造成的损失进行评估；</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（3）根据估值错误处理原则或当事人协商的方法由估值错误的责任方进行更正和赔偿损失；</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4、基金份额净值估值错误处理的方法如下：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（3）基金管理人和基金托管人由于各自技术系统设置而产生的净值计算尾差，以基金管理人计算结果为准。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（4）前述内容如法律法规或监管机关另有规定的，从其规定处理。</w:t>
      </w:r>
      <w:r>
        <w:rPr>
          <w:rFonts w:hint="eastAsia" w:asciiTheme="minorEastAsia" w:hAnsiTheme="minorEastAsia" w:eastAsiaTheme="minorEastAsia" w:cstheme="minorEastAsia"/>
          <w:bCs/>
          <w:color w:val="auto"/>
          <w:sz w:val="24"/>
          <w:szCs w:val="24"/>
          <w:highlight w:val="none"/>
          <w:shd w:val="clear" w:color="auto" w:fill="FFFFFF"/>
        </w:rPr>
        <w:t>如果行业另有通行做法，基金管理人和基金托管人应本着平等和保护基金份额持有人利益的原则进行协商。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七、暂停估值的情形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1、基金投资所涉及的证券交易市场或外汇市场遇法定节假日或因其他原因暂停营业时；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2、因不可抗力或其他情形致使基金管理人、基金托管人无法准确评估基金资产价值时；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4、占相当比例的被投资基金暂停估值时；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5、法律法规规定、中国证监会和基金合同认定的其它情形。</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八、基金净值的确认</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九、特殊情况的处理方法</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1、基金管理人、基金托管人按估值方法的第</w:t>
      </w:r>
      <w:r>
        <w:rPr>
          <w:rFonts w:asciiTheme="minorEastAsia" w:hAnsiTheme="minorEastAsia" w:eastAsiaTheme="minorEastAsia" w:cstheme="minorEastAsia"/>
          <w:bCs/>
          <w:color w:val="auto"/>
          <w:sz w:val="24"/>
          <w:szCs w:val="24"/>
          <w:highlight w:val="none"/>
        </w:rPr>
        <w:t>11</w:t>
      </w:r>
      <w:r>
        <w:rPr>
          <w:rFonts w:hint="eastAsia" w:asciiTheme="minorEastAsia" w:hAnsiTheme="minorEastAsia" w:eastAsiaTheme="minorEastAsia" w:cstheme="minorEastAsia"/>
          <w:bCs/>
          <w:color w:val="auto"/>
          <w:sz w:val="24"/>
          <w:szCs w:val="24"/>
          <w:highlight w:val="none"/>
        </w:rPr>
        <w:t>项进行估值时，所造成的误差不作为基金资产估值错误处理。</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十、实施侧袋机制期间的基金资产估值</w:t>
      </w:r>
    </w:p>
    <w:p>
      <w:pPr>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本基金实施侧袋机制的，应根据本部分的约定对主袋账户资产进行估值并披露主袋账户的基金份额净值和份额累计净值，暂停披露侧袋账户的基金净值信息。</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305" w:name="_Toc3365"/>
      <w:bookmarkStart w:id="306" w:name="_Toc15779"/>
      <w:bookmarkStart w:id="307" w:name="_Toc32227"/>
      <w:bookmarkStart w:id="308" w:name="_Toc13987"/>
      <w:bookmarkStart w:id="309" w:name="_Toc24601"/>
      <w:bookmarkStart w:id="310" w:name="_Toc32041"/>
      <w:bookmarkStart w:id="311" w:name="_Toc12105"/>
      <w:bookmarkStart w:id="312" w:name="_Toc19752"/>
      <w:bookmarkStart w:id="313" w:name="_Toc9964"/>
      <w:bookmarkStart w:id="314" w:name="_Toc6493"/>
      <w:bookmarkStart w:id="315" w:name="_Toc19706"/>
      <w:r>
        <w:rPr>
          <w:rFonts w:hint="eastAsia" w:hAnsi="宋体" w:cs="宋体"/>
          <w:color w:val="auto"/>
          <w:sz w:val="30"/>
          <w:szCs w:val="30"/>
          <w:highlight w:val="none"/>
        </w:rPr>
        <w:t>第十六部分  基金费用与税收</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一、基金费用的种类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3、《基金合同》生效后与基金相关的信息披露费用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4、《基金合同》生效后与基金相关的会计师费、审计费、律师费</w:t>
      </w:r>
      <w:r>
        <w:rPr>
          <w:rFonts w:hint="eastAsia" w:ascii="宋体" w:hAnsi="宋体" w:cs="宋体"/>
          <w:bCs/>
          <w:color w:val="auto"/>
          <w:sz w:val="24"/>
          <w:szCs w:val="24"/>
          <w:highlight w:val="none"/>
          <w:shd w:val="clear" w:color="auto" w:fill="FFFFFF"/>
        </w:rPr>
        <w:t>、仲裁费、</w:t>
      </w:r>
      <w:r>
        <w:rPr>
          <w:rFonts w:hint="eastAsia" w:ascii="宋体" w:hAnsi="宋体" w:cs="宋体"/>
          <w:bCs/>
          <w:color w:val="auto"/>
          <w:sz w:val="24"/>
          <w:szCs w:val="24"/>
          <w:highlight w:val="none"/>
        </w:rPr>
        <w:t>财产保全费和诉讼费等费用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5、基金份额持有人大会费用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6、基金的证券交易费用、基金投资其他基金产生的相关费用，但法律法规禁止从基金财产中列支的除外</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7、基金的银行汇划费用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8、账户开户费用、账户维护费用</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9、因投资港股通标的股票而产生的各项合理费用；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shd w:val="clear" w:color="auto" w:fill="FFFFFF"/>
        </w:rPr>
        <w:t>10</w:t>
      </w:r>
      <w:r>
        <w:rPr>
          <w:rFonts w:hint="eastAsia" w:ascii="宋体" w:hAnsi="宋体" w:cs="宋体"/>
          <w:bCs/>
          <w:color w:val="auto"/>
          <w:sz w:val="24"/>
          <w:szCs w:val="24"/>
          <w:highlight w:val="none"/>
        </w:rPr>
        <w:t>、按照国家有关规定和《基金合同》约定，可以在基金财产中列支的其他费用。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二、基金费用计提方法、计提标准和支付方式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w:t>
      </w:r>
      <w:r>
        <w:rPr>
          <w:rFonts w:ascii="宋体" w:hAnsi="宋体" w:cs="宋体"/>
          <w:bCs/>
          <w:color w:val="auto"/>
          <w:sz w:val="24"/>
          <w:szCs w:val="24"/>
          <w:highlight w:val="none"/>
        </w:rPr>
        <w:t>0.60%</w:t>
      </w:r>
      <w:r>
        <w:rPr>
          <w:rFonts w:hint="eastAsia" w:ascii="宋体" w:hAnsi="宋体" w:cs="宋体"/>
          <w:bCs/>
          <w:color w:val="auto"/>
          <w:sz w:val="24"/>
          <w:szCs w:val="24"/>
          <w:highlight w:val="none"/>
        </w:rPr>
        <w:t>÷当年天数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基金管理费每日计</w:t>
      </w:r>
      <w:r>
        <w:rPr>
          <w:rFonts w:ascii="宋体" w:hAnsi="宋体"/>
          <w:bCs/>
          <w:color w:val="auto"/>
          <w:sz w:val="24"/>
          <w:szCs w:val="24"/>
          <w:highlight w:val="none"/>
        </w:rPr>
        <w:t>提</w:t>
      </w:r>
      <w:r>
        <w:rPr>
          <w:rFonts w:hint="eastAsia" w:ascii="宋体" w:hAnsi="宋体" w:cs="宋体"/>
          <w:bCs/>
          <w:color w:val="auto"/>
          <w:sz w:val="24"/>
          <w:szCs w:val="24"/>
          <w:highlight w:val="none"/>
        </w:rPr>
        <w:t>，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r>
        <w:rPr>
          <w:rFonts w:hint="eastAsia" w:ascii="宋体" w:hAnsi="宋体" w:cs="宋体"/>
          <w:bCs/>
          <w:color w:val="auto"/>
          <w:sz w:val="24"/>
          <w:szCs w:val="24"/>
          <w:highlight w:val="none"/>
          <w:shd w:val="clear" w:color="auto" w:fill="FFFFFF"/>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H＝E×0.15%÷当年天数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基金托管费每日计</w:t>
      </w:r>
      <w:r>
        <w:rPr>
          <w:rFonts w:ascii="宋体" w:hAnsi="宋体"/>
          <w:bCs/>
          <w:color w:val="auto"/>
          <w:sz w:val="24"/>
          <w:szCs w:val="24"/>
          <w:highlight w:val="none"/>
        </w:rPr>
        <w:t>提</w:t>
      </w:r>
      <w:r>
        <w:rPr>
          <w:rFonts w:hint="eastAsia" w:ascii="宋体" w:hAnsi="宋体" w:cs="宋体"/>
          <w:bCs/>
          <w:color w:val="auto"/>
          <w:sz w:val="24"/>
          <w:szCs w:val="24"/>
          <w:highlight w:val="none"/>
        </w:rPr>
        <w:t>，逐日累计至每月月末，按月支付，经基金管理人与基金托管人双方核对无误后，基金托管人按照与基金管理人协商一致的方式于次月前5个工作日内从基金财产中一次性支取。若遇法定节假日、公休日</w:t>
      </w:r>
      <w:r>
        <w:rPr>
          <w:rFonts w:hint="eastAsia" w:ascii="宋体" w:hAnsi="宋体" w:cs="宋体"/>
          <w:bCs/>
          <w:color w:val="auto"/>
          <w:sz w:val="24"/>
          <w:szCs w:val="24"/>
          <w:highlight w:val="none"/>
          <w:shd w:val="clear" w:color="auto" w:fill="FFFFFF"/>
        </w:rPr>
        <w:t>或不可抗力等，支付日期顺延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三、不列入基金费用的项目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下列费用不列入基金费用：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1、基金管理人和基金托管人因未履行或未完全履行义务导致的费用支出或基金财产的损失；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2、基金管理人和基金托管人处理与基金运作无关的事项发生的费用；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3、《基金合同》生效前的相关费用；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4、其他根据相关法律法规及中国证监会的有关规定不得列入基金费用的项目。</w:t>
      </w:r>
      <w:bookmarkStart w:id="316" w:name="_Hlt88827255"/>
      <w:bookmarkEnd w:id="316"/>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四、实施侧袋机制期间的基金费用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五、基金税收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rFonts w:ascii="宋体" w:hAnsi="宋体" w:cs="宋体"/>
          <w:bCs/>
          <w:color w:val="auto"/>
          <w:sz w:val="24"/>
          <w:szCs w:val="24"/>
          <w:highlight w:val="none"/>
          <w:u w:val="single"/>
        </w:rPr>
      </w:pPr>
    </w:p>
    <w:p>
      <w:pPr>
        <w:pStyle w:val="2"/>
        <w:spacing w:before="0" w:after="0"/>
        <w:jc w:val="center"/>
        <w:rPr>
          <w:rFonts w:hAnsi="宋体" w:cs="宋体"/>
          <w:color w:val="auto"/>
          <w:szCs w:val="24"/>
          <w:highlight w:val="none"/>
        </w:rPr>
      </w:pPr>
      <w:bookmarkStart w:id="317" w:name="_Toc92662707"/>
      <w:bookmarkStart w:id="318" w:name="_Toc93226149"/>
      <w:bookmarkStart w:id="319" w:name="_Toc22552"/>
      <w:bookmarkStart w:id="320" w:name="_Toc141703896"/>
      <w:bookmarkStart w:id="321" w:name="_Toc139991746"/>
      <w:bookmarkStart w:id="322" w:name="_Toc128310499"/>
      <w:r>
        <w:rPr>
          <w:rFonts w:hint="eastAsia" w:hAnsi="宋体" w:cs="宋体"/>
          <w:b w:val="0"/>
          <w:bCs/>
          <w:color w:val="auto"/>
          <w:szCs w:val="24"/>
          <w:highlight w:val="none"/>
        </w:rPr>
        <w:br w:type="page"/>
      </w:r>
      <w:bookmarkStart w:id="323" w:name="_Toc25883"/>
      <w:bookmarkStart w:id="324" w:name="_Toc15351"/>
      <w:bookmarkStart w:id="325" w:name="_Toc20052"/>
      <w:bookmarkStart w:id="326" w:name="_Toc19558"/>
      <w:bookmarkStart w:id="327" w:name="_Toc12761"/>
      <w:bookmarkStart w:id="328" w:name="_Toc178"/>
      <w:bookmarkStart w:id="329" w:name="_Toc15525"/>
      <w:bookmarkStart w:id="330" w:name="_Toc1617"/>
      <w:bookmarkStart w:id="331" w:name="_Toc14394"/>
      <w:bookmarkStart w:id="332" w:name="_Toc21829"/>
      <w:bookmarkStart w:id="333" w:name="_Toc3656"/>
      <w:r>
        <w:rPr>
          <w:rFonts w:hint="eastAsia" w:hAnsi="宋体" w:cs="宋体"/>
          <w:color w:val="auto"/>
          <w:sz w:val="30"/>
          <w:szCs w:val="30"/>
          <w:highlight w:val="none"/>
        </w:rPr>
        <w:t>第十七部分  基金</w:t>
      </w:r>
      <w:bookmarkEnd w:id="317"/>
      <w:bookmarkEnd w:id="318"/>
      <w:r>
        <w:rPr>
          <w:rFonts w:hint="eastAsia" w:hAnsi="宋体" w:cs="宋体"/>
          <w:color w:val="auto"/>
          <w:sz w:val="30"/>
          <w:szCs w:val="30"/>
          <w:highlight w:val="none"/>
        </w:rPr>
        <w:t>的收益与分配</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rPr>
          <w:rFonts w:ascii="宋体" w:hAnsi="宋体" w:cs="宋体"/>
          <w:bCs/>
          <w:color w:val="auto"/>
          <w:sz w:val="24"/>
          <w:szCs w:val="24"/>
          <w:highlight w:val="none"/>
        </w:rPr>
      </w:pP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一、基金利润的构成</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二、基金可供分配利润</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基金可供分配利润指截至收益分配基准日基金未分配利润与未分配利润中已实现收益的孰低数。</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三、基金收益分配原则</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4、每一基金份额享有同等分配权。</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5、法律法规或监管机关另有规定的，从其规定。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在不违反法律法规且对基金份额持有人利益无实质性不利影响的前提下，基金管理人可对基金收益分配原则进行调整，无需召开基金份额持有人大会。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四、收益分配方案</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基金收益分配方案中应载明截止收益分配基准日的可供分配利润、基金收益分配对象、分配时间、分配数额及比例、分配方式等内容。</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五、收益分配方案的确定、公告与实施</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六、基金收益分配中发生的费用</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七、实施侧袋机制期间的收益分配</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本基金实施侧袋机制的，侧袋账户不进行收益分配，详见招募说明书的规定。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334" w:name="_Toc93226150"/>
      <w:bookmarkStart w:id="335" w:name="_Toc92662708"/>
      <w:bookmarkStart w:id="336" w:name="_Toc18007"/>
      <w:bookmarkStart w:id="337" w:name="_Toc8318"/>
      <w:bookmarkStart w:id="338" w:name="_Toc141703897"/>
      <w:bookmarkStart w:id="339" w:name="_Toc28961"/>
      <w:bookmarkStart w:id="340" w:name="_Toc13255"/>
      <w:bookmarkStart w:id="341" w:name="_Toc21206"/>
      <w:bookmarkStart w:id="342" w:name="_Toc10894"/>
      <w:bookmarkStart w:id="343" w:name="_Toc18747"/>
      <w:bookmarkStart w:id="344" w:name="_Toc128310500"/>
      <w:bookmarkStart w:id="345" w:name="_Toc17499"/>
      <w:bookmarkStart w:id="346" w:name="_Toc31736"/>
      <w:bookmarkStart w:id="347" w:name="_Toc23859"/>
      <w:bookmarkStart w:id="348" w:name="_Toc1043"/>
      <w:bookmarkStart w:id="349" w:name="_Toc139991747"/>
      <w:bookmarkStart w:id="350" w:name="_Toc29695"/>
      <w:r>
        <w:rPr>
          <w:rFonts w:hint="eastAsia" w:hAnsi="宋体" w:cs="宋体"/>
          <w:color w:val="auto"/>
          <w:sz w:val="30"/>
          <w:szCs w:val="30"/>
          <w:highlight w:val="none"/>
        </w:rPr>
        <w:t>第十八部分  基金</w:t>
      </w:r>
      <w:bookmarkEnd w:id="334"/>
      <w:bookmarkEnd w:id="335"/>
      <w:r>
        <w:rPr>
          <w:rFonts w:hint="eastAsia" w:hAnsi="宋体" w:cs="宋体"/>
          <w:color w:val="auto"/>
          <w:sz w:val="30"/>
          <w:szCs w:val="30"/>
          <w:highlight w:val="none"/>
        </w:rPr>
        <w:t>的会计与审计</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一、基金会计政策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1、基金管理人为本基金的基金会计责任方；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2、基金的会计年度为公历年度的1月1日至12月31日；基金首次募集的会计年度按如下原则：如果《基金合同》生效少于2个月，可以并入下一个会计年度；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3、基金核算以人民币为记账本位币，以人民币元为记账单位；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4、会计制度执行国家有关会计制度；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5、本基金独立建账、独立核算；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6、基金管理人及基金托管人各自保留完整的会计账目、凭证并进行日常的会计核算，按照有关规定编制基金会计报表；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7、基金托管人每月与基金管理人就基金的会计核算、报表编制等进行核对并以书面或双方认可的其他方式确认。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二、基金的年度审计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1、基金管理人聘请与基金管理人、基金托管人相互独立的、</w:t>
      </w:r>
      <w:r>
        <w:rPr>
          <w:rFonts w:hint="eastAsia" w:ascii="宋体" w:hAnsi="宋体" w:cs="宋体"/>
          <w:bCs/>
          <w:color w:val="auto"/>
          <w:sz w:val="24"/>
          <w:szCs w:val="24"/>
          <w:highlight w:val="none"/>
          <w:shd w:val="clear" w:color="auto" w:fill="FFFFFF"/>
        </w:rPr>
        <w:t>符合《中华人民共和国证券法》规定</w:t>
      </w:r>
      <w:r>
        <w:rPr>
          <w:rFonts w:hint="eastAsia" w:ascii="宋体" w:hAnsi="宋体" w:cs="宋体"/>
          <w:bCs/>
          <w:color w:val="auto"/>
          <w:sz w:val="24"/>
          <w:szCs w:val="24"/>
          <w:highlight w:val="none"/>
        </w:rPr>
        <w:t>的会计师事务所及其注册会计师对本基金的年度财务报表进行审计。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2、会计师事务所更换经办注册会计师，应事先征得基金管理人同意。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w:t>
      </w:r>
      <w:bookmarkStart w:id="351" w:name="_Hlt4221115"/>
      <w:bookmarkEnd w:id="351"/>
      <w:r>
        <w:rPr>
          <w:rFonts w:hint="eastAsia" w:ascii="宋体" w:hAnsi="宋体" w:cs="宋体"/>
          <w:bCs/>
          <w:color w:val="auto"/>
          <w:sz w:val="24"/>
          <w:szCs w:val="24"/>
          <w:highlight w:val="none"/>
        </w:rPr>
        <w:t>基金管理人认为有充足理由更换会计师事务所，须通报基金托管人。更换会计师事务所需按照《信息披露办法》的有关规定在规定媒介公告。</w:t>
      </w:r>
    </w:p>
    <w:p>
      <w:pPr>
        <w:pStyle w:val="2"/>
        <w:spacing w:before="0" w:after="0"/>
        <w:jc w:val="center"/>
        <w:rPr>
          <w:rFonts w:hAnsi="宋体" w:cs="宋体"/>
          <w:color w:val="auto"/>
          <w:sz w:val="30"/>
          <w:szCs w:val="30"/>
          <w:highlight w:val="none"/>
        </w:rPr>
      </w:pPr>
      <w:r>
        <w:rPr>
          <w:rFonts w:hint="eastAsia" w:hAnsi="宋体" w:cs="宋体"/>
          <w:color w:val="auto"/>
          <w:sz w:val="30"/>
          <w:szCs w:val="30"/>
          <w:highlight w:val="none"/>
        </w:rPr>
        <w:br w:type="page"/>
      </w:r>
      <w:bookmarkStart w:id="352" w:name="_Toc14554"/>
      <w:r>
        <w:rPr>
          <w:rFonts w:hint="eastAsia" w:hAnsi="宋体" w:cs="宋体"/>
          <w:color w:val="auto"/>
          <w:sz w:val="30"/>
          <w:szCs w:val="30"/>
          <w:highlight w:val="none"/>
        </w:rPr>
        <w:t>第十九部分  基金的信息披露</w:t>
      </w:r>
      <w:bookmarkEnd w:id="352"/>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一、本基金的信息披露应符合《基金法》、《运作办法》、《信息披露办法》、《流动性风险管理规定》、《基金合同》及其他有关规定。相关法律法规关于信息披露的规定发生变化时，本基金从其最新规定。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二、信息披露义务人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本基金信息披露义务人包括基金管理人、基金托管人、召集基金份额持有人大会的基金份额持有人等法律法规和中国证监会规定的自然人、法人和非法人组织。</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w:t>
      </w:r>
      <w:r>
        <w:rPr>
          <w:rFonts w:hint="eastAsia" w:ascii="宋体" w:hAnsi="宋体" w:cs="宋体"/>
          <w:bCs/>
          <w:color w:val="auto"/>
          <w:sz w:val="24"/>
          <w:szCs w:val="24"/>
          <w:highlight w:val="none"/>
          <w:shd w:val="clear" w:color="auto" w:fill="FFFFFF"/>
        </w:rPr>
        <w:t>以保护基金份额持有人利益为根本出发点，</w:t>
      </w:r>
      <w:r>
        <w:rPr>
          <w:rFonts w:hint="eastAsia" w:ascii="宋体" w:hAnsi="宋体" w:cs="宋体"/>
          <w:bCs/>
          <w:color w:val="auto"/>
          <w:sz w:val="24"/>
          <w:szCs w:val="24"/>
          <w:highlight w:val="none"/>
        </w:rPr>
        <w:t>按照法律法规和中国证监会的规定披露基金信息，并保证所披露信息的真实性、准确性和完整性</w:t>
      </w:r>
      <w:r>
        <w:rPr>
          <w:rFonts w:hint="eastAsia" w:ascii="宋体" w:hAnsi="宋体" w:cs="宋体"/>
          <w:bCs/>
          <w:color w:val="auto"/>
          <w:sz w:val="24"/>
          <w:szCs w:val="24"/>
          <w:highlight w:val="none"/>
          <w:shd w:val="clear" w:color="auto" w:fill="FFFFFF"/>
        </w:rPr>
        <w:t>、及时性、简明性和易得性</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本基金信息披露义务人应当在中国证监会规定时间内，将应予披露的基金信息通过规定媒介披露，并保证基金投资者能够按照《基金合同》约定的时间和方式查阅或者复制公开披露的信息资料。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三、本基金信息披露义务人承诺公开披露的基金信息，不得有下列行为：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1、虚假记载、误导性陈述或者重大遗漏；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2、对证券投资业绩进行预测；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3、违规承诺收益或者承担损失；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4、诋毁其他基金管理人、基金托管人或者基金销售机构；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5、登载任何自然人、法人和非法人组织的祝贺性、恭维性或推荐性的文字；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6、中国证监会禁止的其他行为。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本基金公开披露的信息采用阿拉伯数字；除特别说明外，货币单位为人民币元。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五、公开披露的基金信息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公开披露的基金信息包括：</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（一）基金招募说明书、《基金合同》、基金托管协议</w:t>
      </w:r>
      <w:r>
        <w:rPr>
          <w:rFonts w:hint="eastAsia" w:ascii="宋体" w:hAnsi="宋体" w:cs="宋体"/>
          <w:bCs/>
          <w:color w:val="auto"/>
          <w:sz w:val="24"/>
          <w:szCs w:val="24"/>
          <w:highlight w:val="none"/>
          <w:shd w:val="clear" w:color="auto" w:fill="FFFFFF"/>
        </w:rPr>
        <w:t>、基金产品资料概要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2、基金招募说明书应当最大限度地披露影响基金投资者决策的全部事项，说明基金认购、申购和赎回安排、基金投资、基金产品特性、风险揭示、信息披露及基金份额持有人服务等内容。</w:t>
      </w:r>
      <w:r>
        <w:rPr>
          <w:rFonts w:hint="eastAsia" w:ascii="宋体" w:hAnsi="宋体" w:cs="宋体"/>
          <w:bCs/>
          <w:color w:val="auto"/>
          <w:sz w:val="24"/>
          <w:szCs w:val="24"/>
          <w:highlight w:val="none"/>
          <w:shd w:val="clear" w:color="auto" w:fill="FFFFFF"/>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3、基金托管协议是界定基金托管人和基金管理人在基金财产保管及基金运作监督等活动中的权利、义务关系的法律文件。</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基金募集申请经中国证监会注册后，基金管理人在基金份额发售的三日前</w:t>
      </w:r>
      <w:r>
        <w:rPr>
          <w:rFonts w:hint="eastAsia" w:ascii="宋体" w:hAnsi="宋体" w:cs="宋体"/>
          <w:bCs/>
          <w:color w:val="auto"/>
          <w:sz w:val="24"/>
          <w:szCs w:val="24"/>
          <w:highlight w:val="none"/>
          <w:shd w:val="clear" w:color="auto" w:fill="FFFFFF"/>
        </w:rPr>
        <w:t>，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（二）基金份额发售公告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基金管理人应当就基金份额发售的具体事宜编制基金份额发售公告，并在披露招募说明书的当日登载于规定媒介上。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（三）《基金合同》生效公告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基金管理人应当在收到中国证监会确认文件的次日在规定媒介上登载《基金合同》生效公告。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（四）基金净值信息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基金合同生效后，在开始办理基金份额申购或者赎回前，基金管理人应当至少每周在规定网站公告一次基金份额净值和基金份额累计净值。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在开始办理基金份额申购或者赎回后，基金管理人应当在不晚于每个开放日后的3个工作日内，通过规定网站、基金销售机构网站或者营业网点披露开放日的基金份额净值和基金份额累计净值。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基金管理人应当在不晚于半年度和年度最后一日后的第3个工作日内，在规定网站公告半年度和年度最后一日基金份额净值和基金份额累计净值。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基金管理人应当在《基金合同》、招募说明书等信息披露文件上载明基金份额申购、赎回价格的计算方式及有关申购、赎回费率，并保证投资者能够在基金</w:t>
      </w:r>
      <w:r>
        <w:rPr>
          <w:rFonts w:hint="eastAsia" w:ascii="宋体" w:hAnsi="宋体" w:cs="宋体"/>
          <w:bCs/>
          <w:color w:val="auto"/>
          <w:sz w:val="24"/>
          <w:szCs w:val="24"/>
          <w:highlight w:val="none"/>
          <w:shd w:val="clear" w:color="auto" w:fill="FFFFFF"/>
        </w:rPr>
        <w:t>销售机构网站或营业网点查阅或者复制前述信息资料。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（六）基金定期报告，包括基金年度报告、</w:t>
      </w:r>
      <w:r>
        <w:rPr>
          <w:rFonts w:hint="eastAsia" w:ascii="宋体" w:hAnsi="宋体" w:cs="宋体"/>
          <w:bCs/>
          <w:color w:val="auto"/>
          <w:sz w:val="24"/>
          <w:szCs w:val="24"/>
          <w:highlight w:val="none"/>
          <w:shd w:val="clear" w:color="auto" w:fill="FFFFFF"/>
        </w:rPr>
        <w:t>基金中期报告</w:t>
      </w:r>
      <w:r>
        <w:rPr>
          <w:rFonts w:hint="eastAsia" w:ascii="宋体" w:hAnsi="宋体" w:cs="宋体"/>
          <w:bCs/>
          <w:color w:val="auto"/>
          <w:sz w:val="24"/>
          <w:szCs w:val="24"/>
          <w:highlight w:val="none"/>
        </w:rPr>
        <w:t>和基金季度报告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基金管理人应当在每年结束之日起</w:t>
      </w:r>
      <w:r>
        <w:rPr>
          <w:rFonts w:hint="eastAsia" w:ascii="宋体" w:hAnsi="宋体" w:cs="宋体"/>
          <w:bCs/>
          <w:color w:val="auto"/>
          <w:sz w:val="24"/>
          <w:szCs w:val="24"/>
          <w:highlight w:val="none"/>
          <w:shd w:val="clear" w:color="auto" w:fill="FFFFFF"/>
        </w:rPr>
        <w:t>三个月</w:t>
      </w:r>
      <w:r>
        <w:rPr>
          <w:rFonts w:hint="eastAsia" w:ascii="宋体" w:hAnsi="宋体" w:cs="宋体"/>
          <w:bCs/>
          <w:color w:val="auto"/>
          <w:sz w:val="24"/>
          <w:szCs w:val="24"/>
          <w:highlight w:val="none"/>
        </w:rPr>
        <w:t>内，编制完成基金年度报告，</w:t>
      </w:r>
      <w:r>
        <w:rPr>
          <w:rFonts w:hint="eastAsia" w:ascii="宋体" w:hAnsi="宋体" w:cs="宋体"/>
          <w:bCs/>
          <w:color w:val="auto"/>
          <w:sz w:val="24"/>
          <w:szCs w:val="24"/>
          <w:highlight w:val="none"/>
          <w:shd w:val="clear" w:color="auto" w:fill="FFFFFF"/>
        </w:rPr>
        <w:t>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基金管理人应当在上半年结束之日起</w:t>
      </w:r>
      <w:r>
        <w:rPr>
          <w:rFonts w:hint="eastAsia" w:ascii="宋体" w:hAnsi="宋体" w:cs="宋体"/>
          <w:bCs/>
          <w:color w:val="auto"/>
          <w:sz w:val="24"/>
          <w:szCs w:val="24"/>
          <w:highlight w:val="none"/>
          <w:shd w:val="clear" w:color="auto" w:fill="FFFFFF"/>
        </w:rPr>
        <w:t>两个月</w:t>
      </w:r>
      <w:r>
        <w:rPr>
          <w:rFonts w:hint="eastAsia" w:ascii="宋体" w:hAnsi="宋体" w:cs="宋体"/>
          <w:bCs/>
          <w:color w:val="auto"/>
          <w:sz w:val="24"/>
          <w:szCs w:val="24"/>
          <w:highlight w:val="none"/>
        </w:rPr>
        <w:t>内，编制完成基金</w:t>
      </w:r>
      <w:r>
        <w:rPr>
          <w:rFonts w:hint="eastAsia" w:ascii="宋体" w:hAnsi="宋体" w:cs="宋体"/>
          <w:bCs/>
          <w:color w:val="auto"/>
          <w:sz w:val="24"/>
          <w:szCs w:val="24"/>
          <w:highlight w:val="none"/>
          <w:shd w:val="clear" w:color="auto" w:fill="FFFFFF"/>
        </w:rPr>
        <w:t>中期报告，将中期报告登载在规定网站上，并将中期报告提示性公告登载在规定报刊上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rPr>
        <w:t>基金管理人应当在每个季度结束之日起15个工作日内，编制完成基金季度报告，并将季度报告登载在</w:t>
      </w:r>
      <w:r>
        <w:rPr>
          <w:rFonts w:hint="eastAsia" w:ascii="宋体" w:hAnsi="宋体" w:cs="宋体"/>
          <w:bCs/>
          <w:color w:val="auto"/>
          <w:sz w:val="24"/>
          <w:szCs w:val="24"/>
          <w:highlight w:val="none"/>
          <w:shd w:val="clear" w:color="auto" w:fill="FFFFFF"/>
        </w:rPr>
        <w:t>规定网站上，并将季度报告提示性公告登载在规定报刊上。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《基金合同》生效不足2个月的，基金管理人可以不编制当期季度报告、</w:t>
      </w:r>
      <w:r>
        <w:rPr>
          <w:rFonts w:hint="eastAsia" w:ascii="宋体" w:hAnsi="宋体" w:cs="宋体"/>
          <w:bCs/>
          <w:color w:val="auto"/>
          <w:sz w:val="24"/>
          <w:szCs w:val="24"/>
          <w:highlight w:val="none"/>
          <w:shd w:val="clear" w:color="auto" w:fill="FFFFFF"/>
        </w:rPr>
        <w:t>中期报告或者年度报告</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基金管理人应当在基金年度报告和中期报告中披露基金组合资产情况及其流动性风险分析等。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在目标日期前，基金管理人应在定期报告中披露资产配置比例，并说明实际资产配置比例是否与预设的下滑曲线存在差异。</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法律法规或中国证监会另有规定的，从其规定。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（七）临时报告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本基金发生重大事件，有关信息披露义务人应当依照《信息披露办法》的有关规定编制临时报告书，并登载在规定报刊和规定网站上。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前款所称重大事件，是指可能对基金份额持有人权益或者基金份额的价格产生重大影响的下列事件：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1、基金份额持有人大会的召开及决定的事项；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2、终止《基金合同》、基金清算；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3、转换基金运作方式、基金合并；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4、更换基金管理人、基金托管人、基金份额登记机构，基金改聘会计师事务所；</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6、基金管理人、基金托管人的法定名称、住所发生变更；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7、基金管理人变更持有百分之五以上股权的股东、基金管理人的实际控制人变更；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8、基金募集期延长或提前结束募集；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9、基金管理人的高级管理人员、基金经理和基金托管人专门基金托管部门负责人发生变动；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10、基金管理人的董事在最近12个月内变更超过百分之五十；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11、基金管理人、基金托管人专门基金托管部门的主要业务人员在最近12个月内变动超过百分之三十；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12、涉及基金财产、基金管理业务、基金托管业务的诉讼或仲裁；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15、基金收益分配事项；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16、管理费、托管费、申购费、赎回费等费用计提标准、计提方式和费率发生变更；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17、基金份额净值计价错误达基金份额净值百分之零点五；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18、本基金开始办理申购、赎回；</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19、本基金发生巨额赎回并延缓支付赎回款项；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20、本基金连续发生巨额赎回并暂停接受赎回申请或延缓支付赎回款项；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21、本基金暂停接受申购、赎回申请或重新接受申购、赎回申请；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22、新增或调整本基金份额类别设置；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23、基金推出新业务或服务；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24、发生涉及基金申购、赎回事项调整或潜在影响投资者赎回等重大事项时；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25、基金管理人采用摆动定价机制进行估值；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w:t>
      </w:r>
      <w:r>
        <w:rPr>
          <w:rFonts w:ascii="宋体" w:hAnsi="宋体"/>
          <w:color w:val="auto"/>
          <w:sz w:val="24"/>
          <w:szCs w:val="24"/>
          <w:highlight w:val="none"/>
        </w:rPr>
        <w:t>本基金转型为“</w:t>
      </w:r>
      <w:r>
        <w:rPr>
          <w:rFonts w:hint="eastAsia" w:ascii="宋体" w:hAnsi="宋体" w:cs="宋体"/>
          <w:bCs/>
          <w:color w:val="auto"/>
          <w:sz w:val="24"/>
          <w:szCs w:val="24"/>
          <w:highlight w:val="none"/>
          <w:lang w:eastAsia="zh-CN"/>
        </w:rPr>
        <w:t>英大稳裕核心混合型基金中基金（FOF）</w:t>
      </w:r>
      <w:r>
        <w:rPr>
          <w:rFonts w:ascii="宋体" w:hAnsi="宋体"/>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27</w:t>
      </w:r>
      <w:r>
        <w:rPr>
          <w:rFonts w:hint="eastAsia" w:ascii="宋体" w:hAnsi="宋体" w:cs="宋体"/>
          <w:bCs/>
          <w:color w:val="auto"/>
          <w:sz w:val="24"/>
          <w:szCs w:val="24"/>
          <w:highlight w:val="none"/>
        </w:rPr>
        <w:t>、基金信息披露义务人认为可能对基金份额持有人权益或者基金份额的价格产生重大影响的其他事项或中国证监会规定的其他事项。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（八）澄清公告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（九）基金份额持有人大会决议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基金份额持有人大会决定的事项，应当依法报中国证监会备案，并予以公告。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（十）投资资产支持证券的信息披露</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基金管理人应在基金年报及中期报告中披露其持有的资产支持证券总额、资产支持证券市值占基金净资产的比例和报告期内所有的资产支持证券明细。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（十一）基金投资其他公开募集证券投资基金的信息披露</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本基金在定期报告和招募说明书中应设立专门章节披露所持基金的相关情况并揭示相关风险，具体内容包括：</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1、投资策略、持仓情况、损益情况、净值披露时间等；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2、交易及持有基金产生的费用，包括申购费、赎回费、销售服务费、管理费、托管费等，在招募说明书中列明计算方法并举例说明；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3、持有的基金发生的重大影响事件，如转换运作方式、与其他基金合并、终止基金合同以及召开基金份额持有人大会等；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4、本基金投资于基金管理人以及基金管理人关联方所管理基金的情况。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（十二）港股通标的股票的投资情况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基金管理人应当在基金年度报告、基金中期报告和基金季度报告等定期报告和招募说明书（更新）等文件中披露本基金参与港股通交易的相关情况。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（十三）清算报告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（十四）本基金投资存托凭证的信息披露依照境内上市交易的股票执行。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（十五）实施侧袋机制期间的信息披露</w:t>
      </w:r>
    </w:p>
    <w:p>
      <w:pPr>
        <w:spacing w:line="360" w:lineRule="auto"/>
        <w:ind w:firstLine="480" w:firstLineChars="200"/>
        <w:rPr>
          <w:rFonts w:ascii="宋体" w:hAnsi="宋体" w:cs="宋体"/>
          <w:b/>
          <w:color w:val="auto"/>
          <w:sz w:val="24"/>
          <w:szCs w:val="24"/>
          <w:highlight w:val="none"/>
        </w:rPr>
      </w:pPr>
      <w:r>
        <w:rPr>
          <w:rFonts w:hint="eastAsia" w:ascii="宋体" w:hAnsi="宋体" w:cs="宋体"/>
          <w:bCs/>
          <w:color w:val="auto"/>
          <w:sz w:val="24"/>
          <w:szCs w:val="24"/>
          <w:highlight w:val="none"/>
        </w:rPr>
        <w:t>本基金实施侧袋机制的，相关信息披露义务人应当根据法律法规、基金合同和招募说明书的规定进行信息披露，详见招募说明书的规定。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（十六）中国证监会规定的其他信息。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本基金投资证券公司短期公司债券将进行临时公告，并在季度报告、中期报告报告、年度报告等定期报告和招募说明书（更新）等文件中披露证券公司短期公司债券的投资情况。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六、信息披露事务管理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基金管理人、基金托管人应当建立健全信息披露管理制度，指定专门部门及高级管理人员负责管理信息披露事务。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基金信息披露义务人公开披露基金信息，应当符合中国证监会相关基金信息披露内容与格式准则等法规的规定。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为强化投资者保护，提升信息披露服务质量，基金管理人应当按照中国证监会规定向投资者及时提供对其投资决策有重大影响的信息，基金销售机构应当按照中国证监会规定做好信息传递工作。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七、信息披露文件的存放与查阅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依法必须披露的信息发布后，基金管理人、基金托管人应当按照相关法律法规规定将信息置备于各自住所，供社会公众查阅、复制。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八、暂停或延迟信息披露的情形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当出现下述情况时，基金管理人和基金托管人可暂停或延迟披露基金相关信息：</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2、基金投资所涉及的证券交易所或外汇市场遇法定节假日或因其他原因暂停营业时；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3、出现《基金合同》约定的暂停估值的情形；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4、法律法规规定、中国证监会或基金合同认定的其他情形。</w:t>
      </w:r>
    </w:p>
    <w:p>
      <w:pPr>
        <w:pStyle w:val="2"/>
        <w:spacing w:before="0" w:after="0"/>
        <w:ind w:firstLine="480" w:firstLineChars="200"/>
        <w:rPr>
          <w:rFonts w:hAnsi="宋体" w:cs="宋体"/>
          <w:color w:val="auto"/>
          <w:sz w:val="30"/>
          <w:szCs w:val="30"/>
          <w:highlight w:val="none"/>
        </w:rPr>
      </w:pPr>
      <w:r>
        <w:rPr>
          <w:rFonts w:hint="eastAsia" w:hAnsi="宋体" w:cs="宋体"/>
          <w:b w:val="0"/>
          <w:bCs/>
          <w:color w:val="auto"/>
          <w:kern w:val="2"/>
          <w:szCs w:val="24"/>
          <w:highlight w:val="none"/>
        </w:rPr>
        <w:br w:type="page"/>
      </w:r>
      <w:bookmarkStart w:id="353" w:name="_Toc9005"/>
      <w:bookmarkStart w:id="354" w:name="_Toc139991749"/>
      <w:bookmarkStart w:id="355" w:name="_Toc10006"/>
      <w:bookmarkStart w:id="356" w:name="_Toc123102466"/>
      <w:bookmarkStart w:id="357" w:name="_Toc141703899"/>
      <w:bookmarkStart w:id="358" w:name="_Toc7170"/>
      <w:bookmarkStart w:id="359" w:name="_Toc22978"/>
      <w:bookmarkStart w:id="360" w:name="_Toc8059"/>
      <w:bookmarkStart w:id="361" w:name="_Toc19266"/>
      <w:bookmarkStart w:id="362" w:name="_Toc27464"/>
      <w:bookmarkStart w:id="363" w:name="_Toc98560364"/>
      <w:bookmarkStart w:id="364" w:name="_Toc123112247"/>
      <w:bookmarkStart w:id="365" w:name="_Toc29891"/>
      <w:bookmarkStart w:id="366" w:name="_Toc25647"/>
      <w:bookmarkStart w:id="367" w:name="_Toc11113"/>
      <w:bookmarkStart w:id="368" w:name="_Toc123051465"/>
      <w:bookmarkStart w:id="369" w:name="_Toc8049"/>
      <w:bookmarkStart w:id="370" w:name="_Toc6237"/>
      <w:r>
        <w:rPr>
          <w:rFonts w:hint="eastAsia" w:hAnsi="宋体" w:cs="宋体"/>
          <w:color w:val="auto"/>
          <w:sz w:val="30"/>
          <w:szCs w:val="30"/>
          <w:highlight w:val="none"/>
        </w:rPr>
        <w:t xml:space="preserve">第二十部分  </w:t>
      </w:r>
      <w:bookmarkStart w:id="371" w:name="_Hlt88828593"/>
      <w:r>
        <w:rPr>
          <w:rFonts w:hint="eastAsia" w:hAnsi="宋体" w:cs="宋体"/>
          <w:color w:val="auto"/>
          <w:sz w:val="30"/>
          <w:szCs w:val="30"/>
          <w:highlight w:val="none"/>
        </w:rPr>
        <w:t>基金合同</w:t>
      </w:r>
      <w:bookmarkEnd w:id="371"/>
      <w:r>
        <w:rPr>
          <w:rFonts w:hint="eastAsia" w:hAnsi="宋体" w:cs="宋体"/>
          <w:color w:val="auto"/>
          <w:sz w:val="30"/>
          <w:szCs w:val="30"/>
          <w:highlight w:val="none"/>
        </w:rPr>
        <w:t>的变更、终止与基金财产的清算</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bookmarkStart w:id="372" w:name="_Toc79392639"/>
      <w:r>
        <w:rPr>
          <w:rFonts w:hint="eastAsia" w:ascii="宋体" w:hAnsi="宋体" w:cs="宋体"/>
          <w:bCs/>
          <w:color w:val="auto"/>
          <w:sz w:val="24"/>
          <w:szCs w:val="24"/>
          <w:highlight w:val="none"/>
        </w:rPr>
        <w:t>一、《基金合同》的变更</w:t>
      </w:r>
      <w:bookmarkEnd w:id="372"/>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2、关于《基金合同》变更的基金份额持有人大会决议自生效后方可执行，自决议生效后依照《信息披露办法》的有关规定在规定媒介公告。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二、《基金合同》的终止事由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有下列情形之一的，经履行相关程序后，《基金合同》应当终止：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1、基金份额持有人大会决定终止的；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3、基金合同生效满三年之日</w:t>
      </w:r>
      <w:r>
        <w:rPr>
          <w:rFonts w:ascii="宋体" w:hAnsi="宋体"/>
          <w:color w:val="auto"/>
          <w:sz w:val="24"/>
          <w:szCs w:val="24"/>
          <w:highlight w:val="none"/>
        </w:rPr>
        <w:t>（若无对应日则顺延至下一日）</w:t>
      </w:r>
      <w:r>
        <w:rPr>
          <w:rFonts w:hint="eastAsia" w:ascii="宋体" w:hAnsi="宋体" w:cs="宋体"/>
          <w:bCs/>
          <w:color w:val="auto"/>
          <w:sz w:val="24"/>
          <w:szCs w:val="24"/>
          <w:highlight w:val="none"/>
        </w:rPr>
        <w:t>，若基金资产规模低于2亿元的；若届时的法律法规或中国证监会规定发生变化，前述终止规定被取消、更改或补充，则本基金可以参照届时有效的法律法规或中国证监会规定执行；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4、《基金合同》约定的其他情形；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5、相关法律法规和中国证监会规定的其他情况。</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4、基金财产清算程序：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（1）《基金合同》终止情形出现时，由基金财产清算小组统一接管基金；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（2）对基金财产和债权债务进行清理和确认；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（3）对基金财产进行估值和变现；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（4）制作清算报告；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（5）聘请符合《</w:t>
      </w:r>
      <w:r>
        <w:rPr>
          <w:rFonts w:hint="eastAsia" w:ascii="宋体" w:hAnsi="宋体" w:cs="宋体"/>
          <w:bCs/>
          <w:color w:val="auto"/>
          <w:sz w:val="24"/>
          <w:szCs w:val="24"/>
          <w:highlight w:val="none"/>
          <w:lang w:bidi="ar"/>
        </w:rPr>
        <w:t>中华人民共和国</w:t>
      </w:r>
      <w:r>
        <w:rPr>
          <w:rFonts w:hint="eastAsia" w:ascii="宋体" w:hAnsi="宋体" w:cs="宋体"/>
          <w:bCs/>
          <w:color w:val="auto"/>
          <w:sz w:val="24"/>
          <w:szCs w:val="24"/>
          <w:highlight w:val="none"/>
        </w:rPr>
        <w:t>证券法》规定的会计师事务所对清算报告进行外部审计，聘请律师事务所对清算报告出具法律意见书；</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（6）将清算报告报中国证监会备案并公告；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（7）对基金剩余财产进行分配。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5、基金财产清算的期限为6个月，但因本基金所持证券的流动性受到限制而不能及时变现的，清算期限相应顺延。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四、清算费用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清算费用是指基金财产清算小组在进行基金清算过程中发生的所有合理费用，清算费用由基金财产清算小组优先从基金剩余财产中支付。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五、基金财产清算剩余资产的分配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六、基金财产清算的公告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七、基金财产清算账册及文件的保存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基金财产清算账册及有关文件由基金托管人保存，保存时间不低于法律法规规定的最低期限。</w:t>
      </w:r>
    </w:p>
    <w:p>
      <w:pPr>
        <w:spacing w:line="360" w:lineRule="auto"/>
        <w:ind w:firstLine="480" w:firstLineChars="200"/>
        <w:rPr>
          <w:rFonts w:ascii="宋体" w:hAnsi="宋体" w:cs="宋体"/>
          <w:bCs/>
          <w:color w:val="auto"/>
          <w:sz w:val="24"/>
          <w:szCs w:val="24"/>
          <w:highlight w:val="none"/>
        </w:rPr>
      </w:pPr>
    </w:p>
    <w:p>
      <w:pPr>
        <w:pStyle w:val="2"/>
        <w:spacing w:before="0" w:after="0"/>
        <w:jc w:val="center"/>
        <w:rPr>
          <w:rFonts w:hAnsi="宋体" w:cs="宋体"/>
          <w:color w:val="auto"/>
          <w:sz w:val="30"/>
          <w:szCs w:val="30"/>
          <w:highlight w:val="none"/>
        </w:rPr>
      </w:pPr>
      <w:bookmarkStart w:id="373" w:name="_Toc123112248"/>
      <w:bookmarkStart w:id="374" w:name="_Toc48649720"/>
      <w:bookmarkStart w:id="375" w:name="_Toc123102467"/>
      <w:bookmarkStart w:id="376" w:name="_Toc123051466"/>
      <w:bookmarkStart w:id="377" w:name="_Toc98560365"/>
      <w:bookmarkStart w:id="378" w:name="_Toc79392641"/>
      <w:r>
        <w:rPr>
          <w:rFonts w:hint="eastAsia" w:hAnsi="宋体" w:cs="宋体"/>
          <w:b w:val="0"/>
          <w:bCs/>
          <w:color w:val="auto"/>
          <w:szCs w:val="24"/>
          <w:highlight w:val="none"/>
        </w:rPr>
        <w:br w:type="page"/>
      </w:r>
      <w:bookmarkStart w:id="379" w:name="_Toc9708"/>
      <w:bookmarkStart w:id="380" w:name="_Toc27058"/>
      <w:bookmarkStart w:id="381" w:name="_Toc8710"/>
      <w:bookmarkStart w:id="382" w:name="_Toc21240"/>
      <w:bookmarkStart w:id="383" w:name="_Toc28549"/>
      <w:bookmarkStart w:id="384" w:name="_Toc141703901"/>
      <w:bookmarkStart w:id="385" w:name="_Toc139991750"/>
      <w:bookmarkStart w:id="386" w:name="_Toc12191"/>
      <w:bookmarkStart w:id="387" w:name="_Toc21704"/>
      <w:bookmarkStart w:id="388" w:name="_Toc7367"/>
      <w:bookmarkStart w:id="389" w:name="_Toc23022"/>
      <w:bookmarkStart w:id="390" w:name="_Toc30645"/>
      <w:bookmarkStart w:id="391" w:name="_Toc23166"/>
      <w:bookmarkStart w:id="392" w:name="_Toc13398"/>
      <w:r>
        <w:rPr>
          <w:rFonts w:hint="eastAsia" w:hAnsi="宋体" w:cs="宋体"/>
          <w:color w:val="auto"/>
          <w:sz w:val="30"/>
          <w:szCs w:val="30"/>
          <w:highlight w:val="none"/>
        </w:rPr>
        <w:t>第二十一部分  违约责任</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之一的，当事人免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2、基金管理人和/或基金托管人按照当时有效的法律法规或中国证监会的规定作为或不作为而造成的损失等；</w:t>
      </w:r>
    </w:p>
    <w:p>
      <w:pPr>
        <w:spacing w:line="360" w:lineRule="auto"/>
        <w:ind w:firstLine="480" w:firstLineChars="200"/>
        <w:rPr>
          <w:rFonts w:ascii="宋体"/>
          <w:color w:val="auto"/>
          <w:sz w:val="24"/>
          <w:highlight w:val="none"/>
        </w:rPr>
      </w:pPr>
      <w:r>
        <w:rPr>
          <w:rFonts w:hint="eastAsia" w:ascii="宋体" w:hAnsi="宋体" w:cs="宋体"/>
          <w:bCs/>
          <w:color w:val="auto"/>
          <w:sz w:val="24"/>
          <w:szCs w:val="24"/>
          <w:highlight w:val="none"/>
        </w:rPr>
        <w:t>3、基金管理人由于按照基金合同规定的投资原则行使或不行使其投资权而造成的损失等</w:t>
      </w:r>
      <w:r>
        <w:rPr>
          <w:rFonts w:ascii="宋体"/>
          <w:color w:val="auto"/>
          <w:sz w:val="24"/>
          <w:highlight w:val="none"/>
        </w:rPr>
        <w:t>。</w:t>
      </w:r>
    </w:p>
    <w:p>
      <w:pPr>
        <w:spacing w:line="360" w:lineRule="auto"/>
        <w:ind w:firstLine="480" w:firstLineChars="200"/>
        <w:rPr>
          <w:rFonts w:ascii="宋体"/>
          <w:color w:val="auto"/>
          <w:sz w:val="24"/>
          <w:highlight w:val="none"/>
        </w:rPr>
      </w:pPr>
      <w:r>
        <w:rPr>
          <w:rFonts w:hint="eastAsia" w:ascii="宋体"/>
          <w:color w:val="auto"/>
          <w:sz w:val="24"/>
          <w:highlight w:val="none"/>
        </w:rPr>
        <w:t>4、计算机系统故障、网络故障、通讯故障、电力故障、计算机病毒攻击及其它非基金管理人及基金托管人原因造成的意外事故。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393" w:name="_Toc123102468"/>
      <w:bookmarkStart w:id="394" w:name="_Toc98560366"/>
      <w:bookmarkStart w:id="395" w:name="_Toc21983"/>
      <w:bookmarkStart w:id="396" w:name="_Toc3319"/>
      <w:bookmarkStart w:id="397" w:name="_Toc25651"/>
      <w:bookmarkStart w:id="398" w:name="_Toc24923"/>
      <w:bookmarkStart w:id="399" w:name="_Toc6202"/>
      <w:bookmarkStart w:id="400" w:name="_Toc139991751"/>
      <w:bookmarkStart w:id="401" w:name="_Toc15463"/>
      <w:bookmarkStart w:id="402" w:name="_Toc30350"/>
      <w:bookmarkStart w:id="403" w:name="_Toc123112249"/>
      <w:bookmarkStart w:id="404" w:name="_Toc7288"/>
      <w:bookmarkStart w:id="405" w:name="_Toc123051467"/>
      <w:bookmarkStart w:id="406" w:name="_Toc1790"/>
      <w:bookmarkStart w:id="407" w:name="_Toc6110"/>
      <w:bookmarkStart w:id="408" w:name="_Toc23999"/>
      <w:bookmarkStart w:id="409" w:name="_Toc141703902"/>
      <w:bookmarkStart w:id="410" w:name="_Toc8636"/>
      <w:r>
        <w:rPr>
          <w:rFonts w:hint="eastAsia" w:hAnsi="宋体" w:cs="宋体"/>
          <w:color w:val="auto"/>
          <w:sz w:val="30"/>
          <w:szCs w:val="30"/>
          <w:highlight w:val="none"/>
        </w:rPr>
        <w:t>第二十二部分  争议的处理和适用的法律</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本基金合同适用中华人民共和国（就本基金合同而言，不包括香港特别行政区、澳门特别行政区和台湾地区）法律并从其解释。</w:t>
      </w:r>
    </w:p>
    <w:p>
      <w:pPr>
        <w:pStyle w:val="2"/>
        <w:spacing w:before="0" w:after="0"/>
        <w:jc w:val="center"/>
        <w:rPr>
          <w:rFonts w:hAnsi="宋体" w:cs="宋体"/>
          <w:color w:val="auto"/>
          <w:sz w:val="30"/>
          <w:szCs w:val="30"/>
          <w:highlight w:val="none"/>
        </w:rPr>
      </w:pPr>
      <w:bookmarkStart w:id="411" w:name="_Toc8703"/>
      <w:bookmarkStart w:id="412" w:name="_Toc28690"/>
      <w:bookmarkStart w:id="413" w:name="_Toc123112250"/>
      <w:bookmarkStart w:id="414" w:name="_Toc484"/>
      <w:bookmarkStart w:id="415" w:name="_Toc141703903"/>
      <w:bookmarkStart w:id="416" w:name="_Toc29505"/>
      <w:bookmarkStart w:id="417" w:name="_Toc26461"/>
      <w:bookmarkStart w:id="418" w:name="_Toc123051468"/>
      <w:bookmarkStart w:id="419" w:name="_Toc8454"/>
      <w:bookmarkStart w:id="420" w:name="_Toc123102469"/>
      <w:bookmarkStart w:id="421" w:name="_Toc31966"/>
      <w:bookmarkStart w:id="422" w:name="_Toc139991752"/>
      <w:bookmarkStart w:id="423" w:name="_Toc2532"/>
      <w:bookmarkStart w:id="424" w:name="_Toc23991"/>
      <w:bookmarkStart w:id="425" w:name="_Toc11618"/>
      <w:bookmarkStart w:id="426" w:name="_Toc20350"/>
      <w:r>
        <w:rPr>
          <w:rFonts w:hint="eastAsia" w:hAnsi="宋体" w:cs="宋体"/>
          <w:color w:val="auto"/>
          <w:sz w:val="30"/>
          <w:szCs w:val="30"/>
          <w:highlight w:val="none"/>
        </w:rPr>
        <w:br w:type="page"/>
      </w:r>
      <w:bookmarkStart w:id="427" w:name="_Toc26016"/>
      <w:r>
        <w:rPr>
          <w:rFonts w:hint="eastAsia" w:hAnsi="宋体" w:cs="宋体"/>
          <w:color w:val="auto"/>
          <w:sz w:val="30"/>
          <w:szCs w:val="30"/>
          <w:highlight w:val="none"/>
        </w:rPr>
        <w:t>第二十三部分  基金合同的效力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rFonts w:ascii="宋体" w:hAnsi="宋体" w:cs="宋体"/>
          <w:bCs/>
          <w:color w:val="auto"/>
          <w:sz w:val="24"/>
          <w:szCs w:val="24"/>
          <w:highlight w:val="none"/>
        </w:rPr>
      </w:pP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《基金合同》是约定基金合同当事人之间权利义务关系的法律文件。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1、《基金合同》经基金管理人、基金托管人双方盖章以及双方法定代表人或授权代表签字或盖章并在募集结束后经基金管理人向中国证监会办理基金备案手续，并经中国证监会书面确认后生效。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2、《基金合同》的有效期自其生效之日起至基金财产清算结果报中国证监会备案并公告之日止。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3、《基金合同》自生效之日起对包括基金管理人、基金托管人和基金份额持有人在内的《基金合同》各方当事人具有同等的法律约束力。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4、《基金合同》正本一式六份，除上报有关监管机构一式二份外，基金管理人、基金托管人各持有二份，每份具有同等的法律效力。</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5、《基金合同》可印制成册，供投资者在基金管理人、基金托管人、销售机构的办公场所和营业场所查阅，但应以基金合同正本为准。</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428" w:name="_Toc17318"/>
      <w:bookmarkStart w:id="429" w:name="_Toc9704"/>
      <w:bookmarkStart w:id="430" w:name="_Toc21726"/>
      <w:r>
        <w:rPr>
          <w:rFonts w:hint="eastAsia" w:hAnsi="宋体" w:cs="宋体"/>
          <w:color w:val="auto"/>
          <w:sz w:val="30"/>
          <w:szCs w:val="30"/>
          <w:highlight w:val="none"/>
        </w:rPr>
        <w:t>第二十四部分  其他事项</w:t>
      </w:r>
      <w:bookmarkEnd w:id="428"/>
      <w:bookmarkEnd w:id="429"/>
      <w:bookmarkEnd w:id="430"/>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《基金合同》如有未尽事宜，由《基金合同》当事人各方按有关法律法规协商解决。</w:t>
      </w:r>
    </w:p>
    <w:p>
      <w:pPr>
        <w:pStyle w:val="2"/>
        <w:spacing w:before="0" w:after="0"/>
        <w:jc w:val="center"/>
        <w:rPr>
          <w:rFonts w:hAnsi="宋体" w:cs="宋体"/>
          <w:color w:val="auto"/>
          <w:sz w:val="30"/>
          <w:szCs w:val="30"/>
          <w:highlight w:val="none"/>
        </w:rPr>
      </w:pPr>
      <w:bookmarkStart w:id="431" w:name="_Toc5108"/>
      <w:bookmarkStart w:id="432" w:name="_Toc21122"/>
      <w:bookmarkStart w:id="433" w:name="_Toc17263"/>
      <w:bookmarkStart w:id="434" w:name="_Toc9054"/>
      <w:bookmarkStart w:id="435" w:name="_Toc12499"/>
      <w:bookmarkStart w:id="436" w:name="_Toc15045"/>
      <w:bookmarkStart w:id="437" w:name="_Toc20098"/>
      <w:bookmarkStart w:id="438" w:name="_Toc1360"/>
      <w:bookmarkStart w:id="439" w:name="_Toc32355"/>
      <w:bookmarkStart w:id="440" w:name="_Toc7437"/>
      <w:bookmarkStart w:id="441" w:name="_Toc15664"/>
      <w:bookmarkStart w:id="442" w:name="_Toc141703905"/>
      <w:r>
        <w:rPr>
          <w:rFonts w:hint="eastAsia" w:hAnsi="宋体" w:cs="宋体"/>
          <w:color w:val="auto"/>
          <w:sz w:val="30"/>
          <w:szCs w:val="30"/>
          <w:highlight w:val="none"/>
        </w:rPr>
        <w:br w:type="page"/>
      </w:r>
      <w:bookmarkStart w:id="443" w:name="_Toc28343"/>
      <w:r>
        <w:rPr>
          <w:rFonts w:hint="eastAsia" w:hAnsi="宋体" w:cs="宋体"/>
          <w:color w:val="auto"/>
          <w:sz w:val="30"/>
          <w:szCs w:val="30"/>
          <w:highlight w:val="none"/>
        </w:rPr>
        <w:t>第二十五部分  基金合同内容摘要</w:t>
      </w:r>
      <w:bookmarkEnd w:id="63"/>
      <w:bookmarkEnd w:id="64"/>
      <w:bookmarkEnd w:id="431"/>
      <w:bookmarkEnd w:id="432"/>
      <w:bookmarkEnd w:id="433"/>
      <w:bookmarkEnd w:id="434"/>
      <w:bookmarkEnd w:id="435"/>
      <w:bookmarkEnd w:id="436"/>
      <w:bookmarkEnd w:id="437"/>
      <w:bookmarkEnd w:id="438"/>
      <w:bookmarkEnd w:id="439"/>
      <w:bookmarkEnd w:id="440"/>
      <w:bookmarkEnd w:id="441"/>
      <w:bookmarkEnd w:id="442"/>
      <w:bookmarkEnd w:id="443"/>
    </w:p>
    <w:p>
      <w:pPr>
        <w:rPr>
          <w:color w:val="auto"/>
          <w:highlight w:val="none"/>
        </w:rPr>
      </w:pP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一、基金管理人、基金托管人和基金份额持有人的权利、义务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（一）基金管理人的权利与义务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（4）销售基金份额；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（5）按照规定召集基金份额持有人大会；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（7）在基金托管人更换时，提名新的基金托管人；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（10）依据《基金合同》及有关法律规定决定基金收益的分配方案；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（11）在《基金合同》约定的范围内，拒绝或暂停受理申购、赎回与转换申请；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（13）在法律法规允许的前提下，为基金的利益依法为基金进行融资；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（16）在符合有关法律、法规的前提下，制订和调整有关基金认购、申购、赎回、转换、定期定额投资和非交易过户等的业务规则；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（2）办理基金备案手续；</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（6）除依据《基金法》、基金合同及其他有关规定外，不得利用基金财产为自己及任何第三人谋取非法利益，不得委托第三人运作基金财产；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（7）依法接受基金托管人的监督；</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（9）进行基金会计核算并编制基金财务会计报告；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（10）编制季度报告、中期报告和年度报告；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保守基金商业秘密，不泄露基金投资计划、投资意向等。除《基金法》、《基金合同》及其他有关规定另有规定外，在基金信息公开披露前应予保密，不向他人泄露（但依法向监管机构、司法机关、交易所及审计、法律等外部专业顾问提供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（14）按规定受理申购与赎回申请，及时、足额支付赎回款项；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（24）基金管理人在募集期间未能达到基金的备案条件，《基金合同》不能生效，基金管理人承担全部募集费用，将已募集资金并加计银行同期活期存款利息（税后）在基金募集期结束后30日内退还基金认购人；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（26）建立并保存基金份额持有人名册；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（二）基金托管人的权利与义务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（4）根据相关市场规则，为基金开设资金账户、证券账户、期货结算账户（如有）等投资所需账户，为基金办理证券、期货交易资金清算；</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（5）提议召开或召集基金份额持有人大会；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（6）在基金管理人更换时，提名新的基金管理人；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（1）以诚实信用、勤勉尽责的原则持有并安全保管基金财产；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（6）按规定开设基金财产的资金账户、证券账户和期货结算账户（如有）等投资所需账户，按照《基金合同》的约定，根据基金管理人的投资指令，及时办理清算、交割事宜；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保守基金商业秘密，除《基金法》、《基金合同》及其他有关规定另有规定外，在基金信息公开披露前予以保密，不得向他人泄露（但向监管机构、司法机关等有权机关、基金托管人上市的证券交易所或因审计、法律等向外部专业顾问提供的情况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（8）复核、审查基金管理人计算的基金资产净值、基金份额净值、基金份额申购、赎回价格；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（9）办理与基金托管业务活动有关的信息披露事项；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基金财务会计报告、季度报告、中期报告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（11）保存基金托管业务活动的记录、账册、报表和其他相关资料15年以上；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（12）从基金管理人或其委托的登记机构处接收并保存基金份额持有人名册；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（13）按规定制作相关账册并与基金管理人核对；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（15）依据《基金法》、《基金合同》及其他有关规定，召集基金份额持有人大会或配合基金管理人、基金份额持有人依法召集基金份额持有人大会；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（16）按照《基金合同》的规定监督基金管理人的投资运作；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（20）基金管理人因违反《基金合同》造成基金财产损失时，应为基金份额持有人利益向基金管理人追偿；</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（三）基金份额持有人的权利与义务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除法律法规另有规定或基金合同另有约定外，每份基金份额具有同等的合法权益。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（1）分享基金财产收益；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（2）参与分配清算后的剩余基金财产；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（3）根据基金合同的约定，依法转让或者申请赎回其持有的基金份额；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（6）查阅或者复制公开披露的基金信息资料；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（7）监督基金管理人的投资运作；</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（9）法律法规及中国证监会规定的和《基金合同》约定的其他权利。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（1）认真阅读并遵守《基金合同》、招募说明书等信息披露文件；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（3）关注基金信息披露，及时行使权利和履行义务；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（4）交纳基金认购、申购款项及法律法规和《基金合同》所规定的费用；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（6）不从事任何有损基金及其他《基金合同》当事人合法权益的活动；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（7）执行生效的基金份额持有人大会的决议；</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（8）返还在基金交易过程中因任何原因获得的不当得利；</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（9）提供基金管理人和监管机构依法要求提供的信息，以及不时的更新和补充，并保证其真实性；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（10）遵守基金管理人、基金托管人、销售机构和登记机构的相关交易及业务规则；</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（11）法律法规及中国证监会规定的和《基金合同》约定的其他义务。</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二、基金份额持有人大会召集、议事及表决的程序和规则</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（一）召开事由</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1、当出现或需要决定下列事由之一的，应当召开基金份额持有人大会，法律法规、中国证监会或基金合同另有规定的除外：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（1）终止《基金合同》；</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（2）更换基金管理人；</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（3）更换基金托管人；</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（4）转换基金运作方式，但在目标日期次日起根据《基金合同》约定转为每日开放申购赎回模式除外；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（5）调整基金管理人、基金托管人的报酬标准，但法律法规要求调整该等报酬标准的除外；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（6）变更基金类别；</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（7）本基金与其他基金的合并；</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（8）变更基金投资目标、范围或策略，但在目标日期次日起根据《基金合同》约定转为“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”并按《基金合同》约定的投资目标、范围执行的除外；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（9）变更基金份额持有人大会程序；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（10）基金管理人或基金托管人要求召开基金份额持有人大会；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（12）对基金合同当事人权利和义务产生重大影响的其他事项；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（13）法律法规、《基金合同》或中国证监会规定的其他应当召开基金份额持有人大会的事项。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（1）调低除基金管理费、基金托管费外其他应由基金承担的费用；调整申购费率、调低赎回费率，或变更收费方式；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（2）法律法规要求增加的基金费用的收取；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（3）在法律法规和基金合同规定的范围内增加或调整本基金的基金份额类别、对基金份额分类办法及规则进行调整、停止现有基金份额类别的销售、调整申购费率、调低赎回费率、变更收费方式等；</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（4）对基金收益分配的有关业务规则进行调整；</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（5）因相应的法律法规发生变动而应当对《基金合同》进行修改；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（6）对《基金合同》的修改对基金份额持有人利益无实质性不利影响或修改不涉及《基金合同》当事人权利义务关系发生重大变化；</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（7）基金管理人、销售机构、登记机构在法律法规规定的范围内调整有关基金认购、申购、赎回、转换、基金交易、非交易过户、转托管、转让、质押等业务的规则；</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（8）在法律法规或中国证监会允许的范围内推出新业务或服务；</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（9）目标日期次日起根据《基金合同》约定转为每日开放申购赎回模式，基金名称相应变更为“</w:t>
      </w:r>
      <w:r>
        <w:rPr>
          <w:rFonts w:hint="eastAsia" w:ascii="宋体" w:hAnsi="宋体" w:cs="宋体"/>
          <w:bCs/>
          <w:color w:val="auto"/>
          <w:sz w:val="24"/>
          <w:szCs w:val="24"/>
          <w:highlight w:val="none"/>
          <w:lang w:eastAsia="zh-CN"/>
        </w:rPr>
        <w:t>英大稳裕核心混合型基金中基金（FOF）</w:t>
      </w:r>
      <w:r>
        <w:rPr>
          <w:rFonts w:hint="eastAsia" w:ascii="宋体" w:hAnsi="宋体" w:cs="宋体"/>
          <w:bCs/>
          <w:color w:val="auto"/>
          <w:sz w:val="24"/>
          <w:szCs w:val="24"/>
          <w:highlight w:val="none"/>
        </w:rPr>
        <w:t>”，同时，基金的投资将根据《基金合同》的约定执行；</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（10）按照本基金合同的约定，变更业绩比较基准；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（11）按照法律法规和《基金合同》规定不需召开基金份额持有人大会的其他情形。</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（二）会议召集人及召集方式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1、除法律法规规定或《基金合同》另有约定外，基金份额持有人大会由基金管理人召集。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2、基金管理人未按规定召集或不能召开时，由基金托管人召集。</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6、基金份额持有人会议的召集人负责选择确定开会时间、地点、方式和权益登记日。</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（三）召开基金份额持有人大会的通知时间、通知内容、通知方式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1、召开基金份额持有人大会，召集人应于会议召开前30日，在规定媒介公告。基金份额持有人大会通知应至少载明以下内容：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（1）会议召开的时间、地点和会议形式；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（2）会议拟审议的事项、议事程序和表决方式；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（3）有权出席基金份额持有人大会的基金份额持有人的权益登记日；</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（4）授权委托证明的内容要求（包括但不限于代理人身份，代理权限和代理有效期限等）、送达时间和地点;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（5）会务常设联系人姓名及联系电话；</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（6）出席会议者必须准备的文件和必须履行的手续；</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（7）召集人需要通知的其他事项。</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（四）基金份额持有人出席会议的方式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基金份额持有人大会可通过现场开会方式、通讯开会方式或法律法规、监管机构允许的其他方式召开，会议的召开方式由会议召集人确定。</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在同时符合以下条件时，通讯开会的方式视为有效：</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（1）会议召集人按《基金合同》约定公布会议通知后，在2个工作日内连续公布相关提示性公告；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widowControl/>
        <w:shd w:val="clear" w:color="auto" w:fill="FFFFFF"/>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（五）议事内容与程序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1、议事内容及提案权</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基金份额持有人大会的召集人发出召集会议的通知后，对原有提案的修改应当在基金份额持有人大会召开前及时公告。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基金份额持有人大会不得对未事先公告的议事内容进行表决。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2、议事程序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基金份额持有人所持每份基金份额有一票表决权。</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基金份额持有人大会决议分为一般决议和特别决议：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基金份额持有人大会采取记名方式进行投票表决。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基金份额持有人大会的各项提案或同一项提案内并列的各项议题应当分开审议、逐项表决。</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（七）计票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1、现场开会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（2）监票人应当在基金份额持有人表决后立即进行清点并由大会主持人当场公布计票结果。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（4）计票过程应由公证机关予以公证，基金管理人或基金托管人拒不出席大会的，不影响计票的效力。</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2、通讯开会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（八）生效与公告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基金份额持有人大会的决议，召集人应当自通过之日起5日内报中国证监会备案。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基金份额持有人大会的决议自表决通过之日起生效。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基金份额持有人大会决议自生效之日起2日内在规定媒介上公告。如果采用通讯方式进行表决，在公告基金份额持有人大会决议时，必须将公证书全文、公证机构、公证员姓名等一同公告。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highlight w:val="none"/>
        </w:rPr>
        <w:t>（九）</w:t>
      </w:r>
      <w:r>
        <w:rPr>
          <w:rFonts w:hint="eastAsia" w:ascii="宋体" w:hAnsi="宋体" w:cs="宋体"/>
          <w:bCs/>
          <w:color w:val="auto"/>
          <w:sz w:val="24"/>
          <w:szCs w:val="22"/>
          <w:highlight w:val="none"/>
        </w:rPr>
        <w:t>实施侧袋机制期间基金份额持有人大会的特殊约定</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侧袋机制实施期间，关于基金份额持有人大会的相关规定以本节特殊约定内容为准，本节没有规定的适用本部分的相关规定。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三、基金的收益与分配、执行方式</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（一）基金利润的构成</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基金利润指基金利息收入、投资收益、公允价值变动收益和其他收入扣除相关费用后的余额，基金已实现收益指基金利润减去公允价值变动收益后的余额。</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（二）基金可供分配利润</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基金可供分配利润指截至收益分配基准日基金未分配利润与未分配利润中已实现收益的孰低数。</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（三）基金收益分配原则</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4、每一基金份额享有同等分配权。</w:t>
      </w:r>
    </w:p>
    <w:p>
      <w:pPr>
        <w:widowControl/>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5、法律法规或监管机关另有规定的，从其规定。</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在不违反法律法规且对基金份额持有人利益无实质性不利影响的前提下，基金管理人可对基金收益分配原则进行调整，无需召开基金份额持有人大会。</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（四）收益分配方案</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基金收益分配方案中应载明截止收益分配基准日的可供分配利润、基金收益分配对象、分配时间、分配数额及比例、分配方式等内容。</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（五）收益分配方案的确定、公告与实施</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（六）基金收益分配中发生的费用</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color w:val="auto"/>
          <w:sz w:val="24"/>
          <w:szCs w:val="22"/>
          <w:highlight w:val="none"/>
        </w:rPr>
      </w:pPr>
      <w:r>
        <w:rPr>
          <w:rFonts w:hint="eastAsia" w:ascii="宋体" w:hAnsi="宋体" w:cs="宋体"/>
          <w:bCs/>
          <w:color w:val="auto"/>
          <w:sz w:val="24"/>
          <w:highlight w:val="none"/>
        </w:rPr>
        <w:t>（七）</w:t>
      </w:r>
      <w:r>
        <w:rPr>
          <w:rFonts w:hint="eastAsia" w:ascii="宋体" w:hAnsi="宋体" w:cs="宋体"/>
          <w:bCs/>
          <w:color w:val="auto"/>
          <w:sz w:val="24"/>
          <w:szCs w:val="22"/>
          <w:highlight w:val="none"/>
        </w:rPr>
        <w:t>实施侧袋机制期间的收益分配</w:t>
      </w:r>
    </w:p>
    <w:p>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2"/>
          <w:highlight w:val="none"/>
        </w:rPr>
        <w:t>本基金实施侧袋机制的，侧袋账户不进行收益分配，详见招募说明书的规定。</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四、与基金财产管理、运用有关费用的提取、支付方式与比例</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（一）基金费用的种类</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3、《基金合同》生效后与基金相关的信息披露费用；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4、《基金合同》生效后与基金相关的会计师费、审计费、律师费、仲裁费、财产保全费和诉讼费等费用；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5、基金份额持有人大会费用；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6、基金的证券交易费用、基金投资其他基金产生的相关费用，但法律法规禁止从基金财产中列支的除外；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7、基金的银行汇划费用；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8、账户开户费用、账户维护费用；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9、因投资港股通标的股票而产生的各项合理费用；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10、按照国家有关规定和《基金合同》约定，可以在基金财产中列支的其他费用。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（二）基金费用计提方法、计提标准和支付方式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1、基金管理人的管理费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H＝E×0.60%÷当年天数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H为每日应计提的基金管理费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2、基金托管人的托管费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H＝E×0.15%÷当年天数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H为每日应计提的基金托管费</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（三）不列入基金费用的项目</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下列费用不列入基金费用：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1、基金管理人和基金托管人因未履行或未完全履行义务导致的费用支出或基金财产的损失；</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2、基金管理人和基金托管人处理与基金运作无关的事项发生的费用；</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3、《基金合同》生效前的相关费用；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4、其他根据相关法律法规及中国证监会的有关规定不得列入基金费用的项目。</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highlight w:val="none"/>
        </w:rPr>
        <w:t>（四）</w:t>
      </w:r>
      <w:r>
        <w:rPr>
          <w:rFonts w:hint="eastAsia" w:ascii="宋体" w:hAnsi="宋体" w:cs="宋体"/>
          <w:bCs/>
          <w:color w:val="auto"/>
          <w:sz w:val="24"/>
          <w:szCs w:val="22"/>
          <w:highlight w:val="none"/>
        </w:rPr>
        <w:t>实施侧袋机制期间的基金费用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（五）基金税收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五、基金财产的投资方向和投资限制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（一）投资目标</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（二）投资范围</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本基金不投资于股指期货、国债期货及股票期权等衍生类金融工具。</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如法律法规或监管机构以后允许基金投资其他品种，基金管理人在履行适当程序后，可以将其纳入投资范围。</w:t>
      </w:r>
    </w:p>
    <w:p>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年12月31日以后则合计原则上不高于基金资产的30%），对商品基金投资占基金资产的比例不超过10%。本基金投资于港股通标的股票的比例不超过股票资产的50%。</w:t>
      </w:r>
      <w:r>
        <w:rPr>
          <w:rFonts w:hint="eastAsia" w:ascii="宋体" w:hAnsi="宋体" w:eastAsia="宋体" w:cs="宋体"/>
          <w:bCs/>
          <w:color w:val="auto"/>
          <w:sz w:val="24"/>
          <w:szCs w:val="24"/>
          <w:highlight w:val="none"/>
        </w:rPr>
        <w:t>本基金投资于QDII基金和香港互认基金的比例合计不超过基金资产的20%</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rPr>
        <w:t>本基金所持有现金或到期日在一年以内的政府债券的比例合计不低于基金资产净值的5%，其中现金不包括结算备付金、存出保证金及应收申购款等。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如法律法规或监管机构变更投资品种的投资比例限制，基金管理人在履行适当程序后，可以调整上述投资品种的投资比例。</w:t>
      </w:r>
    </w:p>
    <w:p>
      <w:pPr>
        <w:widowControl/>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（三）投资策略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1、大类资产配置策略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本基金以</w:t>
      </w:r>
      <w:r>
        <w:rPr>
          <w:rFonts w:hint="eastAsia" w:asciiTheme="minorEastAsia" w:hAnsiTheme="minorEastAsia" w:eastAsiaTheme="minorEastAsia" w:cstheme="minorEastAsia"/>
          <w:bCs/>
          <w:color w:val="auto"/>
          <w:sz w:val="24"/>
          <w:szCs w:val="24"/>
          <w:highlight w:val="none"/>
          <w:lang w:eastAsia="zh-CN"/>
        </w:rPr>
        <w:t>2055</w:t>
      </w:r>
      <w:r>
        <w:rPr>
          <w:rFonts w:hint="eastAsia" w:asciiTheme="minorEastAsia" w:hAnsiTheme="minorEastAsia" w:eastAsiaTheme="minorEastAsia" w:cstheme="minorEastAsia"/>
          <w:bCs/>
          <w:color w:val="auto"/>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Theme="minorEastAsia" w:hAnsiTheme="minorEastAsia" w:eastAsiaTheme="minorEastAsia" w:cstheme="minorEastAsia"/>
          <w:bCs/>
          <w:color w:val="auto"/>
          <w:sz w:val="24"/>
          <w:szCs w:val="24"/>
          <w:highlight w:val="none"/>
          <w:lang w:eastAsia="zh-CN"/>
        </w:rPr>
        <w:t>2055</w:t>
      </w:r>
      <w:r>
        <w:rPr>
          <w:rFonts w:hint="eastAsia" w:asciiTheme="minorEastAsia" w:hAnsiTheme="minorEastAsia" w:eastAsiaTheme="minorEastAsia" w:cstheme="minorEastAsia"/>
          <w:bCs/>
          <w:color w:val="auto"/>
          <w:sz w:val="24"/>
          <w:szCs w:val="24"/>
          <w:highlight w:val="none"/>
        </w:rPr>
        <w:t>年12月31日的临近，整体趋势上逐步降低权益类资产的配置比例，增加非权益类资产的配置比例。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目标日期（2055年12月31日）</w:t>
            </w:r>
            <w:r>
              <w:rPr>
                <w:rFonts w:hint="eastAsia" w:ascii="宋体" w:hAnsi="宋体" w:eastAsia="宋体" w:cs="宋体"/>
                <w:bCs/>
                <w:color w:val="auto"/>
                <w:sz w:val="24"/>
                <w:szCs w:val="24"/>
                <w:highlight w:val="none"/>
                <w:vertAlign w:val="baseline"/>
                <w:lang w:val="en-US" w:eastAsia="zh-CN"/>
              </w:rPr>
              <w:t>之</w:t>
            </w:r>
            <w:r>
              <w:rPr>
                <w:rFonts w:hint="eastAsia" w:ascii="宋体" w:hAnsi="宋体" w:eastAsia="宋体" w:cs="宋体"/>
                <w:bCs/>
                <w:i w:val="0"/>
                <w:color w:val="auto"/>
                <w:kern w:val="2"/>
                <w:sz w:val="24"/>
                <w:szCs w:val="24"/>
                <w:highlight w:val="none"/>
                <w:u w:val="none"/>
                <w:lang w:val="en-US" w:eastAsia="zh-CN" w:bidi="ar"/>
              </w:rPr>
              <w:t>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20" w:firstLineChars="200"/>
        <w:rPr>
          <w:rFonts w:asciiTheme="minorEastAsia" w:hAnsiTheme="minorEastAsia" w:eastAsiaTheme="minorEastAsia" w:cstheme="minorEastAsia"/>
          <w:bCs/>
          <w:color w:val="auto"/>
          <w:sz w:val="24"/>
          <w:szCs w:val="24"/>
          <w:highlight w:val="none"/>
        </w:rPr>
      </w:pPr>
      <w:r>
        <w:rPr>
          <w:rFonts w:hint="eastAsia" w:ascii="宋体" w:hAnsi="宋体" w:cs="宋体"/>
          <w:bCs/>
          <w:color w:val="auto"/>
          <w:highlight w:val="none"/>
        </w:rPr>
        <w:drawing>
          <wp:anchor distT="0" distB="0" distL="114300" distR="114300" simplePos="0" relativeHeight="251661312" behindDoc="0" locked="0" layoutInCell="1" allowOverlap="1">
            <wp:simplePos x="0" y="0"/>
            <wp:positionH relativeFrom="column">
              <wp:posOffset>-105410</wp:posOffset>
            </wp:positionH>
            <wp:positionV relativeFrom="paragraph">
              <wp:posOffset>302260</wp:posOffset>
            </wp:positionV>
            <wp:extent cx="5485130" cy="2317115"/>
            <wp:effectExtent l="0" t="0" r="1270" b="6985"/>
            <wp:wrapTopAndBottom/>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9"/>
                    <a:stretch>
                      <a:fillRect/>
                    </a:stretch>
                  </pic:blipFill>
                  <pic:spPr>
                    <a:xfrm>
                      <a:off x="0" y="0"/>
                      <a:ext cx="5485130" cy="2317115"/>
                    </a:xfrm>
                    <a:prstGeom prst="rect">
                      <a:avLst/>
                    </a:prstGeom>
                  </pic:spPr>
                </pic:pic>
              </a:graphicData>
            </a:graphic>
          </wp:anchor>
        </w:drawing>
      </w:r>
      <w:r>
        <w:rPr>
          <w:rFonts w:hint="eastAsia" w:asciiTheme="minorEastAsia" w:hAnsiTheme="minorEastAsia" w:eastAsiaTheme="minorEastAsia" w:cstheme="minorEastAsia"/>
          <w:bCs/>
          <w:color w:val="auto"/>
          <w:sz w:val="24"/>
          <w:szCs w:val="24"/>
          <w:highlight w:val="none"/>
        </w:rPr>
        <w:t>本基金的下滑曲线图如下：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2、基金精选策略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（1）基金分类</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（2）基金量化筛选</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（3）风格量化分析</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（4）定性访谈研究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（5）类别化基金研究</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3、股票投资策略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（1）个股精选策略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1）成长性指标：主营业务收入增长率、息税折旧前利润增长率、现金流；</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4）财务指标：净资产收益率（ROE）、毛利率；</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（2）港股投资策略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2）独立思考（Original ideas）领先市场共识，寻找未被充分挖掘的企业。</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（3）存托凭证投资策略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4、固定收益类资产投资策略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（1）信用债券投资策略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（2）证券公司短期公司债券投资策略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（3）银行存款、同业存单投资策略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（4）可转换债券、可交换债券投资策略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（5）杠杆投资策略</w:t>
      </w:r>
    </w:p>
    <w:p>
      <w:pPr>
        <w:overflowPunct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（四）投资限制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1、组合限制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基金的投资组合应遵循以下限制：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目标日期（2055年12月31日）</w:t>
            </w:r>
            <w:r>
              <w:rPr>
                <w:rFonts w:hint="eastAsia" w:ascii="宋体" w:hAnsi="宋体" w:eastAsia="宋体" w:cs="宋体"/>
                <w:bCs/>
                <w:color w:val="auto"/>
                <w:sz w:val="24"/>
                <w:szCs w:val="24"/>
                <w:highlight w:val="none"/>
                <w:vertAlign w:val="baseline"/>
                <w:lang w:val="en-US" w:eastAsia="zh-CN"/>
              </w:rPr>
              <w:t>之</w:t>
            </w:r>
            <w:r>
              <w:rPr>
                <w:rFonts w:hint="eastAsia" w:ascii="宋体" w:hAnsi="宋体" w:eastAsia="宋体" w:cs="宋体"/>
                <w:bCs/>
                <w:i w:val="0"/>
                <w:color w:val="auto"/>
                <w:kern w:val="2"/>
                <w:sz w:val="24"/>
                <w:szCs w:val="24"/>
                <w:highlight w:val="none"/>
                <w:u w:val="none"/>
                <w:lang w:val="en-US" w:eastAsia="zh-CN" w:bidi="ar"/>
              </w:rPr>
              <w:t>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（7）本基金对股票（含存托凭证）、股票型基金、混合型基金和商品基金（含商品期货基金和黄金ETF）的投资比例不超过基金资产的60%（</w:t>
      </w:r>
      <w:r>
        <w:rPr>
          <w:rFonts w:hint="eastAsia" w:ascii="宋体" w:hAnsi="宋体" w:cs="宋体"/>
          <w:bCs/>
          <w:color w:val="auto"/>
          <w:sz w:val="24"/>
          <w:szCs w:val="24"/>
          <w:highlight w:val="none"/>
          <w:lang w:eastAsia="zh-CN"/>
        </w:rPr>
        <w:t>2055</w:t>
      </w:r>
      <w:r>
        <w:rPr>
          <w:rFonts w:hint="eastAsia" w:ascii="宋体" w:hAnsi="宋体" w:cs="宋体"/>
          <w:bCs/>
          <w:color w:val="auto"/>
          <w:sz w:val="24"/>
          <w:szCs w:val="24"/>
          <w:highlight w:val="none"/>
        </w:rPr>
        <w:t>年12月31日以后则合计原则上不高于基金资产的30%），其中对商品基金投资占基金资产的比例不超过10%，本基金投资于QDII基金和香港互认基金的比例合计不超过基金资产的20%；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（8）本基金投资于港股通标的股票的比例不超过股票资产的50%；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（9）本基金投资于货币市场基金的比例不超过基金资产的15%；</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（26）本基金投资存托凭证的比例限制依照境内上市交易的股票执行；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（27）法律法规及中国证监会规定的和基金合同约定的其他投资限制。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2、禁止行为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（1）承销证券；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（2）违反规定向他人贷款或者提供担保；</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（3）从事承担无限责任的投资；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（4）向其基金管理人、基金托管人出资；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（5）从事内幕交易、操纵证券交易价格及其他不正当的证券交易活动；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（6）法律、行政法规和中国证监会规定禁止的其他活动。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（五）业绩比较基准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本基金的业绩比较基准为：中证800指数收益率×A%＋中债综合全价（总值）指数收益率×（1-A%）。</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A%为下滑曲线权益类资产中枢占比。</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其中A%的取值如下：</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基金合同生效之日至2040年12月31日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2041年1月1日至2043年12月31日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2044年1月1日至2046年12月31日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2047年1月1日至2049年12月31日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2050年1月1日至2052年12月31日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2053年1月1日至2055年12月31日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80%</w:t>
            </w:r>
          </w:p>
        </w:tc>
      </w:tr>
    </w:tbl>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（六）风险收益特征</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（七）基金管理人代表基金行使相关权利的处理原则及方法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2、不谋求对上市公司的控股；</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3、有利于基金财产的安全与增值；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4"/>
          <w:highlight w:val="none"/>
        </w:rPr>
        <w:t>（八）</w:t>
      </w:r>
      <w:r>
        <w:rPr>
          <w:rFonts w:hint="eastAsia" w:ascii="宋体" w:hAnsi="宋体" w:cs="宋体"/>
          <w:bCs/>
          <w:color w:val="auto"/>
          <w:sz w:val="24"/>
          <w:szCs w:val="22"/>
          <w:highlight w:val="none"/>
        </w:rPr>
        <w:t>侧袋机制的实施和投资运作安排</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2"/>
          <w:highlight w:val="none"/>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六、基金资产估值</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（一）估值日</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（二）估值对象</w:t>
      </w:r>
    </w:p>
    <w:p>
      <w:pPr>
        <w:autoSpaceDE w:val="0"/>
        <w:autoSpaceDN w:val="0"/>
        <w:adjustRightIn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基金所拥有的证券投资基金、股票、债券、资产支持证券和银行存款本息、应收款项、其它投资等资产及负债。</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（三）</w:t>
      </w:r>
      <w:r>
        <w:rPr>
          <w:rFonts w:hint="eastAsia" w:ascii="宋体" w:hAnsi="宋体" w:cs="宋体"/>
          <w:bCs/>
          <w:color w:val="auto"/>
          <w:sz w:val="24"/>
          <w:highlight w:val="none"/>
        </w:rPr>
        <w:t>估值原则</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基金管理人在确定相关金融资产和金融负债的公允价值时，应符合《企业会计准则》、监管部门有关规定。</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（四）估值方法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1、证券投资基金的估值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（1）投资于非上市基金的估值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1）投资的境内非货币市场基金，按所投资基金估值日的份额净值估值；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（2）投资于交易所上市基金的估值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1）投资的ETF基金，按所投资ETF基金估值日的收盘价估值；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2）投资的境内上市开放式基金（LOF），按所投资基金估值日的份额净值估值；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3）投资的境内上市定期开放式基金、封闭式基金，按所投资基金估值日的收盘价估值；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2、证券交易所上市的有价证券的估值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（4）交易所上市交易的可转换债券以每日收盘价作为估值全价；</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3、处于未上市期间的有价证券应区分如下情况处理：</w:t>
      </w:r>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（1）送股、转增股、配股和公开增发的新股，按估值日在证券交易所挂牌的同一股票的估值方法估值；该日无交易的，以最近一日的市价（收盘价）估值</w:t>
      </w:r>
      <w:r>
        <w:rPr>
          <w:rFonts w:hint="eastAsia" w:ascii="宋体" w:hAnsi="宋体" w:cs="宋体"/>
          <w:bCs/>
          <w:color w:val="auto"/>
          <w:sz w:val="24"/>
          <w:szCs w:val="24"/>
          <w:highlight w:val="none"/>
          <w:lang w:eastAsia="zh-CN"/>
        </w:rPr>
        <w:t>。</w:t>
      </w:r>
      <w:bookmarkStart w:id="444" w:name="_GoBack"/>
      <w:bookmarkEnd w:id="444"/>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5、同业存单按估值日第三方估值机构提供的估值净价估值；选定的第三方估值机构未提供估值价格的，按成本估值。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6、同一证券同时在两个或两个以上市场交易的，按证券所处的市场分别估值。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7、本基金采用第三方估值机构按照上述公允价值确定原则提供的数据估值。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8、本基金投资存托凭证的估值核算，依照境内上市交易的股票执行。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13、相关法律法规以及监管部门有强制规定的，从其规定。如有新增事项，按国家最新规定估值。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（五）估值程序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（六）估值错误的处理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本基金合同的当事人应按照以下约定处理：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1、估值错误类型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2、估值错误处理原则</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（4）估值错误调整采用尽量恢复至假设未发生估值错误的正确情形的方式。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（5）按法律法规规定的其他原则处理估值错误。</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3、估值错误处理程序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估值错误被发现后，有关的当事人应当及时进行处理，处理的程序如下：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（1）查明估值错误发生的原因，列明所有的当事人，并根据估值错误发生的原因确定估值错误的责任方；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（2）根据估值错误处理原则或当事人协商的方法对因估值错误造成的损失进行评估；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（3）根据估值错误处理原则或当事人协商的方法由估值错误的责任方进行更正和赔偿损失；</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4、基金份额净值估值错误处理的方法如下：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（3）基金管理人和基金托管人由于各自技术系统设置而产生的净值计算尾差，以基金管理人计算结果为准。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（4）前述内容如法律法规或监管机关另有规定的，从其规定处理。如果行业另有通行做法，基金管理人和基金托管人应本着平等和保护基金份额持有人利益的原则进行协商。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（七）暂停估值的情形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1、基金投资所涉及的证券交易市场或外汇市场遇法定节假日或因其他原因暂停营业时；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2、因不可抗力或其他情形致使基金管理人、基金托管人无法准确评估基金资产价值时；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4、占相当比例的被投资基金暂停估值时；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5、法律法规规定、中国证监会和基金合同认定的其它情形。</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（八）基金净值的确认</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w:t>
      </w:r>
      <w:r>
        <w:rPr>
          <w:rFonts w:hint="eastAsia" w:ascii="宋体" w:hAnsi="宋体" w:cs="宋体"/>
          <w:bCs/>
          <w:color w:val="auto"/>
          <w:sz w:val="24"/>
          <w:szCs w:val="24"/>
          <w:highlight w:val="none"/>
        </w:rPr>
        <w:t>九</w:t>
      </w:r>
      <w:r>
        <w:rPr>
          <w:rFonts w:hint="eastAsia" w:ascii="宋体" w:hAnsi="宋体" w:cs="宋体"/>
          <w:bCs/>
          <w:color w:val="auto"/>
          <w:sz w:val="24"/>
          <w:highlight w:val="none"/>
        </w:rPr>
        <w:t>）</w:t>
      </w:r>
      <w:r>
        <w:rPr>
          <w:rFonts w:hint="eastAsia" w:ascii="宋体" w:hAnsi="宋体" w:cs="宋体"/>
          <w:bCs/>
          <w:color w:val="auto"/>
          <w:sz w:val="24"/>
          <w:szCs w:val="24"/>
          <w:highlight w:val="none"/>
        </w:rPr>
        <w:t>特殊情况的处理方法</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1、基金管理人、基金托管人按估值方法的第1</w:t>
      </w:r>
      <w:r>
        <w:rPr>
          <w:rFonts w:ascii="宋体" w:hAnsi="宋体" w:cs="宋体"/>
          <w:bCs/>
          <w:color w:val="auto"/>
          <w:sz w:val="24"/>
          <w:szCs w:val="24"/>
          <w:highlight w:val="none"/>
        </w:rPr>
        <w:t>1</w:t>
      </w:r>
      <w:r>
        <w:rPr>
          <w:rFonts w:hint="eastAsia" w:ascii="宋体" w:hAnsi="宋体" w:cs="宋体"/>
          <w:bCs/>
          <w:color w:val="auto"/>
          <w:sz w:val="24"/>
          <w:szCs w:val="24"/>
          <w:highlight w:val="none"/>
        </w:rPr>
        <w:t>项进行估值时，所造成的误差不作为基金资产估值错误处理。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w:t>
      </w:r>
      <w:r>
        <w:rPr>
          <w:rFonts w:hint="eastAsia" w:ascii="宋体" w:hAnsi="宋体" w:cs="宋体"/>
          <w:bCs/>
          <w:color w:val="auto"/>
          <w:sz w:val="24"/>
          <w:szCs w:val="24"/>
          <w:highlight w:val="none"/>
        </w:rPr>
        <w:t>十</w:t>
      </w:r>
      <w:r>
        <w:rPr>
          <w:rFonts w:hint="eastAsia" w:ascii="宋体" w:hAnsi="宋体" w:cs="宋体"/>
          <w:bCs/>
          <w:color w:val="auto"/>
          <w:sz w:val="24"/>
          <w:highlight w:val="none"/>
        </w:rPr>
        <w:t>）</w:t>
      </w:r>
      <w:r>
        <w:rPr>
          <w:rFonts w:hint="eastAsia" w:ascii="宋体" w:hAnsi="宋体" w:cs="宋体"/>
          <w:bCs/>
          <w:color w:val="auto"/>
          <w:sz w:val="24"/>
          <w:szCs w:val="24"/>
          <w:highlight w:val="none"/>
        </w:rPr>
        <w:t>实施侧袋机制期间的基金资产估值</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Cs/>
          <w:color w:val="auto"/>
          <w:sz w:val="24"/>
          <w:szCs w:val="24"/>
          <w:highlight w:val="none"/>
        </w:rPr>
        <w:t>本基金实施侧袋机制的，应根据本部分的约定对主袋账户资产进行估值并披露主袋账户的基金份额净值和份额累计净值，暂停披露侧袋账户的基金净值信息。</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七、基金合同解除和终止的事由、程序以及基金财产清算方式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（一）基金合同的变更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2、关于《基金合同》变更的基金份额持有人大会决议自生效后方可执行，自决议生效后依照《信息披露办法》的有关规定在规定媒介公告。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（二）基金合同的终止事由</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有下列情形之一的，经履行相关程序后，《基金合同》应当终止：</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1、基金份额持有人大会决定终止的；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基金合同生效满三年之日（若无对应日则顺延至下一日），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4、《基金合同》约定的其他情形；</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5、相关法律法规和中国证监会规定的其他情况。</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（三）基金财产的清算</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4、基金财产清算程序：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（1）《基金合同》终止情形出现时，由基金财产清算小组统一接管基金；</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（2）对基金财产和债权债务进行清理和确认；</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（3）对基金财产进行估值和变现；</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（4）制作清算报告；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（5）聘请符合《中华人民共和国证券法》规定的会计师事务所对清算报告进行外部审计，聘请律师事务所对清算报告出具法律意见书；</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（6）将清算报告报中国证监会备案并公告；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（7）对基金剩余财产进行分配。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5、基金财产清算的期限为6个月，但因本基金所持证券的流动性受到限制而不能及时变现的，清算期限相应顺延。</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（四）清算费用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清算费用是指基金财产清算小组在进行基金清算过程中发生的所有合理费用，清算费用由基金财产清算小组优先从基金剩余财产中支付。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（五）基金财产清算剩余资产的分配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（六）基金财产清算的公告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（七）基金财产清算账册及文件的保存</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基金财产清算账册及有关文件由基金托管人保存，保存时间不低于法律法规规定的最低期限。</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八、争议解决方式</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本基金合同适用中华人民共和国（就本基金合同而言，不包括香港特别行政区、澳门特别行政区和台湾地区）法律并从其解释。</w:t>
      </w:r>
    </w:p>
    <w:p>
      <w:pPr>
        <w:autoSpaceDE w:val="0"/>
        <w:autoSpaceDN w:val="0"/>
        <w:adjustRightIn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九、基金合同存放地和投资者取得基金合同的方式</w:t>
      </w:r>
    </w:p>
    <w:p>
      <w:pPr>
        <w:autoSpaceDE w:val="0"/>
        <w:autoSpaceDN w:val="0"/>
        <w:adjustRightIn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金合同》正本一式六份，除上报有关监管机构一式二份外，基金管理人、基金托管人各持有二份，每份具有同等的法律效力。《基金合同》可印制成册，供投资者在基金管理人、基金托管人、销售机构的办公场所和营业场所查阅，但应以基金合同正本为准。</w:t>
      </w: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4"/>
        <w:rFonts w:hint="eastAsia"/>
      </w:rPr>
      <w:instrText xml:space="preserve"> PAGE  </w:instrText>
    </w:r>
    <w:r>
      <w:rPr>
        <w:rFonts w:hint="eastAsia"/>
      </w:rPr>
      <w:fldChar w:fldCharType="separate"/>
    </w:r>
    <w:r>
      <w:rPr>
        <w:rStyle w:val="24"/>
      </w:rPr>
      <w:t>74</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rPr>
        <w:rFonts w:hint="eastAsia" w:eastAsia="宋体"/>
        <w:lang w:eastAsia="zh-CN"/>
      </w:rPr>
    </w:pPr>
    <w:r>
      <w:rPr>
        <w:rFonts w:hint="eastAsia"/>
        <w:color w:val="000000"/>
      </w:rPr>
      <w:t>XXXX</w:t>
    </w:r>
    <w:r>
      <w:rPr>
        <w:rFonts w:hint="eastAsia"/>
      </w:rPr>
      <w:t>证券投资基金                             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rPr>
        <w:rFonts w:hint="eastAsia" w:ascii="宋体" w:hAnsi="宋体" w:eastAsia="宋体" w:cs="宋体"/>
        <w:lang w:eastAsia="zh-CN"/>
      </w:rPr>
    </w:pPr>
    <w:r>
      <w:rPr>
        <w:rFonts w:hint="eastAsia" w:ascii="宋体" w:hAnsi="宋体" w:cs="宋体"/>
        <w:color w:val="000000"/>
        <w:lang w:eastAsia="zh-CN"/>
      </w:rPr>
      <w:t>英大延福养老目标日期2055三年持有期混合型发起式基金中基金（FOF）</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abstractNum w:abstractNumId="1">
    <w:nsid w:val="5B28C0D8"/>
    <w:multiLevelType w:val="singleLevel"/>
    <w:tmpl w:val="5B28C0D8"/>
    <w:lvl w:ilvl="0" w:tentative="0">
      <w:start w:val="6"/>
      <w:numFmt w:val="chineseCounting"/>
      <w:suff w:val="nothing"/>
      <w:lvlText w:val="%1、"/>
      <w:lvlJc w:val="left"/>
    </w:lvl>
  </w:abstractNum>
  <w:abstractNum w:abstractNumId="2">
    <w:nsid w:val="5BD27EBD"/>
    <w:multiLevelType w:val="singleLevel"/>
    <w:tmpl w:val="5BD27EBD"/>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DQ1MzJiMDJiZTExYzcxZDNhZjZiNzI3M2E2NDUifQ=="/>
  </w:docVars>
  <w:rsids>
    <w:rsidRoot w:val="00172A27"/>
    <w:rsid w:val="00012F8E"/>
    <w:rsid w:val="000141A1"/>
    <w:rsid w:val="00037F94"/>
    <w:rsid w:val="00041CE1"/>
    <w:rsid w:val="000474C4"/>
    <w:rsid w:val="00054A3A"/>
    <w:rsid w:val="00064A41"/>
    <w:rsid w:val="0007536D"/>
    <w:rsid w:val="000763D7"/>
    <w:rsid w:val="00085269"/>
    <w:rsid w:val="000C1163"/>
    <w:rsid w:val="000F1A28"/>
    <w:rsid w:val="00122CD6"/>
    <w:rsid w:val="0012469E"/>
    <w:rsid w:val="00172A27"/>
    <w:rsid w:val="00184FD7"/>
    <w:rsid w:val="00190158"/>
    <w:rsid w:val="001A2809"/>
    <w:rsid w:val="001C254B"/>
    <w:rsid w:val="001C5919"/>
    <w:rsid w:val="001D2F73"/>
    <w:rsid w:val="001F256D"/>
    <w:rsid w:val="002222EF"/>
    <w:rsid w:val="00266525"/>
    <w:rsid w:val="002737B9"/>
    <w:rsid w:val="00290518"/>
    <w:rsid w:val="00291D0A"/>
    <w:rsid w:val="002A112F"/>
    <w:rsid w:val="002F6F7F"/>
    <w:rsid w:val="00307344"/>
    <w:rsid w:val="003165A1"/>
    <w:rsid w:val="003179F0"/>
    <w:rsid w:val="00335835"/>
    <w:rsid w:val="00351A0D"/>
    <w:rsid w:val="00372D63"/>
    <w:rsid w:val="003943F4"/>
    <w:rsid w:val="003D2627"/>
    <w:rsid w:val="003D73EE"/>
    <w:rsid w:val="003E0FF6"/>
    <w:rsid w:val="003E631D"/>
    <w:rsid w:val="003F201E"/>
    <w:rsid w:val="00465189"/>
    <w:rsid w:val="004B2B73"/>
    <w:rsid w:val="004B5475"/>
    <w:rsid w:val="004C5677"/>
    <w:rsid w:val="004C6694"/>
    <w:rsid w:val="0052270D"/>
    <w:rsid w:val="0053118A"/>
    <w:rsid w:val="00540F0B"/>
    <w:rsid w:val="005446FF"/>
    <w:rsid w:val="0058742A"/>
    <w:rsid w:val="005A5F07"/>
    <w:rsid w:val="005B44BA"/>
    <w:rsid w:val="005C34F1"/>
    <w:rsid w:val="005C76B2"/>
    <w:rsid w:val="005D4293"/>
    <w:rsid w:val="005F51E5"/>
    <w:rsid w:val="00663848"/>
    <w:rsid w:val="00670E2E"/>
    <w:rsid w:val="006930AF"/>
    <w:rsid w:val="006A7411"/>
    <w:rsid w:val="006A79ED"/>
    <w:rsid w:val="006C55A2"/>
    <w:rsid w:val="007333DC"/>
    <w:rsid w:val="00741002"/>
    <w:rsid w:val="0075014D"/>
    <w:rsid w:val="00761E4C"/>
    <w:rsid w:val="007915D9"/>
    <w:rsid w:val="00794335"/>
    <w:rsid w:val="00794815"/>
    <w:rsid w:val="00797091"/>
    <w:rsid w:val="00814BE0"/>
    <w:rsid w:val="00820E16"/>
    <w:rsid w:val="00821DF0"/>
    <w:rsid w:val="00826B96"/>
    <w:rsid w:val="0084053E"/>
    <w:rsid w:val="00847251"/>
    <w:rsid w:val="00861BC5"/>
    <w:rsid w:val="0086524C"/>
    <w:rsid w:val="0087477A"/>
    <w:rsid w:val="0089260C"/>
    <w:rsid w:val="0089542C"/>
    <w:rsid w:val="008A69C4"/>
    <w:rsid w:val="008B0BC9"/>
    <w:rsid w:val="008C37CE"/>
    <w:rsid w:val="008E60C4"/>
    <w:rsid w:val="008E76AA"/>
    <w:rsid w:val="008F23B1"/>
    <w:rsid w:val="00932B33"/>
    <w:rsid w:val="00955DB8"/>
    <w:rsid w:val="0098132C"/>
    <w:rsid w:val="00996E08"/>
    <w:rsid w:val="009971AA"/>
    <w:rsid w:val="009A1DE8"/>
    <w:rsid w:val="009B3926"/>
    <w:rsid w:val="009B4867"/>
    <w:rsid w:val="009C2C79"/>
    <w:rsid w:val="00A040D2"/>
    <w:rsid w:val="00A061F5"/>
    <w:rsid w:val="00A20D80"/>
    <w:rsid w:val="00A23A42"/>
    <w:rsid w:val="00A34928"/>
    <w:rsid w:val="00A4484E"/>
    <w:rsid w:val="00A76FB1"/>
    <w:rsid w:val="00A82F69"/>
    <w:rsid w:val="00A9496D"/>
    <w:rsid w:val="00AC57EA"/>
    <w:rsid w:val="00AE2B12"/>
    <w:rsid w:val="00AF241E"/>
    <w:rsid w:val="00B24B66"/>
    <w:rsid w:val="00B578EE"/>
    <w:rsid w:val="00B7345E"/>
    <w:rsid w:val="00B920D3"/>
    <w:rsid w:val="00B926E5"/>
    <w:rsid w:val="00BF21D8"/>
    <w:rsid w:val="00BF76F7"/>
    <w:rsid w:val="00C078BE"/>
    <w:rsid w:val="00C14A27"/>
    <w:rsid w:val="00C26079"/>
    <w:rsid w:val="00C33B2D"/>
    <w:rsid w:val="00C4437B"/>
    <w:rsid w:val="00C72C68"/>
    <w:rsid w:val="00C73E7C"/>
    <w:rsid w:val="00C973E6"/>
    <w:rsid w:val="00CC5F29"/>
    <w:rsid w:val="00CD560E"/>
    <w:rsid w:val="00CE2233"/>
    <w:rsid w:val="00D154CD"/>
    <w:rsid w:val="00D224D5"/>
    <w:rsid w:val="00D45254"/>
    <w:rsid w:val="00D57883"/>
    <w:rsid w:val="00D64C83"/>
    <w:rsid w:val="00D773C8"/>
    <w:rsid w:val="00D87DDD"/>
    <w:rsid w:val="00DC693A"/>
    <w:rsid w:val="00DF027B"/>
    <w:rsid w:val="00DF45F0"/>
    <w:rsid w:val="00DF4944"/>
    <w:rsid w:val="00E12880"/>
    <w:rsid w:val="00E36077"/>
    <w:rsid w:val="00E51F7C"/>
    <w:rsid w:val="00E711EB"/>
    <w:rsid w:val="00E9528F"/>
    <w:rsid w:val="00E95949"/>
    <w:rsid w:val="00E95D94"/>
    <w:rsid w:val="00EB2AB0"/>
    <w:rsid w:val="00EB7E60"/>
    <w:rsid w:val="00EE2F58"/>
    <w:rsid w:val="00EF476A"/>
    <w:rsid w:val="00F040EA"/>
    <w:rsid w:val="00F05705"/>
    <w:rsid w:val="00F37CCC"/>
    <w:rsid w:val="00F71CB2"/>
    <w:rsid w:val="00F749B5"/>
    <w:rsid w:val="00FA7982"/>
    <w:rsid w:val="00FC7768"/>
    <w:rsid w:val="00FE66B1"/>
    <w:rsid w:val="01007F4A"/>
    <w:rsid w:val="01133733"/>
    <w:rsid w:val="011C132C"/>
    <w:rsid w:val="011C2146"/>
    <w:rsid w:val="011C3ABD"/>
    <w:rsid w:val="01314232"/>
    <w:rsid w:val="01327C30"/>
    <w:rsid w:val="0140033F"/>
    <w:rsid w:val="014B05F6"/>
    <w:rsid w:val="015759ED"/>
    <w:rsid w:val="015D531E"/>
    <w:rsid w:val="01646D96"/>
    <w:rsid w:val="01723B55"/>
    <w:rsid w:val="01723C3C"/>
    <w:rsid w:val="01965674"/>
    <w:rsid w:val="01A26346"/>
    <w:rsid w:val="01A76F9F"/>
    <w:rsid w:val="01AB5811"/>
    <w:rsid w:val="01AE49E4"/>
    <w:rsid w:val="01B67BD2"/>
    <w:rsid w:val="01CB04C7"/>
    <w:rsid w:val="01D05A69"/>
    <w:rsid w:val="01E12AC7"/>
    <w:rsid w:val="01E67858"/>
    <w:rsid w:val="01F95CF1"/>
    <w:rsid w:val="0202799F"/>
    <w:rsid w:val="020E726A"/>
    <w:rsid w:val="020F7C40"/>
    <w:rsid w:val="02266FAE"/>
    <w:rsid w:val="02307BF2"/>
    <w:rsid w:val="02615B90"/>
    <w:rsid w:val="02643054"/>
    <w:rsid w:val="0265526C"/>
    <w:rsid w:val="027243D7"/>
    <w:rsid w:val="029A33E1"/>
    <w:rsid w:val="029F53A6"/>
    <w:rsid w:val="02AA3196"/>
    <w:rsid w:val="02BA25FC"/>
    <w:rsid w:val="02D8661C"/>
    <w:rsid w:val="02E65FFF"/>
    <w:rsid w:val="03312581"/>
    <w:rsid w:val="033E7DB8"/>
    <w:rsid w:val="03476656"/>
    <w:rsid w:val="03493AA1"/>
    <w:rsid w:val="034D7D08"/>
    <w:rsid w:val="037D076B"/>
    <w:rsid w:val="03904A20"/>
    <w:rsid w:val="03926582"/>
    <w:rsid w:val="03941DEB"/>
    <w:rsid w:val="03961A6A"/>
    <w:rsid w:val="039F0B86"/>
    <w:rsid w:val="03A27256"/>
    <w:rsid w:val="03A41944"/>
    <w:rsid w:val="03AB2D0B"/>
    <w:rsid w:val="03BF54BB"/>
    <w:rsid w:val="03C46E6C"/>
    <w:rsid w:val="04085352"/>
    <w:rsid w:val="040F2CF1"/>
    <w:rsid w:val="04104E56"/>
    <w:rsid w:val="041F3622"/>
    <w:rsid w:val="043053AD"/>
    <w:rsid w:val="044F0C69"/>
    <w:rsid w:val="045C57C0"/>
    <w:rsid w:val="046A0B42"/>
    <w:rsid w:val="047752E7"/>
    <w:rsid w:val="04827AB7"/>
    <w:rsid w:val="04971304"/>
    <w:rsid w:val="04A46934"/>
    <w:rsid w:val="04B22471"/>
    <w:rsid w:val="04BD3FCB"/>
    <w:rsid w:val="04D24684"/>
    <w:rsid w:val="04DF5F64"/>
    <w:rsid w:val="04E95AD3"/>
    <w:rsid w:val="04E96DD0"/>
    <w:rsid w:val="04EB4E75"/>
    <w:rsid w:val="04F12C23"/>
    <w:rsid w:val="05115042"/>
    <w:rsid w:val="05255DE7"/>
    <w:rsid w:val="05393B8F"/>
    <w:rsid w:val="055445DA"/>
    <w:rsid w:val="05640491"/>
    <w:rsid w:val="0592223D"/>
    <w:rsid w:val="059D537C"/>
    <w:rsid w:val="059F4948"/>
    <w:rsid w:val="05A84A4C"/>
    <w:rsid w:val="05BE7BE9"/>
    <w:rsid w:val="05C32632"/>
    <w:rsid w:val="05E421D7"/>
    <w:rsid w:val="061D0B08"/>
    <w:rsid w:val="06202E3A"/>
    <w:rsid w:val="062E7028"/>
    <w:rsid w:val="063A5827"/>
    <w:rsid w:val="06435022"/>
    <w:rsid w:val="064553E1"/>
    <w:rsid w:val="064A3626"/>
    <w:rsid w:val="0652180C"/>
    <w:rsid w:val="065233A1"/>
    <w:rsid w:val="06555B19"/>
    <w:rsid w:val="06744037"/>
    <w:rsid w:val="067A7E32"/>
    <w:rsid w:val="06A25FB6"/>
    <w:rsid w:val="06A75C40"/>
    <w:rsid w:val="06B40852"/>
    <w:rsid w:val="06B809EC"/>
    <w:rsid w:val="06BB1345"/>
    <w:rsid w:val="06C46964"/>
    <w:rsid w:val="06D72090"/>
    <w:rsid w:val="06DE63A0"/>
    <w:rsid w:val="07013F3A"/>
    <w:rsid w:val="07034E18"/>
    <w:rsid w:val="07083195"/>
    <w:rsid w:val="07300A2E"/>
    <w:rsid w:val="07371C90"/>
    <w:rsid w:val="0741662C"/>
    <w:rsid w:val="078C3556"/>
    <w:rsid w:val="078F6797"/>
    <w:rsid w:val="079120BC"/>
    <w:rsid w:val="079D3C84"/>
    <w:rsid w:val="07A8415E"/>
    <w:rsid w:val="07A85F1A"/>
    <w:rsid w:val="07BA18A3"/>
    <w:rsid w:val="07CF2D3F"/>
    <w:rsid w:val="07D15815"/>
    <w:rsid w:val="07F14B4D"/>
    <w:rsid w:val="080D31EB"/>
    <w:rsid w:val="080E7D5B"/>
    <w:rsid w:val="083852F4"/>
    <w:rsid w:val="083F4D34"/>
    <w:rsid w:val="085B6C69"/>
    <w:rsid w:val="08604058"/>
    <w:rsid w:val="086B33E7"/>
    <w:rsid w:val="08793BCA"/>
    <w:rsid w:val="08C13772"/>
    <w:rsid w:val="08CF1273"/>
    <w:rsid w:val="08DC0079"/>
    <w:rsid w:val="08DC5428"/>
    <w:rsid w:val="08E713FA"/>
    <w:rsid w:val="08EE4992"/>
    <w:rsid w:val="08FD62BA"/>
    <w:rsid w:val="09006AFA"/>
    <w:rsid w:val="090134A5"/>
    <w:rsid w:val="091348E7"/>
    <w:rsid w:val="09136910"/>
    <w:rsid w:val="091C23F7"/>
    <w:rsid w:val="093E74A9"/>
    <w:rsid w:val="09402430"/>
    <w:rsid w:val="094E4335"/>
    <w:rsid w:val="09567E55"/>
    <w:rsid w:val="09691366"/>
    <w:rsid w:val="096E7B8A"/>
    <w:rsid w:val="09756323"/>
    <w:rsid w:val="0984763A"/>
    <w:rsid w:val="098644DF"/>
    <w:rsid w:val="09877EA3"/>
    <w:rsid w:val="098B1C46"/>
    <w:rsid w:val="09974158"/>
    <w:rsid w:val="09A721BA"/>
    <w:rsid w:val="09C85EA6"/>
    <w:rsid w:val="09D07010"/>
    <w:rsid w:val="09DE4304"/>
    <w:rsid w:val="09EB4DE9"/>
    <w:rsid w:val="09F4631F"/>
    <w:rsid w:val="09F5344F"/>
    <w:rsid w:val="09F6135B"/>
    <w:rsid w:val="09F63AFE"/>
    <w:rsid w:val="0A29372F"/>
    <w:rsid w:val="0A455BE9"/>
    <w:rsid w:val="0A4924D6"/>
    <w:rsid w:val="0A4D36AA"/>
    <w:rsid w:val="0A4F483D"/>
    <w:rsid w:val="0A5267CD"/>
    <w:rsid w:val="0A760D38"/>
    <w:rsid w:val="0A7E001C"/>
    <w:rsid w:val="0A8C4C58"/>
    <w:rsid w:val="0A906190"/>
    <w:rsid w:val="0AA75479"/>
    <w:rsid w:val="0AA93276"/>
    <w:rsid w:val="0AB466F1"/>
    <w:rsid w:val="0AB73CB6"/>
    <w:rsid w:val="0AE05724"/>
    <w:rsid w:val="0AF00FED"/>
    <w:rsid w:val="0B025D2E"/>
    <w:rsid w:val="0B0C4D18"/>
    <w:rsid w:val="0B121CB4"/>
    <w:rsid w:val="0B156CF6"/>
    <w:rsid w:val="0B381DEC"/>
    <w:rsid w:val="0B3958CC"/>
    <w:rsid w:val="0B501A24"/>
    <w:rsid w:val="0B520950"/>
    <w:rsid w:val="0B550CF8"/>
    <w:rsid w:val="0B695B12"/>
    <w:rsid w:val="0B94173C"/>
    <w:rsid w:val="0B9C2483"/>
    <w:rsid w:val="0BA938A0"/>
    <w:rsid w:val="0BAD643E"/>
    <w:rsid w:val="0BC17926"/>
    <w:rsid w:val="0BCB2696"/>
    <w:rsid w:val="0BDA301F"/>
    <w:rsid w:val="0C037338"/>
    <w:rsid w:val="0C1D216A"/>
    <w:rsid w:val="0C363488"/>
    <w:rsid w:val="0C4548C9"/>
    <w:rsid w:val="0C4C2275"/>
    <w:rsid w:val="0C52061D"/>
    <w:rsid w:val="0C586F6A"/>
    <w:rsid w:val="0C5E22F1"/>
    <w:rsid w:val="0C646769"/>
    <w:rsid w:val="0C66418D"/>
    <w:rsid w:val="0C6773EE"/>
    <w:rsid w:val="0C865395"/>
    <w:rsid w:val="0C8E6F59"/>
    <w:rsid w:val="0C935114"/>
    <w:rsid w:val="0C9945AB"/>
    <w:rsid w:val="0C9D5FDB"/>
    <w:rsid w:val="0C9F4A42"/>
    <w:rsid w:val="0CA85059"/>
    <w:rsid w:val="0CD30321"/>
    <w:rsid w:val="0CE93E1C"/>
    <w:rsid w:val="0D0429D6"/>
    <w:rsid w:val="0D195AB4"/>
    <w:rsid w:val="0D456796"/>
    <w:rsid w:val="0D5010A0"/>
    <w:rsid w:val="0D531EEB"/>
    <w:rsid w:val="0D537DFB"/>
    <w:rsid w:val="0D663FC9"/>
    <w:rsid w:val="0D70193C"/>
    <w:rsid w:val="0D763964"/>
    <w:rsid w:val="0D7D71E5"/>
    <w:rsid w:val="0D7E0810"/>
    <w:rsid w:val="0D821B77"/>
    <w:rsid w:val="0D82401B"/>
    <w:rsid w:val="0D851FC4"/>
    <w:rsid w:val="0D940A04"/>
    <w:rsid w:val="0DA25D4B"/>
    <w:rsid w:val="0DB3336E"/>
    <w:rsid w:val="0DBA6DE5"/>
    <w:rsid w:val="0DBC7A72"/>
    <w:rsid w:val="0DD24F37"/>
    <w:rsid w:val="0DE72C9F"/>
    <w:rsid w:val="0DEF4A50"/>
    <w:rsid w:val="0E2E7157"/>
    <w:rsid w:val="0E381D1B"/>
    <w:rsid w:val="0E3A7586"/>
    <w:rsid w:val="0E3D1F87"/>
    <w:rsid w:val="0E4279DC"/>
    <w:rsid w:val="0E654394"/>
    <w:rsid w:val="0E791B65"/>
    <w:rsid w:val="0E846B7D"/>
    <w:rsid w:val="0E8F6DBE"/>
    <w:rsid w:val="0E926591"/>
    <w:rsid w:val="0E9905ED"/>
    <w:rsid w:val="0EA73890"/>
    <w:rsid w:val="0EAE645C"/>
    <w:rsid w:val="0EAF651C"/>
    <w:rsid w:val="0EC87645"/>
    <w:rsid w:val="0EC9674F"/>
    <w:rsid w:val="0ED55130"/>
    <w:rsid w:val="0EDC2ECB"/>
    <w:rsid w:val="0EFC2902"/>
    <w:rsid w:val="0F0052DA"/>
    <w:rsid w:val="0F0C6B07"/>
    <w:rsid w:val="0F274978"/>
    <w:rsid w:val="0F4E03A2"/>
    <w:rsid w:val="0F553E5A"/>
    <w:rsid w:val="0F563BEF"/>
    <w:rsid w:val="0F6A56A2"/>
    <w:rsid w:val="0F7558CD"/>
    <w:rsid w:val="0F7C0E02"/>
    <w:rsid w:val="0FA47D1E"/>
    <w:rsid w:val="0FAF5245"/>
    <w:rsid w:val="0FB632D0"/>
    <w:rsid w:val="0FC47857"/>
    <w:rsid w:val="0FC65475"/>
    <w:rsid w:val="10112FD3"/>
    <w:rsid w:val="10141CDC"/>
    <w:rsid w:val="101E0130"/>
    <w:rsid w:val="10235E68"/>
    <w:rsid w:val="10356707"/>
    <w:rsid w:val="10404E27"/>
    <w:rsid w:val="10471174"/>
    <w:rsid w:val="10570EA2"/>
    <w:rsid w:val="10626394"/>
    <w:rsid w:val="106773D8"/>
    <w:rsid w:val="10833D39"/>
    <w:rsid w:val="10871A84"/>
    <w:rsid w:val="10BC1337"/>
    <w:rsid w:val="10BE1AC6"/>
    <w:rsid w:val="10C60127"/>
    <w:rsid w:val="10CE4D17"/>
    <w:rsid w:val="10D8027E"/>
    <w:rsid w:val="10E45DC9"/>
    <w:rsid w:val="10FB7DCB"/>
    <w:rsid w:val="11026C76"/>
    <w:rsid w:val="11115D2D"/>
    <w:rsid w:val="1126332B"/>
    <w:rsid w:val="112C1986"/>
    <w:rsid w:val="112C5F6A"/>
    <w:rsid w:val="114F4237"/>
    <w:rsid w:val="11540A21"/>
    <w:rsid w:val="1160316C"/>
    <w:rsid w:val="11704B28"/>
    <w:rsid w:val="11804559"/>
    <w:rsid w:val="118940AC"/>
    <w:rsid w:val="119767C2"/>
    <w:rsid w:val="119B60B1"/>
    <w:rsid w:val="11A81750"/>
    <w:rsid w:val="11C01943"/>
    <w:rsid w:val="11F91903"/>
    <w:rsid w:val="11FA63C1"/>
    <w:rsid w:val="121155FF"/>
    <w:rsid w:val="12160D91"/>
    <w:rsid w:val="123123DF"/>
    <w:rsid w:val="123558FA"/>
    <w:rsid w:val="123D67D8"/>
    <w:rsid w:val="124523BD"/>
    <w:rsid w:val="12477ADD"/>
    <w:rsid w:val="12667F4B"/>
    <w:rsid w:val="12810BD0"/>
    <w:rsid w:val="129D5F9C"/>
    <w:rsid w:val="12A8431E"/>
    <w:rsid w:val="12B234BA"/>
    <w:rsid w:val="12B40B7D"/>
    <w:rsid w:val="12BF0FFD"/>
    <w:rsid w:val="12EF285B"/>
    <w:rsid w:val="132158B6"/>
    <w:rsid w:val="133811DC"/>
    <w:rsid w:val="133E31F1"/>
    <w:rsid w:val="13420339"/>
    <w:rsid w:val="13445888"/>
    <w:rsid w:val="135729CB"/>
    <w:rsid w:val="136363BD"/>
    <w:rsid w:val="13686598"/>
    <w:rsid w:val="13770476"/>
    <w:rsid w:val="138D5979"/>
    <w:rsid w:val="139B004F"/>
    <w:rsid w:val="13C23490"/>
    <w:rsid w:val="13C263F3"/>
    <w:rsid w:val="13C7207D"/>
    <w:rsid w:val="13D01730"/>
    <w:rsid w:val="13D317C8"/>
    <w:rsid w:val="13D46A35"/>
    <w:rsid w:val="13D915BF"/>
    <w:rsid w:val="13E772E2"/>
    <w:rsid w:val="141D2ADC"/>
    <w:rsid w:val="14275878"/>
    <w:rsid w:val="142775E4"/>
    <w:rsid w:val="142B6D08"/>
    <w:rsid w:val="146D7C77"/>
    <w:rsid w:val="14710106"/>
    <w:rsid w:val="147E7961"/>
    <w:rsid w:val="14951656"/>
    <w:rsid w:val="14A6448C"/>
    <w:rsid w:val="14B04246"/>
    <w:rsid w:val="14C51809"/>
    <w:rsid w:val="14E87086"/>
    <w:rsid w:val="14F440B1"/>
    <w:rsid w:val="150B08E8"/>
    <w:rsid w:val="15240EF2"/>
    <w:rsid w:val="152F0135"/>
    <w:rsid w:val="15446F47"/>
    <w:rsid w:val="15515AD1"/>
    <w:rsid w:val="1553425E"/>
    <w:rsid w:val="156009C5"/>
    <w:rsid w:val="15661957"/>
    <w:rsid w:val="156E4AEC"/>
    <w:rsid w:val="158B07B3"/>
    <w:rsid w:val="15986254"/>
    <w:rsid w:val="159F2DDB"/>
    <w:rsid w:val="15A121C9"/>
    <w:rsid w:val="15AD7AA0"/>
    <w:rsid w:val="15AD7DBC"/>
    <w:rsid w:val="15DD5C4C"/>
    <w:rsid w:val="15DF004D"/>
    <w:rsid w:val="15E30140"/>
    <w:rsid w:val="15F76881"/>
    <w:rsid w:val="15FB6DB1"/>
    <w:rsid w:val="15FE2D03"/>
    <w:rsid w:val="1602382A"/>
    <w:rsid w:val="160B0931"/>
    <w:rsid w:val="161D0ADC"/>
    <w:rsid w:val="161F0190"/>
    <w:rsid w:val="163413D6"/>
    <w:rsid w:val="163978D5"/>
    <w:rsid w:val="163F167D"/>
    <w:rsid w:val="164D2CD5"/>
    <w:rsid w:val="16517062"/>
    <w:rsid w:val="165247B2"/>
    <w:rsid w:val="165255FB"/>
    <w:rsid w:val="16542DD9"/>
    <w:rsid w:val="16585CC2"/>
    <w:rsid w:val="1670508E"/>
    <w:rsid w:val="16705BD4"/>
    <w:rsid w:val="168D19DB"/>
    <w:rsid w:val="16AB4FCA"/>
    <w:rsid w:val="16B971C9"/>
    <w:rsid w:val="16C20652"/>
    <w:rsid w:val="16C262EA"/>
    <w:rsid w:val="16C61A00"/>
    <w:rsid w:val="16CC27A1"/>
    <w:rsid w:val="16D01662"/>
    <w:rsid w:val="16D77532"/>
    <w:rsid w:val="16D95344"/>
    <w:rsid w:val="16DE5216"/>
    <w:rsid w:val="16EB1B9C"/>
    <w:rsid w:val="17153970"/>
    <w:rsid w:val="172F5C98"/>
    <w:rsid w:val="174A37AD"/>
    <w:rsid w:val="175F4793"/>
    <w:rsid w:val="176029CC"/>
    <w:rsid w:val="17650214"/>
    <w:rsid w:val="17681825"/>
    <w:rsid w:val="176F0088"/>
    <w:rsid w:val="178219FD"/>
    <w:rsid w:val="178939F7"/>
    <w:rsid w:val="178B10D0"/>
    <w:rsid w:val="178D52D8"/>
    <w:rsid w:val="178E3F9E"/>
    <w:rsid w:val="17917D3A"/>
    <w:rsid w:val="17A57A2F"/>
    <w:rsid w:val="17AD7EEB"/>
    <w:rsid w:val="17B246B9"/>
    <w:rsid w:val="181A28F6"/>
    <w:rsid w:val="181A4326"/>
    <w:rsid w:val="182050E9"/>
    <w:rsid w:val="182776A8"/>
    <w:rsid w:val="18304CBA"/>
    <w:rsid w:val="183A5D1A"/>
    <w:rsid w:val="18443A3C"/>
    <w:rsid w:val="184A3FE5"/>
    <w:rsid w:val="1861089B"/>
    <w:rsid w:val="18776735"/>
    <w:rsid w:val="187D5BBE"/>
    <w:rsid w:val="188639E4"/>
    <w:rsid w:val="189314E0"/>
    <w:rsid w:val="18BF126B"/>
    <w:rsid w:val="18C17838"/>
    <w:rsid w:val="18C64270"/>
    <w:rsid w:val="18D317AD"/>
    <w:rsid w:val="18F71746"/>
    <w:rsid w:val="18F77ECF"/>
    <w:rsid w:val="1917496C"/>
    <w:rsid w:val="191B4F9E"/>
    <w:rsid w:val="191F445F"/>
    <w:rsid w:val="192767F9"/>
    <w:rsid w:val="194B1C36"/>
    <w:rsid w:val="194D3FED"/>
    <w:rsid w:val="195739BF"/>
    <w:rsid w:val="19727E10"/>
    <w:rsid w:val="199402E6"/>
    <w:rsid w:val="1995426F"/>
    <w:rsid w:val="19CB59B7"/>
    <w:rsid w:val="19D81898"/>
    <w:rsid w:val="19E66EE2"/>
    <w:rsid w:val="19E731EC"/>
    <w:rsid w:val="19E74A2F"/>
    <w:rsid w:val="19F631A5"/>
    <w:rsid w:val="19FC1FBC"/>
    <w:rsid w:val="1A0C2059"/>
    <w:rsid w:val="1A1B3868"/>
    <w:rsid w:val="1A337B4A"/>
    <w:rsid w:val="1A3D333E"/>
    <w:rsid w:val="1A3D6997"/>
    <w:rsid w:val="1A444C01"/>
    <w:rsid w:val="1A4D43CD"/>
    <w:rsid w:val="1A7D4BC1"/>
    <w:rsid w:val="1A7F369B"/>
    <w:rsid w:val="1A804B22"/>
    <w:rsid w:val="1A971483"/>
    <w:rsid w:val="1ACB5E0E"/>
    <w:rsid w:val="1AD410BA"/>
    <w:rsid w:val="1ADC58A6"/>
    <w:rsid w:val="1AED27EE"/>
    <w:rsid w:val="1AF27595"/>
    <w:rsid w:val="1B1B3317"/>
    <w:rsid w:val="1B256883"/>
    <w:rsid w:val="1B2806EE"/>
    <w:rsid w:val="1B2967C7"/>
    <w:rsid w:val="1B2E0C1E"/>
    <w:rsid w:val="1B310D5D"/>
    <w:rsid w:val="1B373AAE"/>
    <w:rsid w:val="1B3A0E52"/>
    <w:rsid w:val="1B4660FB"/>
    <w:rsid w:val="1B6330D1"/>
    <w:rsid w:val="1B804943"/>
    <w:rsid w:val="1B907933"/>
    <w:rsid w:val="1BB9126A"/>
    <w:rsid w:val="1BC40AA9"/>
    <w:rsid w:val="1BCE3F69"/>
    <w:rsid w:val="1BE80878"/>
    <w:rsid w:val="1BE839DF"/>
    <w:rsid w:val="1BEF6B08"/>
    <w:rsid w:val="1BF8275E"/>
    <w:rsid w:val="1C0F530C"/>
    <w:rsid w:val="1C126E52"/>
    <w:rsid w:val="1C170623"/>
    <w:rsid w:val="1C170873"/>
    <w:rsid w:val="1C1A1A14"/>
    <w:rsid w:val="1C2A33BC"/>
    <w:rsid w:val="1C454455"/>
    <w:rsid w:val="1C4E4657"/>
    <w:rsid w:val="1C686345"/>
    <w:rsid w:val="1C762985"/>
    <w:rsid w:val="1C896EF4"/>
    <w:rsid w:val="1C8A188E"/>
    <w:rsid w:val="1C9256FA"/>
    <w:rsid w:val="1C9D7F5D"/>
    <w:rsid w:val="1CA16674"/>
    <w:rsid w:val="1CC027AA"/>
    <w:rsid w:val="1CD13F56"/>
    <w:rsid w:val="1CD76FD4"/>
    <w:rsid w:val="1CDB4292"/>
    <w:rsid w:val="1CE06122"/>
    <w:rsid w:val="1D10372C"/>
    <w:rsid w:val="1D1A31CD"/>
    <w:rsid w:val="1D1B70C1"/>
    <w:rsid w:val="1D1F298B"/>
    <w:rsid w:val="1D237C38"/>
    <w:rsid w:val="1D3621F4"/>
    <w:rsid w:val="1D3C38E9"/>
    <w:rsid w:val="1D403606"/>
    <w:rsid w:val="1D4C75B4"/>
    <w:rsid w:val="1D643263"/>
    <w:rsid w:val="1D7C5ACD"/>
    <w:rsid w:val="1D8264B5"/>
    <w:rsid w:val="1DA068D4"/>
    <w:rsid w:val="1DA227AF"/>
    <w:rsid w:val="1DAD1937"/>
    <w:rsid w:val="1DBC377C"/>
    <w:rsid w:val="1DC323AC"/>
    <w:rsid w:val="1DC3453C"/>
    <w:rsid w:val="1DC90A56"/>
    <w:rsid w:val="1DD079B2"/>
    <w:rsid w:val="1DD30CFB"/>
    <w:rsid w:val="1DEE5D12"/>
    <w:rsid w:val="1DFD242E"/>
    <w:rsid w:val="1E066837"/>
    <w:rsid w:val="1E0A52E5"/>
    <w:rsid w:val="1E0C78DC"/>
    <w:rsid w:val="1E0F5BA4"/>
    <w:rsid w:val="1E1E3CD0"/>
    <w:rsid w:val="1E2A57AB"/>
    <w:rsid w:val="1E4248A7"/>
    <w:rsid w:val="1E446452"/>
    <w:rsid w:val="1E4B7B3D"/>
    <w:rsid w:val="1E57048B"/>
    <w:rsid w:val="1E5A14A9"/>
    <w:rsid w:val="1E620352"/>
    <w:rsid w:val="1E672589"/>
    <w:rsid w:val="1E730C13"/>
    <w:rsid w:val="1E864E61"/>
    <w:rsid w:val="1EB55D95"/>
    <w:rsid w:val="1EB80735"/>
    <w:rsid w:val="1EBE658E"/>
    <w:rsid w:val="1ED94464"/>
    <w:rsid w:val="1EE01510"/>
    <w:rsid w:val="1EE95990"/>
    <w:rsid w:val="1F232517"/>
    <w:rsid w:val="1F2C6B93"/>
    <w:rsid w:val="1F385628"/>
    <w:rsid w:val="1F4B2AE4"/>
    <w:rsid w:val="1F5429A2"/>
    <w:rsid w:val="1F570CF6"/>
    <w:rsid w:val="1F830CD0"/>
    <w:rsid w:val="1F931131"/>
    <w:rsid w:val="1F9E19D4"/>
    <w:rsid w:val="1FBA6A44"/>
    <w:rsid w:val="1FC94B0C"/>
    <w:rsid w:val="1FD23146"/>
    <w:rsid w:val="1FE26958"/>
    <w:rsid w:val="1FEC0CE3"/>
    <w:rsid w:val="1FED5C04"/>
    <w:rsid w:val="1FFE128D"/>
    <w:rsid w:val="20032D54"/>
    <w:rsid w:val="200B12B6"/>
    <w:rsid w:val="20183C55"/>
    <w:rsid w:val="202037D7"/>
    <w:rsid w:val="20400AC4"/>
    <w:rsid w:val="20476C47"/>
    <w:rsid w:val="20523C60"/>
    <w:rsid w:val="20641860"/>
    <w:rsid w:val="20645C15"/>
    <w:rsid w:val="207461A3"/>
    <w:rsid w:val="20753E37"/>
    <w:rsid w:val="208377DA"/>
    <w:rsid w:val="208A34CF"/>
    <w:rsid w:val="208A7FB1"/>
    <w:rsid w:val="20AE7480"/>
    <w:rsid w:val="20B1622A"/>
    <w:rsid w:val="20B76531"/>
    <w:rsid w:val="20B84F31"/>
    <w:rsid w:val="20BA2996"/>
    <w:rsid w:val="20D131F0"/>
    <w:rsid w:val="20D97CC4"/>
    <w:rsid w:val="20F71F78"/>
    <w:rsid w:val="211852A2"/>
    <w:rsid w:val="21247AA7"/>
    <w:rsid w:val="21252218"/>
    <w:rsid w:val="213056EF"/>
    <w:rsid w:val="2134660C"/>
    <w:rsid w:val="214572CD"/>
    <w:rsid w:val="21553420"/>
    <w:rsid w:val="21736AA4"/>
    <w:rsid w:val="218876E0"/>
    <w:rsid w:val="21924732"/>
    <w:rsid w:val="21974F05"/>
    <w:rsid w:val="21B44A3D"/>
    <w:rsid w:val="21C52514"/>
    <w:rsid w:val="21C63904"/>
    <w:rsid w:val="21DB6677"/>
    <w:rsid w:val="220173B1"/>
    <w:rsid w:val="220B7EA3"/>
    <w:rsid w:val="220F2297"/>
    <w:rsid w:val="221264CE"/>
    <w:rsid w:val="22234430"/>
    <w:rsid w:val="222A473C"/>
    <w:rsid w:val="223E6859"/>
    <w:rsid w:val="223F0A78"/>
    <w:rsid w:val="224A2EFE"/>
    <w:rsid w:val="225140EC"/>
    <w:rsid w:val="227321D6"/>
    <w:rsid w:val="228A0E2F"/>
    <w:rsid w:val="22905182"/>
    <w:rsid w:val="22940D35"/>
    <w:rsid w:val="22B36348"/>
    <w:rsid w:val="22BD4FA2"/>
    <w:rsid w:val="22BE6296"/>
    <w:rsid w:val="22C71B77"/>
    <w:rsid w:val="22E90FF4"/>
    <w:rsid w:val="2300120A"/>
    <w:rsid w:val="230659E9"/>
    <w:rsid w:val="23166B68"/>
    <w:rsid w:val="23445403"/>
    <w:rsid w:val="23452FA8"/>
    <w:rsid w:val="23674FBD"/>
    <w:rsid w:val="236813C8"/>
    <w:rsid w:val="236B2A0F"/>
    <w:rsid w:val="237227AB"/>
    <w:rsid w:val="2378512C"/>
    <w:rsid w:val="237A19BD"/>
    <w:rsid w:val="237B685D"/>
    <w:rsid w:val="238D6AAC"/>
    <w:rsid w:val="238F5BA8"/>
    <w:rsid w:val="239B4F04"/>
    <w:rsid w:val="239B5CCF"/>
    <w:rsid w:val="23AC5778"/>
    <w:rsid w:val="23B505D7"/>
    <w:rsid w:val="23C030C7"/>
    <w:rsid w:val="23C95987"/>
    <w:rsid w:val="23D717DD"/>
    <w:rsid w:val="23E34E57"/>
    <w:rsid w:val="23E67F51"/>
    <w:rsid w:val="2439193C"/>
    <w:rsid w:val="243F11DF"/>
    <w:rsid w:val="245B1E16"/>
    <w:rsid w:val="24617258"/>
    <w:rsid w:val="246D3C91"/>
    <w:rsid w:val="24854A81"/>
    <w:rsid w:val="24880331"/>
    <w:rsid w:val="249341F8"/>
    <w:rsid w:val="2496291E"/>
    <w:rsid w:val="249A11A0"/>
    <w:rsid w:val="24BA7E1D"/>
    <w:rsid w:val="24BC658D"/>
    <w:rsid w:val="24BF6421"/>
    <w:rsid w:val="24C45D1C"/>
    <w:rsid w:val="24C57350"/>
    <w:rsid w:val="24E5462F"/>
    <w:rsid w:val="24ED6433"/>
    <w:rsid w:val="24F60BC6"/>
    <w:rsid w:val="24FE4EAD"/>
    <w:rsid w:val="250E1DD4"/>
    <w:rsid w:val="2527137B"/>
    <w:rsid w:val="252C13DE"/>
    <w:rsid w:val="25453FCC"/>
    <w:rsid w:val="25493EEB"/>
    <w:rsid w:val="25585215"/>
    <w:rsid w:val="2563232C"/>
    <w:rsid w:val="25690756"/>
    <w:rsid w:val="2574524D"/>
    <w:rsid w:val="257C53A7"/>
    <w:rsid w:val="257E0405"/>
    <w:rsid w:val="258127AF"/>
    <w:rsid w:val="25850B33"/>
    <w:rsid w:val="25917F0A"/>
    <w:rsid w:val="259247E8"/>
    <w:rsid w:val="25A5521F"/>
    <w:rsid w:val="25B00B28"/>
    <w:rsid w:val="25C31C6C"/>
    <w:rsid w:val="25E61914"/>
    <w:rsid w:val="25E71430"/>
    <w:rsid w:val="25F767DC"/>
    <w:rsid w:val="2617397B"/>
    <w:rsid w:val="266C4D8F"/>
    <w:rsid w:val="26710767"/>
    <w:rsid w:val="26805C5D"/>
    <w:rsid w:val="269B1FF1"/>
    <w:rsid w:val="26E60A57"/>
    <w:rsid w:val="26F1031A"/>
    <w:rsid w:val="270C62B7"/>
    <w:rsid w:val="27156B34"/>
    <w:rsid w:val="271B26B7"/>
    <w:rsid w:val="272C1C46"/>
    <w:rsid w:val="2733600E"/>
    <w:rsid w:val="27632CEB"/>
    <w:rsid w:val="27880947"/>
    <w:rsid w:val="278A5754"/>
    <w:rsid w:val="278B4E99"/>
    <w:rsid w:val="27A24C58"/>
    <w:rsid w:val="27A51454"/>
    <w:rsid w:val="27AB2CED"/>
    <w:rsid w:val="27D16A5C"/>
    <w:rsid w:val="27D9594A"/>
    <w:rsid w:val="27E364A7"/>
    <w:rsid w:val="27FF7418"/>
    <w:rsid w:val="2803272A"/>
    <w:rsid w:val="281B03D2"/>
    <w:rsid w:val="283332E6"/>
    <w:rsid w:val="283736BF"/>
    <w:rsid w:val="283A00FE"/>
    <w:rsid w:val="283B76BB"/>
    <w:rsid w:val="283D7F33"/>
    <w:rsid w:val="2842727E"/>
    <w:rsid w:val="284874ED"/>
    <w:rsid w:val="28571F33"/>
    <w:rsid w:val="28822E94"/>
    <w:rsid w:val="289B31F5"/>
    <w:rsid w:val="289C4891"/>
    <w:rsid w:val="28A47953"/>
    <w:rsid w:val="28A81385"/>
    <w:rsid w:val="28AD731A"/>
    <w:rsid w:val="28B1357B"/>
    <w:rsid w:val="28B62885"/>
    <w:rsid w:val="28BA534D"/>
    <w:rsid w:val="28CF5C37"/>
    <w:rsid w:val="28D71E84"/>
    <w:rsid w:val="28DA21F4"/>
    <w:rsid w:val="29014458"/>
    <w:rsid w:val="290A12CD"/>
    <w:rsid w:val="29272E10"/>
    <w:rsid w:val="2929120E"/>
    <w:rsid w:val="293027B4"/>
    <w:rsid w:val="29402894"/>
    <w:rsid w:val="29470E17"/>
    <w:rsid w:val="29553DB2"/>
    <w:rsid w:val="29656F10"/>
    <w:rsid w:val="2996615F"/>
    <w:rsid w:val="299A339C"/>
    <w:rsid w:val="29A33908"/>
    <w:rsid w:val="29AB7D64"/>
    <w:rsid w:val="29B9624B"/>
    <w:rsid w:val="29CA0941"/>
    <w:rsid w:val="29D062FF"/>
    <w:rsid w:val="29D532D8"/>
    <w:rsid w:val="29EA1326"/>
    <w:rsid w:val="29EB665F"/>
    <w:rsid w:val="29F72D25"/>
    <w:rsid w:val="29FD034F"/>
    <w:rsid w:val="2A0168C7"/>
    <w:rsid w:val="2A052998"/>
    <w:rsid w:val="2A0A6CC5"/>
    <w:rsid w:val="2A163C27"/>
    <w:rsid w:val="2A1705EA"/>
    <w:rsid w:val="2A19112F"/>
    <w:rsid w:val="2A1B473D"/>
    <w:rsid w:val="2A254232"/>
    <w:rsid w:val="2A3E3E2F"/>
    <w:rsid w:val="2A4524DD"/>
    <w:rsid w:val="2A4F563E"/>
    <w:rsid w:val="2A5D619B"/>
    <w:rsid w:val="2A5F2BA2"/>
    <w:rsid w:val="2A662182"/>
    <w:rsid w:val="2A6767C7"/>
    <w:rsid w:val="2A6C63E1"/>
    <w:rsid w:val="2A8770CA"/>
    <w:rsid w:val="2A98363A"/>
    <w:rsid w:val="2A9C52D4"/>
    <w:rsid w:val="2AB4612B"/>
    <w:rsid w:val="2AB96234"/>
    <w:rsid w:val="2ABA7E4A"/>
    <w:rsid w:val="2ABC7F11"/>
    <w:rsid w:val="2ABD6C9F"/>
    <w:rsid w:val="2ABF264F"/>
    <w:rsid w:val="2AC05467"/>
    <w:rsid w:val="2AC833C8"/>
    <w:rsid w:val="2ADB2906"/>
    <w:rsid w:val="2AE62744"/>
    <w:rsid w:val="2AF821CD"/>
    <w:rsid w:val="2AF86970"/>
    <w:rsid w:val="2B024F75"/>
    <w:rsid w:val="2B116156"/>
    <w:rsid w:val="2B1B2D45"/>
    <w:rsid w:val="2B216250"/>
    <w:rsid w:val="2B273061"/>
    <w:rsid w:val="2B2E6A96"/>
    <w:rsid w:val="2B481888"/>
    <w:rsid w:val="2B484928"/>
    <w:rsid w:val="2B49009E"/>
    <w:rsid w:val="2B500F91"/>
    <w:rsid w:val="2B6662B5"/>
    <w:rsid w:val="2B686247"/>
    <w:rsid w:val="2B6F5CE6"/>
    <w:rsid w:val="2B72507C"/>
    <w:rsid w:val="2B7F2910"/>
    <w:rsid w:val="2B917E36"/>
    <w:rsid w:val="2BA772D9"/>
    <w:rsid w:val="2BAC4B86"/>
    <w:rsid w:val="2BB50F6A"/>
    <w:rsid w:val="2BBD3848"/>
    <w:rsid w:val="2BC2644F"/>
    <w:rsid w:val="2BCC4EB3"/>
    <w:rsid w:val="2BE37F6A"/>
    <w:rsid w:val="2BED42F3"/>
    <w:rsid w:val="2BFA0B3E"/>
    <w:rsid w:val="2C0912EA"/>
    <w:rsid w:val="2C0F7720"/>
    <w:rsid w:val="2C1D38FD"/>
    <w:rsid w:val="2C204EA9"/>
    <w:rsid w:val="2C7D266F"/>
    <w:rsid w:val="2C7E3EF9"/>
    <w:rsid w:val="2C8C02D9"/>
    <w:rsid w:val="2C935FAC"/>
    <w:rsid w:val="2CA12CAA"/>
    <w:rsid w:val="2CC56CC1"/>
    <w:rsid w:val="2CCE48F1"/>
    <w:rsid w:val="2CEE0543"/>
    <w:rsid w:val="2D241FBF"/>
    <w:rsid w:val="2D35047E"/>
    <w:rsid w:val="2D4C0AF5"/>
    <w:rsid w:val="2D540A86"/>
    <w:rsid w:val="2D5F10E4"/>
    <w:rsid w:val="2D5F36FF"/>
    <w:rsid w:val="2D865E42"/>
    <w:rsid w:val="2D997A24"/>
    <w:rsid w:val="2D9E42EA"/>
    <w:rsid w:val="2DA47984"/>
    <w:rsid w:val="2DAC052E"/>
    <w:rsid w:val="2DD44886"/>
    <w:rsid w:val="2DD856BD"/>
    <w:rsid w:val="2DE64463"/>
    <w:rsid w:val="2DE82160"/>
    <w:rsid w:val="2DF433E7"/>
    <w:rsid w:val="2DFB4544"/>
    <w:rsid w:val="2E036B2E"/>
    <w:rsid w:val="2E0E0B66"/>
    <w:rsid w:val="2E315990"/>
    <w:rsid w:val="2E392C93"/>
    <w:rsid w:val="2E432E95"/>
    <w:rsid w:val="2E4C0F04"/>
    <w:rsid w:val="2E5D58FE"/>
    <w:rsid w:val="2E816339"/>
    <w:rsid w:val="2E854822"/>
    <w:rsid w:val="2E855B8B"/>
    <w:rsid w:val="2E8843B2"/>
    <w:rsid w:val="2E8F56E1"/>
    <w:rsid w:val="2E9C2616"/>
    <w:rsid w:val="2EA84F16"/>
    <w:rsid w:val="2EAA3633"/>
    <w:rsid w:val="2EB02DE7"/>
    <w:rsid w:val="2EB3075C"/>
    <w:rsid w:val="2EC10BEB"/>
    <w:rsid w:val="2ED92DA6"/>
    <w:rsid w:val="2EDF1400"/>
    <w:rsid w:val="2EFD557B"/>
    <w:rsid w:val="2F0106CB"/>
    <w:rsid w:val="2F0C7790"/>
    <w:rsid w:val="2F202FD9"/>
    <w:rsid w:val="2F250897"/>
    <w:rsid w:val="2F343B2E"/>
    <w:rsid w:val="2F384180"/>
    <w:rsid w:val="2F4A3C93"/>
    <w:rsid w:val="2F601A99"/>
    <w:rsid w:val="2F604E98"/>
    <w:rsid w:val="2F684D38"/>
    <w:rsid w:val="2F6D5953"/>
    <w:rsid w:val="2F7209F5"/>
    <w:rsid w:val="2F8242CA"/>
    <w:rsid w:val="2F897961"/>
    <w:rsid w:val="2F8C1D8C"/>
    <w:rsid w:val="2F8C6EC4"/>
    <w:rsid w:val="2F905450"/>
    <w:rsid w:val="2F9E14C7"/>
    <w:rsid w:val="2F9E27E0"/>
    <w:rsid w:val="2FA96538"/>
    <w:rsid w:val="2FB523D7"/>
    <w:rsid w:val="2FB9652B"/>
    <w:rsid w:val="2FBD6708"/>
    <w:rsid w:val="2FC86276"/>
    <w:rsid w:val="2FD26F2B"/>
    <w:rsid w:val="2FD960FF"/>
    <w:rsid w:val="2FEA453C"/>
    <w:rsid w:val="2FFE32AD"/>
    <w:rsid w:val="2FFF7C9B"/>
    <w:rsid w:val="30060F69"/>
    <w:rsid w:val="30110DE2"/>
    <w:rsid w:val="301461DC"/>
    <w:rsid w:val="301A31D3"/>
    <w:rsid w:val="301D5997"/>
    <w:rsid w:val="30221574"/>
    <w:rsid w:val="303236BF"/>
    <w:rsid w:val="304271ED"/>
    <w:rsid w:val="304E09AF"/>
    <w:rsid w:val="30696A58"/>
    <w:rsid w:val="306F617B"/>
    <w:rsid w:val="307026B6"/>
    <w:rsid w:val="30706B73"/>
    <w:rsid w:val="307D213B"/>
    <w:rsid w:val="308B1556"/>
    <w:rsid w:val="308B785C"/>
    <w:rsid w:val="308F6FD1"/>
    <w:rsid w:val="30A33504"/>
    <w:rsid w:val="30B57D92"/>
    <w:rsid w:val="30B75583"/>
    <w:rsid w:val="30BC2A0B"/>
    <w:rsid w:val="30D61A85"/>
    <w:rsid w:val="30D8031F"/>
    <w:rsid w:val="31120F19"/>
    <w:rsid w:val="311F0DCD"/>
    <w:rsid w:val="31281C6D"/>
    <w:rsid w:val="31282E7E"/>
    <w:rsid w:val="316557C0"/>
    <w:rsid w:val="317A1F85"/>
    <w:rsid w:val="31986BED"/>
    <w:rsid w:val="31B66B8C"/>
    <w:rsid w:val="31B678F1"/>
    <w:rsid w:val="31B9528D"/>
    <w:rsid w:val="31BA5995"/>
    <w:rsid w:val="31C32BE2"/>
    <w:rsid w:val="31D7463F"/>
    <w:rsid w:val="31DA1DB4"/>
    <w:rsid w:val="31DB0D3D"/>
    <w:rsid w:val="31EA276F"/>
    <w:rsid w:val="31FA0DB8"/>
    <w:rsid w:val="3208285A"/>
    <w:rsid w:val="32087FC1"/>
    <w:rsid w:val="321034C0"/>
    <w:rsid w:val="324E6426"/>
    <w:rsid w:val="32536E15"/>
    <w:rsid w:val="325558B9"/>
    <w:rsid w:val="32693B79"/>
    <w:rsid w:val="327563A5"/>
    <w:rsid w:val="327B54C5"/>
    <w:rsid w:val="328B4352"/>
    <w:rsid w:val="32924F14"/>
    <w:rsid w:val="32C06BD0"/>
    <w:rsid w:val="32DF3B46"/>
    <w:rsid w:val="32ED47D9"/>
    <w:rsid w:val="32F87667"/>
    <w:rsid w:val="33004E07"/>
    <w:rsid w:val="330222B4"/>
    <w:rsid w:val="33081E95"/>
    <w:rsid w:val="3312205F"/>
    <w:rsid w:val="332E13C3"/>
    <w:rsid w:val="335A735E"/>
    <w:rsid w:val="335C4846"/>
    <w:rsid w:val="33614AC3"/>
    <w:rsid w:val="337477BB"/>
    <w:rsid w:val="337C1C1E"/>
    <w:rsid w:val="33846992"/>
    <w:rsid w:val="33874FAA"/>
    <w:rsid w:val="33962997"/>
    <w:rsid w:val="339B737A"/>
    <w:rsid w:val="33AC48DC"/>
    <w:rsid w:val="33B942B7"/>
    <w:rsid w:val="33BF287C"/>
    <w:rsid w:val="33CD029E"/>
    <w:rsid w:val="33CF38FF"/>
    <w:rsid w:val="33E1524E"/>
    <w:rsid w:val="33EE03B4"/>
    <w:rsid w:val="33EF2FCC"/>
    <w:rsid w:val="33FE5A45"/>
    <w:rsid w:val="340F6CB0"/>
    <w:rsid w:val="341D4B23"/>
    <w:rsid w:val="34310698"/>
    <w:rsid w:val="343E7CCC"/>
    <w:rsid w:val="347F7AB8"/>
    <w:rsid w:val="348F163A"/>
    <w:rsid w:val="34951F93"/>
    <w:rsid w:val="34A6790F"/>
    <w:rsid w:val="34A83397"/>
    <w:rsid w:val="34C36093"/>
    <w:rsid w:val="34EC5200"/>
    <w:rsid w:val="351A014E"/>
    <w:rsid w:val="35220A2B"/>
    <w:rsid w:val="352644EF"/>
    <w:rsid w:val="35374E67"/>
    <w:rsid w:val="3546508A"/>
    <w:rsid w:val="354A5B3E"/>
    <w:rsid w:val="3554346C"/>
    <w:rsid w:val="35627F76"/>
    <w:rsid w:val="3567497E"/>
    <w:rsid w:val="35890E75"/>
    <w:rsid w:val="358C047A"/>
    <w:rsid w:val="35A410F9"/>
    <w:rsid w:val="35BD6089"/>
    <w:rsid w:val="35C66221"/>
    <w:rsid w:val="35D21581"/>
    <w:rsid w:val="35F00C30"/>
    <w:rsid w:val="35FF7149"/>
    <w:rsid w:val="3611098B"/>
    <w:rsid w:val="36341FD8"/>
    <w:rsid w:val="36360425"/>
    <w:rsid w:val="365B6913"/>
    <w:rsid w:val="3660402C"/>
    <w:rsid w:val="36635D2F"/>
    <w:rsid w:val="36791564"/>
    <w:rsid w:val="36823B38"/>
    <w:rsid w:val="368A119D"/>
    <w:rsid w:val="36955E0A"/>
    <w:rsid w:val="36A94012"/>
    <w:rsid w:val="36CC5ED0"/>
    <w:rsid w:val="36E341A7"/>
    <w:rsid w:val="37055023"/>
    <w:rsid w:val="370E09C0"/>
    <w:rsid w:val="371C0EFA"/>
    <w:rsid w:val="372B40EB"/>
    <w:rsid w:val="374378E4"/>
    <w:rsid w:val="37481936"/>
    <w:rsid w:val="37536B5F"/>
    <w:rsid w:val="377C738B"/>
    <w:rsid w:val="3783120A"/>
    <w:rsid w:val="379D694A"/>
    <w:rsid w:val="37AA45A2"/>
    <w:rsid w:val="37AC1530"/>
    <w:rsid w:val="37B45B26"/>
    <w:rsid w:val="37BA0230"/>
    <w:rsid w:val="37BD3FE1"/>
    <w:rsid w:val="37C166F8"/>
    <w:rsid w:val="37C17368"/>
    <w:rsid w:val="37C8622A"/>
    <w:rsid w:val="37D025CF"/>
    <w:rsid w:val="37EA19C0"/>
    <w:rsid w:val="37F8204D"/>
    <w:rsid w:val="37FA354C"/>
    <w:rsid w:val="381C6D66"/>
    <w:rsid w:val="381E09F6"/>
    <w:rsid w:val="382236BF"/>
    <w:rsid w:val="382A008E"/>
    <w:rsid w:val="384C4794"/>
    <w:rsid w:val="384F4E8E"/>
    <w:rsid w:val="38545D10"/>
    <w:rsid w:val="38564195"/>
    <w:rsid w:val="388A69FB"/>
    <w:rsid w:val="38A30DF1"/>
    <w:rsid w:val="38B8172E"/>
    <w:rsid w:val="38D15A06"/>
    <w:rsid w:val="38D57082"/>
    <w:rsid w:val="38D82577"/>
    <w:rsid w:val="38E873EF"/>
    <w:rsid w:val="38E91583"/>
    <w:rsid w:val="38F30E9C"/>
    <w:rsid w:val="38FE0AAD"/>
    <w:rsid w:val="391F1B82"/>
    <w:rsid w:val="391F1E3D"/>
    <w:rsid w:val="392F1BE3"/>
    <w:rsid w:val="3934488A"/>
    <w:rsid w:val="39387BEF"/>
    <w:rsid w:val="39530D99"/>
    <w:rsid w:val="39667DAE"/>
    <w:rsid w:val="3973520D"/>
    <w:rsid w:val="397B093B"/>
    <w:rsid w:val="399043EB"/>
    <w:rsid w:val="39915B70"/>
    <w:rsid w:val="3995720B"/>
    <w:rsid w:val="399B45AB"/>
    <w:rsid w:val="399E6F4A"/>
    <w:rsid w:val="39AE1CFA"/>
    <w:rsid w:val="39B36BA0"/>
    <w:rsid w:val="39B75048"/>
    <w:rsid w:val="39BD2AB7"/>
    <w:rsid w:val="39BF4C99"/>
    <w:rsid w:val="39E80BD9"/>
    <w:rsid w:val="39F74F51"/>
    <w:rsid w:val="3A064A5B"/>
    <w:rsid w:val="3A1E0005"/>
    <w:rsid w:val="3A236F6B"/>
    <w:rsid w:val="3A355905"/>
    <w:rsid w:val="3A3B7F97"/>
    <w:rsid w:val="3A3D252F"/>
    <w:rsid w:val="3A4D13F3"/>
    <w:rsid w:val="3A611BE1"/>
    <w:rsid w:val="3A6E7AE8"/>
    <w:rsid w:val="3A704957"/>
    <w:rsid w:val="3A856AD2"/>
    <w:rsid w:val="3A905E1E"/>
    <w:rsid w:val="3AA55244"/>
    <w:rsid w:val="3AAF3FD4"/>
    <w:rsid w:val="3AAF4085"/>
    <w:rsid w:val="3AB018A1"/>
    <w:rsid w:val="3AB455DF"/>
    <w:rsid w:val="3ABF2E39"/>
    <w:rsid w:val="3AC71948"/>
    <w:rsid w:val="3AC75562"/>
    <w:rsid w:val="3ACA2C46"/>
    <w:rsid w:val="3ADA2EC8"/>
    <w:rsid w:val="3ADF4190"/>
    <w:rsid w:val="3AE6701E"/>
    <w:rsid w:val="3AED6541"/>
    <w:rsid w:val="3AF34FB9"/>
    <w:rsid w:val="3B0C1E40"/>
    <w:rsid w:val="3B223702"/>
    <w:rsid w:val="3B2536A3"/>
    <w:rsid w:val="3B2950B9"/>
    <w:rsid w:val="3B2969BE"/>
    <w:rsid w:val="3B595616"/>
    <w:rsid w:val="3B5E57AA"/>
    <w:rsid w:val="3BA7592D"/>
    <w:rsid w:val="3BB929BA"/>
    <w:rsid w:val="3BD615DC"/>
    <w:rsid w:val="3BDD6B60"/>
    <w:rsid w:val="3BE53B52"/>
    <w:rsid w:val="3BF66683"/>
    <w:rsid w:val="3C0209FC"/>
    <w:rsid w:val="3C0E064B"/>
    <w:rsid w:val="3C2B5FA7"/>
    <w:rsid w:val="3C2E18B6"/>
    <w:rsid w:val="3C36194A"/>
    <w:rsid w:val="3C37397E"/>
    <w:rsid w:val="3C522074"/>
    <w:rsid w:val="3C5613A2"/>
    <w:rsid w:val="3C5B548A"/>
    <w:rsid w:val="3C604448"/>
    <w:rsid w:val="3C681D59"/>
    <w:rsid w:val="3C893E67"/>
    <w:rsid w:val="3CAE3C79"/>
    <w:rsid w:val="3CB83FDB"/>
    <w:rsid w:val="3CC80BC3"/>
    <w:rsid w:val="3CE0434C"/>
    <w:rsid w:val="3CF4046A"/>
    <w:rsid w:val="3D0C0967"/>
    <w:rsid w:val="3D1D4A26"/>
    <w:rsid w:val="3D246954"/>
    <w:rsid w:val="3D2D492D"/>
    <w:rsid w:val="3D3A0CBE"/>
    <w:rsid w:val="3D3D1224"/>
    <w:rsid w:val="3D405939"/>
    <w:rsid w:val="3D600498"/>
    <w:rsid w:val="3DB0781E"/>
    <w:rsid w:val="3DB64A45"/>
    <w:rsid w:val="3DBA7B3D"/>
    <w:rsid w:val="3DBF47D5"/>
    <w:rsid w:val="3DC175A5"/>
    <w:rsid w:val="3DC61841"/>
    <w:rsid w:val="3DE820A1"/>
    <w:rsid w:val="3DED6D61"/>
    <w:rsid w:val="3E000CD8"/>
    <w:rsid w:val="3E005EA1"/>
    <w:rsid w:val="3E0655E4"/>
    <w:rsid w:val="3E1F750B"/>
    <w:rsid w:val="3E41419D"/>
    <w:rsid w:val="3E523850"/>
    <w:rsid w:val="3E6153A2"/>
    <w:rsid w:val="3E652584"/>
    <w:rsid w:val="3E8604E0"/>
    <w:rsid w:val="3EA72803"/>
    <w:rsid w:val="3EBC6772"/>
    <w:rsid w:val="3EBD5CDC"/>
    <w:rsid w:val="3EC04FC2"/>
    <w:rsid w:val="3ED734A6"/>
    <w:rsid w:val="3EDC4816"/>
    <w:rsid w:val="3EF21EC9"/>
    <w:rsid w:val="3F034ABD"/>
    <w:rsid w:val="3F083C69"/>
    <w:rsid w:val="3F283A16"/>
    <w:rsid w:val="3F367E63"/>
    <w:rsid w:val="3F6679F9"/>
    <w:rsid w:val="3F847B28"/>
    <w:rsid w:val="3F874D39"/>
    <w:rsid w:val="3F9C3027"/>
    <w:rsid w:val="3FC36C73"/>
    <w:rsid w:val="3FC90126"/>
    <w:rsid w:val="3FC92250"/>
    <w:rsid w:val="3FDB7003"/>
    <w:rsid w:val="3FDD2539"/>
    <w:rsid w:val="3FE8307B"/>
    <w:rsid w:val="3FEA49B7"/>
    <w:rsid w:val="3FF13464"/>
    <w:rsid w:val="3FF45B23"/>
    <w:rsid w:val="3FF979EA"/>
    <w:rsid w:val="400424CF"/>
    <w:rsid w:val="40071658"/>
    <w:rsid w:val="402117B4"/>
    <w:rsid w:val="402179A2"/>
    <w:rsid w:val="40265443"/>
    <w:rsid w:val="40383549"/>
    <w:rsid w:val="403A23AC"/>
    <w:rsid w:val="40564B96"/>
    <w:rsid w:val="405B6345"/>
    <w:rsid w:val="406665E0"/>
    <w:rsid w:val="406A1A2F"/>
    <w:rsid w:val="40704DCF"/>
    <w:rsid w:val="407627AB"/>
    <w:rsid w:val="40A35EDC"/>
    <w:rsid w:val="40DC3BD9"/>
    <w:rsid w:val="40F6195D"/>
    <w:rsid w:val="41027316"/>
    <w:rsid w:val="410F4C06"/>
    <w:rsid w:val="4131070A"/>
    <w:rsid w:val="41544CB5"/>
    <w:rsid w:val="41680089"/>
    <w:rsid w:val="4195210A"/>
    <w:rsid w:val="41A604E8"/>
    <w:rsid w:val="41B07E0D"/>
    <w:rsid w:val="41B21CD9"/>
    <w:rsid w:val="41B9021C"/>
    <w:rsid w:val="41BA52F7"/>
    <w:rsid w:val="41BF015F"/>
    <w:rsid w:val="41C01AC5"/>
    <w:rsid w:val="41D44A64"/>
    <w:rsid w:val="41DE1380"/>
    <w:rsid w:val="41F02E0E"/>
    <w:rsid w:val="42044BC4"/>
    <w:rsid w:val="420C2646"/>
    <w:rsid w:val="421B756B"/>
    <w:rsid w:val="422610B3"/>
    <w:rsid w:val="42273D34"/>
    <w:rsid w:val="423171A7"/>
    <w:rsid w:val="423828AF"/>
    <w:rsid w:val="426A445C"/>
    <w:rsid w:val="428C03A4"/>
    <w:rsid w:val="42917FF0"/>
    <w:rsid w:val="429466B6"/>
    <w:rsid w:val="42B1785C"/>
    <w:rsid w:val="42B304ED"/>
    <w:rsid w:val="42B5682E"/>
    <w:rsid w:val="42BB28B3"/>
    <w:rsid w:val="42CD2946"/>
    <w:rsid w:val="42D46FC1"/>
    <w:rsid w:val="42D91BEA"/>
    <w:rsid w:val="42DA064F"/>
    <w:rsid w:val="42DE65A8"/>
    <w:rsid w:val="42DF267A"/>
    <w:rsid w:val="42E63A08"/>
    <w:rsid w:val="42F831F8"/>
    <w:rsid w:val="42FB1520"/>
    <w:rsid w:val="4301605F"/>
    <w:rsid w:val="43104F1C"/>
    <w:rsid w:val="4312725C"/>
    <w:rsid w:val="431A60FC"/>
    <w:rsid w:val="431E6632"/>
    <w:rsid w:val="43226097"/>
    <w:rsid w:val="4329184B"/>
    <w:rsid w:val="432E6045"/>
    <w:rsid w:val="434C0E68"/>
    <w:rsid w:val="43581703"/>
    <w:rsid w:val="436A02F2"/>
    <w:rsid w:val="436E2BD1"/>
    <w:rsid w:val="437B05F4"/>
    <w:rsid w:val="438826CE"/>
    <w:rsid w:val="439256B1"/>
    <w:rsid w:val="439A2DAE"/>
    <w:rsid w:val="43A4348B"/>
    <w:rsid w:val="43C36227"/>
    <w:rsid w:val="43C7619B"/>
    <w:rsid w:val="43E61BCF"/>
    <w:rsid w:val="43F56245"/>
    <w:rsid w:val="43FF37B6"/>
    <w:rsid w:val="44021A0E"/>
    <w:rsid w:val="4413082D"/>
    <w:rsid w:val="442604D5"/>
    <w:rsid w:val="44374CCE"/>
    <w:rsid w:val="443A2EFE"/>
    <w:rsid w:val="44585CAD"/>
    <w:rsid w:val="44701EB3"/>
    <w:rsid w:val="44722751"/>
    <w:rsid w:val="4492294D"/>
    <w:rsid w:val="44E144CE"/>
    <w:rsid w:val="44E16A87"/>
    <w:rsid w:val="44E55041"/>
    <w:rsid w:val="44F54F3B"/>
    <w:rsid w:val="44FF2A76"/>
    <w:rsid w:val="45022CE6"/>
    <w:rsid w:val="45050D1A"/>
    <w:rsid w:val="452D3B09"/>
    <w:rsid w:val="454459D4"/>
    <w:rsid w:val="455F5F16"/>
    <w:rsid w:val="456D7E7B"/>
    <w:rsid w:val="45744535"/>
    <w:rsid w:val="45750372"/>
    <w:rsid w:val="45801EE9"/>
    <w:rsid w:val="458E0DA8"/>
    <w:rsid w:val="4590022D"/>
    <w:rsid w:val="45AC71D6"/>
    <w:rsid w:val="45B76EAD"/>
    <w:rsid w:val="45E21666"/>
    <w:rsid w:val="45F00F80"/>
    <w:rsid w:val="46072613"/>
    <w:rsid w:val="46196978"/>
    <w:rsid w:val="461F5C2D"/>
    <w:rsid w:val="462B21E7"/>
    <w:rsid w:val="462F2B20"/>
    <w:rsid w:val="46421EE0"/>
    <w:rsid w:val="46437D77"/>
    <w:rsid w:val="46441B49"/>
    <w:rsid w:val="46533529"/>
    <w:rsid w:val="465D386F"/>
    <w:rsid w:val="465D52CB"/>
    <w:rsid w:val="46A248A7"/>
    <w:rsid w:val="46A3618F"/>
    <w:rsid w:val="46AB2A67"/>
    <w:rsid w:val="46B3189B"/>
    <w:rsid w:val="46C706E1"/>
    <w:rsid w:val="46D21025"/>
    <w:rsid w:val="46E95704"/>
    <w:rsid w:val="46EC6358"/>
    <w:rsid w:val="46ED31AE"/>
    <w:rsid w:val="46F46A6D"/>
    <w:rsid w:val="46FB52AF"/>
    <w:rsid w:val="46FC5625"/>
    <w:rsid w:val="470802BF"/>
    <w:rsid w:val="471439A5"/>
    <w:rsid w:val="471659D8"/>
    <w:rsid w:val="471E497D"/>
    <w:rsid w:val="47304D3B"/>
    <w:rsid w:val="474841D2"/>
    <w:rsid w:val="474B6816"/>
    <w:rsid w:val="474F7AEC"/>
    <w:rsid w:val="475B0824"/>
    <w:rsid w:val="475D3860"/>
    <w:rsid w:val="47636B04"/>
    <w:rsid w:val="47691B89"/>
    <w:rsid w:val="47A906B2"/>
    <w:rsid w:val="47AC6D38"/>
    <w:rsid w:val="47BE1912"/>
    <w:rsid w:val="47D51F6B"/>
    <w:rsid w:val="47DE701A"/>
    <w:rsid w:val="47EB323E"/>
    <w:rsid w:val="47F4165C"/>
    <w:rsid w:val="47F54354"/>
    <w:rsid w:val="480A1E50"/>
    <w:rsid w:val="48286E3F"/>
    <w:rsid w:val="482E3512"/>
    <w:rsid w:val="4834324E"/>
    <w:rsid w:val="484A67E7"/>
    <w:rsid w:val="484F6A65"/>
    <w:rsid w:val="486B7889"/>
    <w:rsid w:val="486D6D33"/>
    <w:rsid w:val="486F41F3"/>
    <w:rsid w:val="4870692A"/>
    <w:rsid w:val="487E127A"/>
    <w:rsid w:val="489029C5"/>
    <w:rsid w:val="48953EB8"/>
    <w:rsid w:val="489550E2"/>
    <w:rsid w:val="48B47C43"/>
    <w:rsid w:val="48BD7711"/>
    <w:rsid w:val="48C25D9E"/>
    <w:rsid w:val="48C66BDF"/>
    <w:rsid w:val="48F352D0"/>
    <w:rsid w:val="49036802"/>
    <w:rsid w:val="49211FF5"/>
    <w:rsid w:val="49351AC8"/>
    <w:rsid w:val="493A3EC9"/>
    <w:rsid w:val="495043C9"/>
    <w:rsid w:val="49536AD7"/>
    <w:rsid w:val="495B4B99"/>
    <w:rsid w:val="495F4FE0"/>
    <w:rsid w:val="4961028C"/>
    <w:rsid w:val="499A1301"/>
    <w:rsid w:val="49A54DF5"/>
    <w:rsid w:val="49B77403"/>
    <w:rsid w:val="4A27564A"/>
    <w:rsid w:val="4A2A2A6F"/>
    <w:rsid w:val="4A2E669C"/>
    <w:rsid w:val="4A473CDE"/>
    <w:rsid w:val="4A6F499E"/>
    <w:rsid w:val="4A711330"/>
    <w:rsid w:val="4A821512"/>
    <w:rsid w:val="4A8734D7"/>
    <w:rsid w:val="4AB57EFB"/>
    <w:rsid w:val="4AB65694"/>
    <w:rsid w:val="4ABC3BAE"/>
    <w:rsid w:val="4AD0796C"/>
    <w:rsid w:val="4ADF2D0D"/>
    <w:rsid w:val="4AE8099B"/>
    <w:rsid w:val="4AF9122A"/>
    <w:rsid w:val="4AFC7B7C"/>
    <w:rsid w:val="4B146AFC"/>
    <w:rsid w:val="4B1E5D0C"/>
    <w:rsid w:val="4B2E44E4"/>
    <w:rsid w:val="4B305429"/>
    <w:rsid w:val="4B353AB6"/>
    <w:rsid w:val="4B44454C"/>
    <w:rsid w:val="4B49065A"/>
    <w:rsid w:val="4B5B7454"/>
    <w:rsid w:val="4B605444"/>
    <w:rsid w:val="4B7429A4"/>
    <w:rsid w:val="4B8154DF"/>
    <w:rsid w:val="4B95246F"/>
    <w:rsid w:val="4BAC5277"/>
    <w:rsid w:val="4BAF701A"/>
    <w:rsid w:val="4BB30521"/>
    <w:rsid w:val="4BBF7CBD"/>
    <w:rsid w:val="4BD529E1"/>
    <w:rsid w:val="4BD571E9"/>
    <w:rsid w:val="4BD66C11"/>
    <w:rsid w:val="4BD72A34"/>
    <w:rsid w:val="4BD961CB"/>
    <w:rsid w:val="4BDE1831"/>
    <w:rsid w:val="4BF03830"/>
    <w:rsid w:val="4BFC2DC7"/>
    <w:rsid w:val="4C185311"/>
    <w:rsid w:val="4C1D0D96"/>
    <w:rsid w:val="4C213F41"/>
    <w:rsid w:val="4C321B05"/>
    <w:rsid w:val="4C3233A5"/>
    <w:rsid w:val="4C517344"/>
    <w:rsid w:val="4C5A682A"/>
    <w:rsid w:val="4C755F4E"/>
    <w:rsid w:val="4C820BA1"/>
    <w:rsid w:val="4C880B65"/>
    <w:rsid w:val="4C9F1778"/>
    <w:rsid w:val="4CA17221"/>
    <w:rsid w:val="4CA5648E"/>
    <w:rsid w:val="4CA83986"/>
    <w:rsid w:val="4CBC44DA"/>
    <w:rsid w:val="4CC50DE4"/>
    <w:rsid w:val="4CC679CE"/>
    <w:rsid w:val="4CC86964"/>
    <w:rsid w:val="4CDD2339"/>
    <w:rsid w:val="4CE63E94"/>
    <w:rsid w:val="4CE8781A"/>
    <w:rsid w:val="4CEC78D5"/>
    <w:rsid w:val="4CF50024"/>
    <w:rsid w:val="4D034B59"/>
    <w:rsid w:val="4D0601BA"/>
    <w:rsid w:val="4D0874D2"/>
    <w:rsid w:val="4D2222F6"/>
    <w:rsid w:val="4D285942"/>
    <w:rsid w:val="4D2977E2"/>
    <w:rsid w:val="4D406BE3"/>
    <w:rsid w:val="4D440195"/>
    <w:rsid w:val="4D46333B"/>
    <w:rsid w:val="4D665816"/>
    <w:rsid w:val="4DA70C52"/>
    <w:rsid w:val="4DD20F79"/>
    <w:rsid w:val="4DF02763"/>
    <w:rsid w:val="4DF36C33"/>
    <w:rsid w:val="4E0D1F99"/>
    <w:rsid w:val="4E0E2748"/>
    <w:rsid w:val="4E0E679B"/>
    <w:rsid w:val="4E1D5483"/>
    <w:rsid w:val="4E2E3BFF"/>
    <w:rsid w:val="4E376ECC"/>
    <w:rsid w:val="4E402DF5"/>
    <w:rsid w:val="4E4A217E"/>
    <w:rsid w:val="4E563F5F"/>
    <w:rsid w:val="4E7A23EA"/>
    <w:rsid w:val="4E7C3473"/>
    <w:rsid w:val="4E847A01"/>
    <w:rsid w:val="4E8F6B68"/>
    <w:rsid w:val="4E9A4AF7"/>
    <w:rsid w:val="4EA7483B"/>
    <w:rsid w:val="4EBF0FC1"/>
    <w:rsid w:val="4EDE708F"/>
    <w:rsid w:val="4EE21B34"/>
    <w:rsid w:val="4EE83334"/>
    <w:rsid w:val="4EF15C0F"/>
    <w:rsid w:val="4EF22714"/>
    <w:rsid w:val="4EFF4BFC"/>
    <w:rsid w:val="4F070159"/>
    <w:rsid w:val="4F1947E8"/>
    <w:rsid w:val="4F1E4A79"/>
    <w:rsid w:val="4F323DA0"/>
    <w:rsid w:val="4F3C3D42"/>
    <w:rsid w:val="4F603B08"/>
    <w:rsid w:val="4F66375F"/>
    <w:rsid w:val="4F747371"/>
    <w:rsid w:val="4F7921C7"/>
    <w:rsid w:val="4F87085D"/>
    <w:rsid w:val="4F945FA2"/>
    <w:rsid w:val="4F9C3E2E"/>
    <w:rsid w:val="4F9E0175"/>
    <w:rsid w:val="4FA8664D"/>
    <w:rsid w:val="4FAA48BD"/>
    <w:rsid w:val="4FAC1174"/>
    <w:rsid w:val="4FAC5DCA"/>
    <w:rsid w:val="4FBB61DD"/>
    <w:rsid w:val="4FD62AAF"/>
    <w:rsid w:val="4FDD7415"/>
    <w:rsid w:val="4FE03964"/>
    <w:rsid w:val="4FE400A0"/>
    <w:rsid w:val="4FFA675A"/>
    <w:rsid w:val="5019178D"/>
    <w:rsid w:val="501D5D9B"/>
    <w:rsid w:val="5023004A"/>
    <w:rsid w:val="502A6D5D"/>
    <w:rsid w:val="50355A25"/>
    <w:rsid w:val="503E1080"/>
    <w:rsid w:val="504524F1"/>
    <w:rsid w:val="50593662"/>
    <w:rsid w:val="505B64FC"/>
    <w:rsid w:val="50B65622"/>
    <w:rsid w:val="50BB0F64"/>
    <w:rsid w:val="50C243C0"/>
    <w:rsid w:val="50D4526D"/>
    <w:rsid w:val="50DF283C"/>
    <w:rsid w:val="50E50AEB"/>
    <w:rsid w:val="50E96C46"/>
    <w:rsid w:val="50EA1596"/>
    <w:rsid w:val="50F52590"/>
    <w:rsid w:val="50F802DB"/>
    <w:rsid w:val="511E237D"/>
    <w:rsid w:val="51297CB0"/>
    <w:rsid w:val="512A18AC"/>
    <w:rsid w:val="51370BD5"/>
    <w:rsid w:val="51373420"/>
    <w:rsid w:val="51482325"/>
    <w:rsid w:val="515C79DA"/>
    <w:rsid w:val="516A35C0"/>
    <w:rsid w:val="516D7B77"/>
    <w:rsid w:val="517A5587"/>
    <w:rsid w:val="5192773B"/>
    <w:rsid w:val="519B2227"/>
    <w:rsid w:val="519E7B6C"/>
    <w:rsid w:val="51BE517B"/>
    <w:rsid w:val="51C02AD8"/>
    <w:rsid w:val="51CA1837"/>
    <w:rsid w:val="51DF590E"/>
    <w:rsid w:val="51E41A60"/>
    <w:rsid w:val="51E9283F"/>
    <w:rsid w:val="51F145CF"/>
    <w:rsid w:val="51FA74F2"/>
    <w:rsid w:val="51FB50C4"/>
    <w:rsid w:val="521932A8"/>
    <w:rsid w:val="521A3F9A"/>
    <w:rsid w:val="522A7D1D"/>
    <w:rsid w:val="52445A58"/>
    <w:rsid w:val="52607359"/>
    <w:rsid w:val="5264230F"/>
    <w:rsid w:val="527D008A"/>
    <w:rsid w:val="52865706"/>
    <w:rsid w:val="529314AA"/>
    <w:rsid w:val="52B33579"/>
    <w:rsid w:val="52B80F40"/>
    <w:rsid w:val="52BB017E"/>
    <w:rsid w:val="52C168E2"/>
    <w:rsid w:val="52CB225E"/>
    <w:rsid w:val="52CD20B9"/>
    <w:rsid w:val="52DB32A3"/>
    <w:rsid w:val="52E4066B"/>
    <w:rsid w:val="52E57838"/>
    <w:rsid w:val="53367305"/>
    <w:rsid w:val="533F70CB"/>
    <w:rsid w:val="535D43D3"/>
    <w:rsid w:val="53760DD8"/>
    <w:rsid w:val="537D38D7"/>
    <w:rsid w:val="538A6900"/>
    <w:rsid w:val="53900A28"/>
    <w:rsid w:val="53AE40CE"/>
    <w:rsid w:val="53B75C06"/>
    <w:rsid w:val="53C86C92"/>
    <w:rsid w:val="53D07BF1"/>
    <w:rsid w:val="53D8131A"/>
    <w:rsid w:val="53DF0D27"/>
    <w:rsid w:val="53DF59A4"/>
    <w:rsid w:val="53F53B64"/>
    <w:rsid w:val="53F828A8"/>
    <w:rsid w:val="540E2C66"/>
    <w:rsid w:val="540E4842"/>
    <w:rsid w:val="541C019D"/>
    <w:rsid w:val="541E0614"/>
    <w:rsid w:val="542117BA"/>
    <w:rsid w:val="542D570C"/>
    <w:rsid w:val="54307496"/>
    <w:rsid w:val="543621E7"/>
    <w:rsid w:val="544B7C2E"/>
    <w:rsid w:val="545338F4"/>
    <w:rsid w:val="5455670C"/>
    <w:rsid w:val="545E1A50"/>
    <w:rsid w:val="54664C82"/>
    <w:rsid w:val="549D3DFE"/>
    <w:rsid w:val="54A92AE8"/>
    <w:rsid w:val="54C43CE8"/>
    <w:rsid w:val="54D34011"/>
    <w:rsid w:val="550D21BC"/>
    <w:rsid w:val="551409BE"/>
    <w:rsid w:val="5523669F"/>
    <w:rsid w:val="5524357C"/>
    <w:rsid w:val="555B2609"/>
    <w:rsid w:val="555E38D2"/>
    <w:rsid w:val="555F1C17"/>
    <w:rsid w:val="55645A76"/>
    <w:rsid w:val="557153B9"/>
    <w:rsid w:val="557971D4"/>
    <w:rsid w:val="55A76D5C"/>
    <w:rsid w:val="55B65318"/>
    <w:rsid w:val="55BD684B"/>
    <w:rsid w:val="55C46209"/>
    <w:rsid w:val="55CD5E58"/>
    <w:rsid w:val="55E508A9"/>
    <w:rsid w:val="560226FF"/>
    <w:rsid w:val="56086BE1"/>
    <w:rsid w:val="56391AE2"/>
    <w:rsid w:val="563E1F9D"/>
    <w:rsid w:val="566B4AC5"/>
    <w:rsid w:val="56714798"/>
    <w:rsid w:val="56775EC7"/>
    <w:rsid w:val="567A3AA5"/>
    <w:rsid w:val="56847A88"/>
    <w:rsid w:val="56A75A9E"/>
    <w:rsid w:val="56B02244"/>
    <w:rsid w:val="56C86664"/>
    <w:rsid w:val="56D2066F"/>
    <w:rsid w:val="56FA0D92"/>
    <w:rsid w:val="5707057D"/>
    <w:rsid w:val="571A46DE"/>
    <w:rsid w:val="571F254E"/>
    <w:rsid w:val="572A1FC5"/>
    <w:rsid w:val="57326964"/>
    <w:rsid w:val="57395150"/>
    <w:rsid w:val="57544F8D"/>
    <w:rsid w:val="575B5E29"/>
    <w:rsid w:val="576404A7"/>
    <w:rsid w:val="57686040"/>
    <w:rsid w:val="576B6B00"/>
    <w:rsid w:val="5771683B"/>
    <w:rsid w:val="57765528"/>
    <w:rsid w:val="57817F4F"/>
    <w:rsid w:val="57956445"/>
    <w:rsid w:val="57C30D01"/>
    <w:rsid w:val="57DD6271"/>
    <w:rsid w:val="57E63852"/>
    <w:rsid w:val="57EE3258"/>
    <w:rsid w:val="57F6402C"/>
    <w:rsid w:val="57F82ECD"/>
    <w:rsid w:val="57FB2807"/>
    <w:rsid w:val="580B36DC"/>
    <w:rsid w:val="58230543"/>
    <w:rsid w:val="58364B29"/>
    <w:rsid w:val="583F4E95"/>
    <w:rsid w:val="585806F7"/>
    <w:rsid w:val="58587D99"/>
    <w:rsid w:val="585D1767"/>
    <w:rsid w:val="58720D32"/>
    <w:rsid w:val="587702CB"/>
    <w:rsid w:val="58962281"/>
    <w:rsid w:val="58AC2F6F"/>
    <w:rsid w:val="58D3785B"/>
    <w:rsid w:val="58D810A7"/>
    <w:rsid w:val="58F82C65"/>
    <w:rsid w:val="591573F6"/>
    <w:rsid w:val="593F6980"/>
    <w:rsid w:val="59425656"/>
    <w:rsid w:val="59642B7F"/>
    <w:rsid w:val="59772A87"/>
    <w:rsid w:val="59834D6C"/>
    <w:rsid w:val="59962768"/>
    <w:rsid w:val="59A815C0"/>
    <w:rsid w:val="59B60D86"/>
    <w:rsid w:val="59BD7BE5"/>
    <w:rsid w:val="59C35857"/>
    <w:rsid w:val="59E10605"/>
    <w:rsid w:val="59E82DB1"/>
    <w:rsid w:val="59ED0862"/>
    <w:rsid w:val="5A0D1B30"/>
    <w:rsid w:val="5A105D60"/>
    <w:rsid w:val="5A1B2020"/>
    <w:rsid w:val="5A252C10"/>
    <w:rsid w:val="5A2F372E"/>
    <w:rsid w:val="5A445F93"/>
    <w:rsid w:val="5A4B6F8B"/>
    <w:rsid w:val="5A4D33BB"/>
    <w:rsid w:val="5A50386C"/>
    <w:rsid w:val="5A5C2AAC"/>
    <w:rsid w:val="5A620341"/>
    <w:rsid w:val="5A794AC9"/>
    <w:rsid w:val="5A7E2B8E"/>
    <w:rsid w:val="5A8064D4"/>
    <w:rsid w:val="5AA84308"/>
    <w:rsid w:val="5AC266B1"/>
    <w:rsid w:val="5ACD59F8"/>
    <w:rsid w:val="5AE13FFC"/>
    <w:rsid w:val="5AEB75C0"/>
    <w:rsid w:val="5AF72125"/>
    <w:rsid w:val="5B2843C1"/>
    <w:rsid w:val="5B393710"/>
    <w:rsid w:val="5B3B6617"/>
    <w:rsid w:val="5B480049"/>
    <w:rsid w:val="5B525B93"/>
    <w:rsid w:val="5B5F68FC"/>
    <w:rsid w:val="5B6F6540"/>
    <w:rsid w:val="5B765CFA"/>
    <w:rsid w:val="5B834607"/>
    <w:rsid w:val="5B97565F"/>
    <w:rsid w:val="5B9E7C96"/>
    <w:rsid w:val="5BC00CF0"/>
    <w:rsid w:val="5BC2435D"/>
    <w:rsid w:val="5BE34B31"/>
    <w:rsid w:val="5BE92CFC"/>
    <w:rsid w:val="5BF131BE"/>
    <w:rsid w:val="5C117039"/>
    <w:rsid w:val="5C137DE9"/>
    <w:rsid w:val="5C1828A6"/>
    <w:rsid w:val="5C2035F1"/>
    <w:rsid w:val="5C286949"/>
    <w:rsid w:val="5C352985"/>
    <w:rsid w:val="5C4910FF"/>
    <w:rsid w:val="5C557FFB"/>
    <w:rsid w:val="5C5E0FD9"/>
    <w:rsid w:val="5C601699"/>
    <w:rsid w:val="5C613533"/>
    <w:rsid w:val="5C661778"/>
    <w:rsid w:val="5C6D5954"/>
    <w:rsid w:val="5C981F73"/>
    <w:rsid w:val="5CA92EE8"/>
    <w:rsid w:val="5CAE470A"/>
    <w:rsid w:val="5CBD2580"/>
    <w:rsid w:val="5CD430CE"/>
    <w:rsid w:val="5CD57339"/>
    <w:rsid w:val="5CDF576D"/>
    <w:rsid w:val="5CE70FB8"/>
    <w:rsid w:val="5CE84A18"/>
    <w:rsid w:val="5CEF4CE7"/>
    <w:rsid w:val="5D1F4171"/>
    <w:rsid w:val="5D210672"/>
    <w:rsid w:val="5D5F4ABC"/>
    <w:rsid w:val="5D7B2D93"/>
    <w:rsid w:val="5D873DBB"/>
    <w:rsid w:val="5D8E7176"/>
    <w:rsid w:val="5D9264F3"/>
    <w:rsid w:val="5DA87ED2"/>
    <w:rsid w:val="5DC25CB0"/>
    <w:rsid w:val="5DD75723"/>
    <w:rsid w:val="5DD82626"/>
    <w:rsid w:val="5DDA5964"/>
    <w:rsid w:val="5DDF75B5"/>
    <w:rsid w:val="5DE5290E"/>
    <w:rsid w:val="5DF22A52"/>
    <w:rsid w:val="5DFB1EBE"/>
    <w:rsid w:val="5E104215"/>
    <w:rsid w:val="5E12784F"/>
    <w:rsid w:val="5E251C08"/>
    <w:rsid w:val="5E3D1722"/>
    <w:rsid w:val="5E3E0C59"/>
    <w:rsid w:val="5E596CDC"/>
    <w:rsid w:val="5E6908D7"/>
    <w:rsid w:val="5E77549F"/>
    <w:rsid w:val="5E8103CA"/>
    <w:rsid w:val="5E8219FB"/>
    <w:rsid w:val="5E842849"/>
    <w:rsid w:val="5EA646EA"/>
    <w:rsid w:val="5EB246EA"/>
    <w:rsid w:val="5EB35945"/>
    <w:rsid w:val="5EB77DB4"/>
    <w:rsid w:val="5EB86A4D"/>
    <w:rsid w:val="5ECB754E"/>
    <w:rsid w:val="5ED05C58"/>
    <w:rsid w:val="5EE65309"/>
    <w:rsid w:val="5EF10A60"/>
    <w:rsid w:val="5EFB519E"/>
    <w:rsid w:val="5EFC27EB"/>
    <w:rsid w:val="5F0C6D60"/>
    <w:rsid w:val="5F144428"/>
    <w:rsid w:val="5F21568C"/>
    <w:rsid w:val="5F233D6B"/>
    <w:rsid w:val="5F276C92"/>
    <w:rsid w:val="5F3736F9"/>
    <w:rsid w:val="5F3C3882"/>
    <w:rsid w:val="5F3E3D0F"/>
    <w:rsid w:val="5F5631C7"/>
    <w:rsid w:val="5F7236D2"/>
    <w:rsid w:val="5F861211"/>
    <w:rsid w:val="5F925A00"/>
    <w:rsid w:val="5F9A6EDD"/>
    <w:rsid w:val="5F9F6583"/>
    <w:rsid w:val="5FA333D1"/>
    <w:rsid w:val="5FAC09C2"/>
    <w:rsid w:val="5FB62806"/>
    <w:rsid w:val="5FBE0B5F"/>
    <w:rsid w:val="5FC20535"/>
    <w:rsid w:val="5FD06268"/>
    <w:rsid w:val="5FD611AA"/>
    <w:rsid w:val="5FD921DF"/>
    <w:rsid w:val="600D49B8"/>
    <w:rsid w:val="601C66BA"/>
    <w:rsid w:val="602749B1"/>
    <w:rsid w:val="60403D25"/>
    <w:rsid w:val="6045561B"/>
    <w:rsid w:val="60545470"/>
    <w:rsid w:val="6060571E"/>
    <w:rsid w:val="6069094E"/>
    <w:rsid w:val="60736BDF"/>
    <w:rsid w:val="6099552B"/>
    <w:rsid w:val="609B5CA5"/>
    <w:rsid w:val="60A358BF"/>
    <w:rsid w:val="60AF797C"/>
    <w:rsid w:val="60B13450"/>
    <w:rsid w:val="60B2008F"/>
    <w:rsid w:val="60B23DCB"/>
    <w:rsid w:val="60C31600"/>
    <w:rsid w:val="60DB5E6E"/>
    <w:rsid w:val="60DF43E8"/>
    <w:rsid w:val="60EA2C4F"/>
    <w:rsid w:val="60EB1C8A"/>
    <w:rsid w:val="60EF7C90"/>
    <w:rsid w:val="610252A1"/>
    <w:rsid w:val="6107409E"/>
    <w:rsid w:val="61161EFB"/>
    <w:rsid w:val="611F4BC0"/>
    <w:rsid w:val="612550E4"/>
    <w:rsid w:val="614C0769"/>
    <w:rsid w:val="614D04D7"/>
    <w:rsid w:val="615F6969"/>
    <w:rsid w:val="61834629"/>
    <w:rsid w:val="618911E5"/>
    <w:rsid w:val="61896157"/>
    <w:rsid w:val="61995B6D"/>
    <w:rsid w:val="619D2CA4"/>
    <w:rsid w:val="61D71E25"/>
    <w:rsid w:val="61D867CF"/>
    <w:rsid w:val="61E862C0"/>
    <w:rsid w:val="61F21C96"/>
    <w:rsid w:val="61F72627"/>
    <w:rsid w:val="61FD0BCB"/>
    <w:rsid w:val="61FD5734"/>
    <w:rsid w:val="62003CE9"/>
    <w:rsid w:val="620C6DDC"/>
    <w:rsid w:val="621C5486"/>
    <w:rsid w:val="62246150"/>
    <w:rsid w:val="622A4C26"/>
    <w:rsid w:val="62351519"/>
    <w:rsid w:val="623D7A50"/>
    <w:rsid w:val="62461AC9"/>
    <w:rsid w:val="62521CAA"/>
    <w:rsid w:val="625C509C"/>
    <w:rsid w:val="625E26F4"/>
    <w:rsid w:val="62623D32"/>
    <w:rsid w:val="62685A44"/>
    <w:rsid w:val="626A4415"/>
    <w:rsid w:val="62734055"/>
    <w:rsid w:val="62754112"/>
    <w:rsid w:val="62833041"/>
    <w:rsid w:val="62856F1B"/>
    <w:rsid w:val="628D27AF"/>
    <w:rsid w:val="62930482"/>
    <w:rsid w:val="62B97C58"/>
    <w:rsid w:val="62EA78EA"/>
    <w:rsid w:val="62F52F78"/>
    <w:rsid w:val="631058BC"/>
    <w:rsid w:val="63244441"/>
    <w:rsid w:val="63294A1B"/>
    <w:rsid w:val="633A31B1"/>
    <w:rsid w:val="63427527"/>
    <w:rsid w:val="634E6D61"/>
    <w:rsid w:val="63624E24"/>
    <w:rsid w:val="6370414C"/>
    <w:rsid w:val="63750765"/>
    <w:rsid w:val="638160D4"/>
    <w:rsid w:val="6384182B"/>
    <w:rsid w:val="63900C16"/>
    <w:rsid w:val="639D5EAB"/>
    <w:rsid w:val="63A778B9"/>
    <w:rsid w:val="63C36343"/>
    <w:rsid w:val="63C77142"/>
    <w:rsid w:val="63D730E3"/>
    <w:rsid w:val="63E44A61"/>
    <w:rsid w:val="63EF3AA2"/>
    <w:rsid w:val="63F423E3"/>
    <w:rsid w:val="641F081A"/>
    <w:rsid w:val="64223F4E"/>
    <w:rsid w:val="645F04A0"/>
    <w:rsid w:val="64643CD6"/>
    <w:rsid w:val="646901CA"/>
    <w:rsid w:val="649C68C4"/>
    <w:rsid w:val="64A025B6"/>
    <w:rsid w:val="64B01CED"/>
    <w:rsid w:val="64BD335A"/>
    <w:rsid w:val="64D2490B"/>
    <w:rsid w:val="64D3777B"/>
    <w:rsid w:val="64E63B26"/>
    <w:rsid w:val="65094C06"/>
    <w:rsid w:val="65205E20"/>
    <w:rsid w:val="652513FD"/>
    <w:rsid w:val="65360541"/>
    <w:rsid w:val="653D70DE"/>
    <w:rsid w:val="65523B38"/>
    <w:rsid w:val="655362BB"/>
    <w:rsid w:val="65553AAC"/>
    <w:rsid w:val="6555401E"/>
    <w:rsid w:val="656C4E2E"/>
    <w:rsid w:val="657447C0"/>
    <w:rsid w:val="6576228D"/>
    <w:rsid w:val="65A62021"/>
    <w:rsid w:val="65BA4091"/>
    <w:rsid w:val="65D50FE0"/>
    <w:rsid w:val="65D8002A"/>
    <w:rsid w:val="65E10E44"/>
    <w:rsid w:val="65E9648E"/>
    <w:rsid w:val="65FE009D"/>
    <w:rsid w:val="66203674"/>
    <w:rsid w:val="66260C62"/>
    <w:rsid w:val="663A52CC"/>
    <w:rsid w:val="665C5C0C"/>
    <w:rsid w:val="665E2872"/>
    <w:rsid w:val="667C1218"/>
    <w:rsid w:val="66974165"/>
    <w:rsid w:val="66A16890"/>
    <w:rsid w:val="66A709D3"/>
    <w:rsid w:val="66AF18CD"/>
    <w:rsid w:val="66DA27D6"/>
    <w:rsid w:val="66E34DB0"/>
    <w:rsid w:val="66F70294"/>
    <w:rsid w:val="67017642"/>
    <w:rsid w:val="670C5A18"/>
    <w:rsid w:val="670E7601"/>
    <w:rsid w:val="67105F39"/>
    <w:rsid w:val="67116BC2"/>
    <w:rsid w:val="67214056"/>
    <w:rsid w:val="67246E2C"/>
    <w:rsid w:val="67314075"/>
    <w:rsid w:val="67395122"/>
    <w:rsid w:val="673E531F"/>
    <w:rsid w:val="674176F0"/>
    <w:rsid w:val="67556C6D"/>
    <w:rsid w:val="67594517"/>
    <w:rsid w:val="6764148B"/>
    <w:rsid w:val="67700A7D"/>
    <w:rsid w:val="67801B39"/>
    <w:rsid w:val="67843BBD"/>
    <w:rsid w:val="67906D20"/>
    <w:rsid w:val="6794129A"/>
    <w:rsid w:val="67A3705B"/>
    <w:rsid w:val="67A45F40"/>
    <w:rsid w:val="67A8595C"/>
    <w:rsid w:val="67AD2FA5"/>
    <w:rsid w:val="67B3751C"/>
    <w:rsid w:val="67C353A3"/>
    <w:rsid w:val="67CC1B8F"/>
    <w:rsid w:val="67D12B57"/>
    <w:rsid w:val="67E35AAF"/>
    <w:rsid w:val="67EE7974"/>
    <w:rsid w:val="67F91677"/>
    <w:rsid w:val="67FA0DB7"/>
    <w:rsid w:val="680D7820"/>
    <w:rsid w:val="68163F70"/>
    <w:rsid w:val="68347963"/>
    <w:rsid w:val="683B37A0"/>
    <w:rsid w:val="684B5E44"/>
    <w:rsid w:val="68551F6C"/>
    <w:rsid w:val="68663515"/>
    <w:rsid w:val="686A1119"/>
    <w:rsid w:val="686E6D74"/>
    <w:rsid w:val="68724950"/>
    <w:rsid w:val="689115AB"/>
    <w:rsid w:val="68912DAB"/>
    <w:rsid w:val="689754A3"/>
    <w:rsid w:val="68983BB9"/>
    <w:rsid w:val="68C94E47"/>
    <w:rsid w:val="68CC440F"/>
    <w:rsid w:val="68D57C05"/>
    <w:rsid w:val="68D60225"/>
    <w:rsid w:val="68DA7BA5"/>
    <w:rsid w:val="68EB27CF"/>
    <w:rsid w:val="68F320CF"/>
    <w:rsid w:val="693D57B7"/>
    <w:rsid w:val="69533B82"/>
    <w:rsid w:val="6964046E"/>
    <w:rsid w:val="696F6171"/>
    <w:rsid w:val="697B603F"/>
    <w:rsid w:val="69860395"/>
    <w:rsid w:val="69867CDD"/>
    <w:rsid w:val="69886D18"/>
    <w:rsid w:val="698D3C19"/>
    <w:rsid w:val="699358CB"/>
    <w:rsid w:val="69BA3724"/>
    <w:rsid w:val="69BA4B49"/>
    <w:rsid w:val="69CB5287"/>
    <w:rsid w:val="69FD53DF"/>
    <w:rsid w:val="6A0278B6"/>
    <w:rsid w:val="6A1172F0"/>
    <w:rsid w:val="6A2A546E"/>
    <w:rsid w:val="6A3515CF"/>
    <w:rsid w:val="6A3D0647"/>
    <w:rsid w:val="6A511CD2"/>
    <w:rsid w:val="6A6715E0"/>
    <w:rsid w:val="6A7C7229"/>
    <w:rsid w:val="6AAA52C4"/>
    <w:rsid w:val="6AAE521E"/>
    <w:rsid w:val="6ABF6CCE"/>
    <w:rsid w:val="6ADA1630"/>
    <w:rsid w:val="6ADB7B96"/>
    <w:rsid w:val="6AF01018"/>
    <w:rsid w:val="6AF21C5D"/>
    <w:rsid w:val="6AF63534"/>
    <w:rsid w:val="6AF7277D"/>
    <w:rsid w:val="6B0834CB"/>
    <w:rsid w:val="6B106AAB"/>
    <w:rsid w:val="6B2561B3"/>
    <w:rsid w:val="6B267AB6"/>
    <w:rsid w:val="6B350EA0"/>
    <w:rsid w:val="6B4A41D6"/>
    <w:rsid w:val="6B4E4249"/>
    <w:rsid w:val="6B5508F6"/>
    <w:rsid w:val="6B572D17"/>
    <w:rsid w:val="6B5D37D9"/>
    <w:rsid w:val="6B615D7E"/>
    <w:rsid w:val="6BD90689"/>
    <w:rsid w:val="6BDB2B0C"/>
    <w:rsid w:val="6BE15227"/>
    <w:rsid w:val="6BF07356"/>
    <w:rsid w:val="6BFA0ACB"/>
    <w:rsid w:val="6C0E102D"/>
    <w:rsid w:val="6C0E7301"/>
    <w:rsid w:val="6C17624D"/>
    <w:rsid w:val="6C1D3FDE"/>
    <w:rsid w:val="6C417136"/>
    <w:rsid w:val="6C4C78D0"/>
    <w:rsid w:val="6C645A90"/>
    <w:rsid w:val="6C7549CC"/>
    <w:rsid w:val="6C7761F6"/>
    <w:rsid w:val="6C806447"/>
    <w:rsid w:val="6CA31088"/>
    <w:rsid w:val="6CAC18A8"/>
    <w:rsid w:val="6CC35B55"/>
    <w:rsid w:val="6CC8119F"/>
    <w:rsid w:val="6CD10D06"/>
    <w:rsid w:val="6CD74A4E"/>
    <w:rsid w:val="6CEF06D0"/>
    <w:rsid w:val="6D0669CA"/>
    <w:rsid w:val="6D0F58BB"/>
    <w:rsid w:val="6D285646"/>
    <w:rsid w:val="6D385162"/>
    <w:rsid w:val="6D451D94"/>
    <w:rsid w:val="6D4E20CB"/>
    <w:rsid w:val="6D5110F4"/>
    <w:rsid w:val="6D6C707E"/>
    <w:rsid w:val="6D910891"/>
    <w:rsid w:val="6D9F1421"/>
    <w:rsid w:val="6DA40D6F"/>
    <w:rsid w:val="6DA67C1C"/>
    <w:rsid w:val="6DB55167"/>
    <w:rsid w:val="6DC83EDD"/>
    <w:rsid w:val="6DCF3862"/>
    <w:rsid w:val="6DD674D6"/>
    <w:rsid w:val="6DDE0B93"/>
    <w:rsid w:val="6DE36E68"/>
    <w:rsid w:val="6DE464EF"/>
    <w:rsid w:val="6DE54B05"/>
    <w:rsid w:val="6DE66918"/>
    <w:rsid w:val="6E003E11"/>
    <w:rsid w:val="6E0357C2"/>
    <w:rsid w:val="6E276370"/>
    <w:rsid w:val="6E315B8A"/>
    <w:rsid w:val="6E47552D"/>
    <w:rsid w:val="6E4D4CFF"/>
    <w:rsid w:val="6E516693"/>
    <w:rsid w:val="6E560BBC"/>
    <w:rsid w:val="6E5B1BC5"/>
    <w:rsid w:val="6E5E5B3C"/>
    <w:rsid w:val="6E653337"/>
    <w:rsid w:val="6E777383"/>
    <w:rsid w:val="6E7F3039"/>
    <w:rsid w:val="6E820674"/>
    <w:rsid w:val="6E963055"/>
    <w:rsid w:val="6E9F3EA1"/>
    <w:rsid w:val="6EA23FF4"/>
    <w:rsid w:val="6EA6780B"/>
    <w:rsid w:val="6EB14D27"/>
    <w:rsid w:val="6EC44F84"/>
    <w:rsid w:val="6EDF6DF3"/>
    <w:rsid w:val="6EE011C9"/>
    <w:rsid w:val="6EE17395"/>
    <w:rsid w:val="6EE92EB2"/>
    <w:rsid w:val="6EF22A00"/>
    <w:rsid w:val="6EFE46CA"/>
    <w:rsid w:val="6F2B551C"/>
    <w:rsid w:val="6F2F5F8D"/>
    <w:rsid w:val="6F363186"/>
    <w:rsid w:val="6F3C6F52"/>
    <w:rsid w:val="6F4E118A"/>
    <w:rsid w:val="6F6D11F5"/>
    <w:rsid w:val="6FC03081"/>
    <w:rsid w:val="6FD635B6"/>
    <w:rsid w:val="6FDE710F"/>
    <w:rsid w:val="6FE9746A"/>
    <w:rsid w:val="6FF065E4"/>
    <w:rsid w:val="6FF317B9"/>
    <w:rsid w:val="70021E84"/>
    <w:rsid w:val="7036476A"/>
    <w:rsid w:val="704725F8"/>
    <w:rsid w:val="705B63BC"/>
    <w:rsid w:val="70756067"/>
    <w:rsid w:val="70C67023"/>
    <w:rsid w:val="70C808BC"/>
    <w:rsid w:val="70CB5C94"/>
    <w:rsid w:val="70D75F1E"/>
    <w:rsid w:val="70E87195"/>
    <w:rsid w:val="70EB71AC"/>
    <w:rsid w:val="70EF09BD"/>
    <w:rsid w:val="70FB62C5"/>
    <w:rsid w:val="70FF0B61"/>
    <w:rsid w:val="713128D8"/>
    <w:rsid w:val="71483335"/>
    <w:rsid w:val="715B33E0"/>
    <w:rsid w:val="715B5505"/>
    <w:rsid w:val="717C38A9"/>
    <w:rsid w:val="717F123F"/>
    <w:rsid w:val="71870EB5"/>
    <w:rsid w:val="7189261A"/>
    <w:rsid w:val="71970003"/>
    <w:rsid w:val="71B41B28"/>
    <w:rsid w:val="71BD3AF0"/>
    <w:rsid w:val="71E10943"/>
    <w:rsid w:val="71F30261"/>
    <w:rsid w:val="72001DCA"/>
    <w:rsid w:val="72586235"/>
    <w:rsid w:val="725A4171"/>
    <w:rsid w:val="72760FCE"/>
    <w:rsid w:val="727A0864"/>
    <w:rsid w:val="72874F54"/>
    <w:rsid w:val="728A1F55"/>
    <w:rsid w:val="728C381E"/>
    <w:rsid w:val="729856B0"/>
    <w:rsid w:val="729A1D26"/>
    <w:rsid w:val="729B4E97"/>
    <w:rsid w:val="72D45A4D"/>
    <w:rsid w:val="72D939BD"/>
    <w:rsid w:val="72DA2229"/>
    <w:rsid w:val="72DC30F5"/>
    <w:rsid w:val="72DC33EC"/>
    <w:rsid w:val="72EB0C26"/>
    <w:rsid w:val="72EE47A5"/>
    <w:rsid w:val="72F50D3C"/>
    <w:rsid w:val="72FD4481"/>
    <w:rsid w:val="732E374F"/>
    <w:rsid w:val="73346D3C"/>
    <w:rsid w:val="733F257A"/>
    <w:rsid w:val="737C5954"/>
    <w:rsid w:val="738D0313"/>
    <w:rsid w:val="738F1C79"/>
    <w:rsid w:val="73903628"/>
    <w:rsid w:val="73A15D87"/>
    <w:rsid w:val="73A344E2"/>
    <w:rsid w:val="73A86803"/>
    <w:rsid w:val="73C42F75"/>
    <w:rsid w:val="73CA3A9A"/>
    <w:rsid w:val="73D311F4"/>
    <w:rsid w:val="73D3242D"/>
    <w:rsid w:val="73DC005A"/>
    <w:rsid w:val="73EB0D2D"/>
    <w:rsid w:val="73EF3053"/>
    <w:rsid w:val="741B5738"/>
    <w:rsid w:val="74334D49"/>
    <w:rsid w:val="744437D4"/>
    <w:rsid w:val="74445B02"/>
    <w:rsid w:val="74471E74"/>
    <w:rsid w:val="74526E69"/>
    <w:rsid w:val="74527A23"/>
    <w:rsid w:val="745E2A4F"/>
    <w:rsid w:val="745F3155"/>
    <w:rsid w:val="74884070"/>
    <w:rsid w:val="749052A9"/>
    <w:rsid w:val="749D64D1"/>
    <w:rsid w:val="74B0152F"/>
    <w:rsid w:val="74BC563B"/>
    <w:rsid w:val="74CD2DEB"/>
    <w:rsid w:val="74D07927"/>
    <w:rsid w:val="74D52CC0"/>
    <w:rsid w:val="74F17EF3"/>
    <w:rsid w:val="74FF3718"/>
    <w:rsid w:val="750947D1"/>
    <w:rsid w:val="75120F0D"/>
    <w:rsid w:val="75235375"/>
    <w:rsid w:val="752E03E1"/>
    <w:rsid w:val="75574EF0"/>
    <w:rsid w:val="755D281F"/>
    <w:rsid w:val="757E2B8D"/>
    <w:rsid w:val="758343B1"/>
    <w:rsid w:val="758B463A"/>
    <w:rsid w:val="759402B8"/>
    <w:rsid w:val="75A314B4"/>
    <w:rsid w:val="75B0030B"/>
    <w:rsid w:val="75B26CEE"/>
    <w:rsid w:val="75C441F9"/>
    <w:rsid w:val="75CF2E1B"/>
    <w:rsid w:val="75E33310"/>
    <w:rsid w:val="75F46A0D"/>
    <w:rsid w:val="75FB0077"/>
    <w:rsid w:val="76020388"/>
    <w:rsid w:val="76022E2A"/>
    <w:rsid w:val="76063EB0"/>
    <w:rsid w:val="76096E70"/>
    <w:rsid w:val="76670ED2"/>
    <w:rsid w:val="766D0CAE"/>
    <w:rsid w:val="767C0B1A"/>
    <w:rsid w:val="76C35CDE"/>
    <w:rsid w:val="76C46D3F"/>
    <w:rsid w:val="76DF3C59"/>
    <w:rsid w:val="76E210A4"/>
    <w:rsid w:val="76E30989"/>
    <w:rsid w:val="76E41CBC"/>
    <w:rsid w:val="76FD4766"/>
    <w:rsid w:val="771A5D5E"/>
    <w:rsid w:val="771C2651"/>
    <w:rsid w:val="772420CA"/>
    <w:rsid w:val="772B3C31"/>
    <w:rsid w:val="772B4B1C"/>
    <w:rsid w:val="77393E6B"/>
    <w:rsid w:val="7747099D"/>
    <w:rsid w:val="774D5E1A"/>
    <w:rsid w:val="774F36DB"/>
    <w:rsid w:val="77563C94"/>
    <w:rsid w:val="777127E5"/>
    <w:rsid w:val="77837A39"/>
    <w:rsid w:val="77894193"/>
    <w:rsid w:val="779943AC"/>
    <w:rsid w:val="77A165E5"/>
    <w:rsid w:val="77A43AAE"/>
    <w:rsid w:val="77AD5F42"/>
    <w:rsid w:val="77CD00A8"/>
    <w:rsid w:val="77D23E8D"/>
    <w:rsid w:val="77E15FAC"/>
    <w:rsid w:val="77F73DD5"/>
    <w:rsid w:val="77F94FF8"/>
    <w:rsid w:val="78016059"/>
    <w:rsid w:val="78163AD9"/>
    <w:rsid w:val="7817303F"/>
    <w:rsid w:val="78313AE3"/>
    <w:rsid w:val="7840148D"/>
    <w:rsid w:val="784346CE"/>
    <w:rsid w:val="784B2C20"/>
    <w:rsid w:val="78581DF9"/>
    <w:rsid w:val="785D7AB8"/>
    <w:rsid w:val="7889570B"/>
    <w:rsid w:val="788A0DAA"/>
    <w:rsid w:val="788B408D"/>
    <w:rsid w:val="78EC4E5E"/>
    <w:rsid w:val="78F878FF"/>
    <w:rsid w:val="78FC0847"/>
    <w:rsid w:val="78FD5CCD"/>
    <w:rsid w:val="78FE482D"/>
    <w:rsid w:val="791B269B"/>
    <w:rsid w:val="792B4CB4"/>
    <w:rsid w:val="792F0F5E"/>
    <w:rsid w:val="79334677"/>
    <w:rsid w:val="79370056"/>
    <w:rsid w:val="79371BE1"/>
    <w:rsid w:val="793915B9"/>
    <w:rsid w:val="79415BDF"/>
    <w:rsid w:val="79583221"/>
    <w:rsid w:val="795A1C35"/>
    <w:rsid w:val="79612EB0"/>
    <w:rsid w:val="79647A59"/>
    <w:rsid w:val="7967174C"/>
    <w:rsid w:val="796C21B2"/>
    <w:rsid w:val="797A042B"/>
    <w:rsid w:val="797D718D"/>
    <w:rsid w:val="798A753B"/>
    <w:rsid w:val="798E5F77"/>
    <w:rsid w:val="79924B63"/>
    <w:rsid w:val="79A51690"/>
    <w:rsid w:val="79AE3ACE"/>
    <w:rsid w:val="79AF75E7"/>
    <w:rsid w:val="79B01823"/>
    <w:rsid w:val="79B9048C"/>
    <w:rsid w:val="79C57EAD"/>
    <w:rsid w:val="79C60E7B"/>
    <w:rsid w:val="79E14F4C"/>
    <w:rsid w:val="79E20B4B"/>
    <w:rsid w:val="79E8391F"/>
    <w:rsid w:val="79EF4BA0"/>
    <w:rsid w:val="79F94549"/>
    <w:rsid w:val="7A1D11E1"/>
    <w:rsid w:val="7A2D0843"/>
    <w:rsid w:val="7A353AE3"/>
    <w:rsid w:val="7A3833E5"/>
    <w:rsid w:val="7A3A0D2D"/>
    <w:rsid w:val="7A474D20"/>
    <w:rsid w:val="7A484BBE"/>
    <w:rsid w:val="7A496D69"/>
    <w:rsid w:val="7A546D35"/>
    <w:rsid w:val="7A6E7EC0"/>
    <w:rsid w:val="7A7A42C5"/>
    <w:rsid w:val="7A7C4677"/>
    <w:rsid w:val="7A824205"/>
    <w:rsid w:val="7A886B78"/>
    <w:rsid w:val="7A987942"/>
    <w:rsid w:val="7AAE3CFE"/>
    <w:rsid w:val="7ADC6668"/>
    <w:rsid w:val="7AE41A37"/>
    <w:rsid w:val="7AE4419A"/>
    <w:rsid w:val="7AE633E8"/>
    <w:rsid w:val="7AE7369F"/>
    <w:rsid w:val="7AFD7ABF"/>
    <w:rsid w:val="7B051EFC"/>
    <w:rsid w:val="7B2341E0"/>
    <w:rsid w:val="7B244BE0"/>
    <w:rsid w:val="7B2E31B6"/>
    <w:rsid w:val="7B4623D3"/>
    <w:rsid w:val="7B5E68DD"/>
    <w:rsid w:val="7B652E17"/>
    <w:rsid w:val="7B660577"/>
    <w:rsid w:val="7B6B33CC"/>
    <w:rsid w:val="7B6E6AE9"/>
    <w:rsid w:val="7B752B74"/>
    <w:rsid w:val="7B904BCC"/>
    <w:rsid w:val="7B9362CB"/>
    <w:rsid w:val="7BA05240"/>
    <w:rsid w:val="7BA53518"/>
    <w:rsid w:val="7BAA7D48"/>
    <w:rsid w:val="7BB8137E"/>
    <w:rsid w:val="7BE55552"/>
    <w:rsid w:val="7BE5759D"/>
    <w:rsid w:val="7C120B67"/>
    <w:rsid w:val="7C124579"/>
    <w:rsid w:val="7C243A2B"/>
    <w:rsid w:val="7C363E56"/>
    <w:rsid w:val="7C3B745A"/>
    <w:rsid w:val="7C4D73D8"/>
    <w:rsid w:val="7C864472"/>
    <w:rsid w:val="7C8877C0"/>
    <w:rsid w:val="7C990CDF"/>
    <w:rsid w:val="7CA10EBE"/>
    <w:rsid w:val="7CAE220B"/>
    <w:rsid w:val="7CC8471F"/>
    <w:rsid w:val="7CD1540A"/>
    <w:rsid w:val="7CD51DE2"/>
    <w:rsid w:val="7CDA7FD0"/>
    <w:rsid w:val="7CE26959"/>
    <w:rsid w:val="7CF16411"/>
    <w:rsid w:val="7D087DAC"/>
    <w:rsid w:val="7D132341"/>
    <w:rsid w:val="7D14428C"/>
    <w:rsid w:val="7D160523"/>
    <w:rsid w:val="7D1F5E76"/>
    <w:rsid w:val="7D282204"/>
    <w:rsid w:val="7D5456DE"/>
    <w:rsid w:val="7D572712"/>
    <w:rsid w:val="7D573D5B"/>
    <w:rsid w:val="7D696810"/>
    <w:rsid w:val="7D7251AD"/>
    <w:rsid w:val="7D7F602F"/>
    <w:rsid w:val="7D990E32"/>
    <w:rsid w:val="7D9F61AA"/>
    <w:rsid w:val="7DBC1C9B"/>
    <w:rsid w:val="7DC27561"/>
    <w:rsid w:val="7DD83455"/>
    <w:rsid w:val="7DE016B8"/>
    <w:rsid w:val="7DE02EDD"/>
    <w:rsid w:val="7DE73D43"/>
    <w:rsid w:val="7DED328B"/>
    <w:rsid w:val="7DF53BF0"/>
    <w:rsid w:val="7E1D1655"/>
    <w:rsid w:val="7E221091"/>
    <w:rsid w:val="7E27602D"/>
    <w:rsid w:val="7E5B474B"/>
    <w:rsid w:val="7E5E19F8"/>
    <w:rsid w:val="7E715D79"/>
    <w:rsid w:val="7E766392"/>
    <w:rsid w:val="7E772BEE"/>
    <w:rsid w:val="7E780CF3"/>
    <w:rsid w:val="7E782505"/>
    <w:rsid w:val="7E7D7AEF"/>
    <w:rsid w:val="7E85160A"/>
    <w:rsid w:val="7E987965"/>
    <w:rsid w:val="7EA44FDF"/>
    <w:rsid w:val="7EEC1DCB"/>
    <w:rsid w:val="7EF410A1"/>
    <w:rsid w:val="7EF73728"/>
    <w:rsid w:val="7EF742CC"/>
    <w:rsid w:val="7F015F0C"/>
    <w:rsid w:val="7F060AA8"/>
    <w:rsid w:val="7F2826D7"/>
    <w:rsid w:val="7F2A00BC"/>
    <w:rsid w:val="7F4B3795"/>
    <w:rsid w:val="7F561848"/>
    <w:rsid w:val="7F5668AC"/>
    <w:rsid w:val="7F5B19DC"/>
    <w:rsid w:val="7F6A6EDC"/>
    <w:rsid w:val="7F743B6E"/>
    <w:rsid w:val="7F8C4553"/>
    <w:rsid w:val="7F9A5A96"/>
    <w:rsid w:val="7FA90CEF"/>
    <w:rsid w:val="7FB245FB"/>
    <w:rsid w:val="7FBC0C79"/>
    <w:rsid w:val="7FC44113"/>
    <w:rsid w:val="7FDE0697"/>
    <w:rsid w:val="7FE1477A"/>
    <w:rsid w:val="7FEB498B"/>
    <w:rsid w:val="7FEC2AF5"/>
    <w:rsid w:val="7FF1115C"/>
    <w:rsid w:val="7FF5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6"/>
    <w:qFormat/>
    <w:uiPriority w:val="0"/>
    <w:pPr>
      <w:jc w:val="left"/>
    </w:pPr>
  </w:style>
  <w:style w:type="paragraph" w:styleId="8">
    <w:name w:val="Body Text"/>
    <w:basedOn w:val="1"/>
    <w:link w:val="43"/>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link w:val="44"/>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0"/>
    <w:rPr>
      <w:sz w:val="21"/>
    </w:rPr>
  </w:style>
  <w:style w:type="character" w:styleId="27">
    <w:name w:val="footnote reference"/>
    <w:qFormat/>
    <w:uiPriority w:val="0"/>
    <w:rPr>
      <w:vertAlign w:val="superscript"/>
    </w:rPr>
  </w:style>
  <w:style w:type="paragraph" w:customStyle="1" w:styleId="2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Char"/>
    <w:basedOn w:val="1"/>
    <w:qFormat/>
    <w:uiPriority w:val="0"/>
  </w:style>
  <w:style w:type="paragraph" w:styleId="30">
    <w:name w:val="List Paragraph"/>
    <w:basedOn w:val="1"/>
    <w:qFormat/>
    <w:uiPriority w:val="1"/>
    <w:pPr>
      <w:spacing w:before="1"/>
      <w:ind w:left="140" w:firstLine="479"/>
    </w:pPr>
    <w:rPr>
      <w:rFonts w:ascii="宋体" w:hAnsi="宋体" w:cs="宋体"/>
    </w:rPr>
  </w:style>
  <w:style w:type="paragraph" w:customStyle="1" w:styleId="31">
    <w:name w:val="Char Char1"/>
    <w:basedOn w:val="1"/>
    <w:qFormat/>
    <w:uiPriority w:val="0"/>
  </w:style>
  <w:style w:type="paragraph" w:customStyle="1" w:styleId="32">
    <w:name w:val="合同正文"/>
    <w:basedOn w:val="1"/>
    <w:qFormat/>
    <w:uiPriority w:val="0"/>
    <w:pPr>
      <w:spacing w:line="360" w:lineRule="auto"/>
      <w:ind w:firstLine="200" w:firstLineChars="200"/>
    </w:pPr>
    <w:rPr>
      <w:bCs/>
      <w:kern w:val="0"/>
      <w:sz w:val="24"/>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正文所"/>
    <w:basedOn w:val="1"/>
    <w:qFormat/>
    <w:uiPriority w:val="0"/>
    <w:pPr>
      <w:spacing w:line="360" w:lineRule="auto"/>
      <w:ind w:firstLine="420" w:firstLineChars="200"/>
    </w:pPr>
    <w:rPr>
      <w:rFonts w:ascii="宋体"/>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Char1"/>
    <w:basedOn w:val="1"/>
    <w:qFormat/>
    <w:uiPriority w:val="0"/>
  </w:style>
  <w:style w:type="paragraph" w:customStyle="1" w:styleId="37">
    <w:name w:val="正文1"/>
    <w:qFormat/>
    <w:uiPriority w:val="0"/>
    <w:pPr>
      <w:widowControl w:val="0"/>
      <w:jc w:val="both"/>
    </w:pPr>
    <w:rPr>
      <w:rFonts w:ascii="Calibri" w:hAnsi="Calibri" w:eastAsia="宋体" w:cs="Times New Roman"/>
      <w:sz w:val="21"/>
      <w:szCs w:val="22"/>
      <w:lang w:val="en-US" w:eastAsia="zh-CN" w:bidi="ar-SA"/>
    </w:rPr>
  </w:style>
  <w:style w:type="paragraph" w:customStyle="1" w:styleId="38">
    <w:name w:val="unnamed1"/>
    <w:basedOn w:val="1"/>
    <w:qFormat/>
    <w:uiPriority w:val="0"/>
    <w:pPr>
      <w:spacing w:before="60" w:after="60"/>
      <w:ind w:left="15" w:right="15"/>
    </w:pPr>
    <w:rPr>
      <w:rFonts w:hint="eastAsia" w:ascii="宋体" w:hAnsi="宋体"/>
      <w:color w:val="000000"/>
      <w:sz w:val="18"/>
      <w:szCs w:val="18"/>
    </w:rPr>
  </w:style>
  <w:style w:type="paragraph" w:customStyle="1" w:styleId="39">
    <w:name w:val="_Style 37"/>
    <w:semiHidden/>
    <w:qFormat/>
    <w:uiPriority w:val="99"/>
    <w:rPr>
      <w:rFonts w:ascii="Times New Roman" w:hAnsi="Times New Roman" w:eastAsia="宋体" w:cs="Times New Roman"/>
      <w:kern w:val="2"/>
      <w:sz w:val="21"/>
      <w:lang w:val="en-US" w:eastAsia="zh-CN" w:bidi="ar-SA"/>
    </w:rPr>
  </w:style>
  <w:style w:type="paragraph" w:customStyle="1" w:styleId="40">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1">
    <w:name w:val="正文正文"/>
    <w:basedOn w:val="1"/>
    <w:qFormat/>
    <w:uiPriority w:val="0"/>
    <w:pPr>
      <w:spacing w:after="78" w:afterLines="25" w:line="360" w:lineRule="auto"/>
      <w:ind w:firstLine="200" w:firstLineChars="200"/>
    </w:pPr>
    <w:rPr>
      <w:sz w:val="24"/>
    </w:rPr>
  </w:style>
  <w:style w:type="character" w:customStyle="1" w:styleId="42">
    <w:name w:val="unnamed11"/>
    <w:qFormat/>
    <w:uiPriority w:val="0"/>
    <w:rPr>
      <w:rFonts w:hint="eastAsia" w:ascii="宋体" w:hAnsi="宋体" w:eastAsia="宋体"/>
      <w:sz w:val="18"/>
    </w:rPr>
  </w:style>
  <w:style w:type="character" w:customStyle="1" w:styleId="43">
    <w:name w:val="正文文本 字符"/>
    <w:link w:val="8"/>
    <w:qFormat/>
    <w:uiPriority w:val="0"/>
    <w:rPr>
      <w:rFonts w:ascii="宋体"/>
      <w:kern w:val="0"/>
    </w:rPr>
  </w:style>
  <w:style w:type="character" w:customStyle="1" w:styleId="44">
    <w:name w:val="标题 字符"/>
    <w:link w:val="19"/>
    <w:qFormat/>
    <w:uiPriority w:val="0"/>
    <w:rPr>
      <w:rFonts w:ascii="Cambria" w:hAnsi="Cambria"/>
      <w:b/>
      <w:kern w:val="2"/>
      <w:sz w:val="32"/>
    </w:rPr>
  </w:style>
  <w:style w:type="character" w:customStyle="1" w:styleId="45">
    <w:name w:val="页眉 字符"/>
    <w:link w:val="14"/>
    <w:qFormat/>
    <w:uiPriority w:val="0"/>
    <w:rPr>
      <w:rFonts w:eastAsia="宋体"/>
      <w:kern w:val="2"/>
      <w:sz w:val="18"/>
      <w:lang w:val="en-US" w:eastAsia="zh-CN"/>
    </w:rPr>
  </w:style>
  <w:style w:type="character" w:customStyle="1" w:styleId="46">
    <w:name w:val="批注文字 字符"/>
    <w:link w:val="7"/>
    <w:qFormat/>
    <w:uiPriority w:val="0"/>
    <w:rPr>
      <w:kern w:val="2"/>
      <w:sz w:val="21"/>
    </w:rPr>
  </w:style>
  <w:style w:type="character" w:customStyle="1" w:styleId="47">
    <w:name w:val="read"/>
    <w:basedOn w:val="23"/>
    <w:qFormat/>
    <w:uiPriority w:val="0"/>
  </w:style>
  <w:style w:type="paragraph" w:customStyle="1" w:styleId="48">
    <w:name w:val="修订1"/>
    <w:hidden/>
    <w:semiHidden/>
    <w:qFormat/>
    <w:uiPriority w:val="99"/>
    <w:rPr>
      <w:rFonts w:ascii="Times New Roman" w:hAnsi="Times New Roman" w:eastAsia="宋体" w:cs="Times New Roman"/>
      <w:kern w:val="2"/>
      <w:sz w:val="21"/>
      <w:lang w:val="en-US" w:eastAsia="zh-CN" w:bidi="ar-SA"/>
    </w:rPr>
  </w:style>
  <w:style w:type="character" w:customStyle="1" w:styleId="49">
    <w:name w:val="fontstyle01"/>
    <w:basedOn w:val="23"/>
    <w:qFormat/>
    <w:uiPriority w:val="0"/>
    <w:rPr>
      <w:rFonts w:hint="eastAsia" w:ascii="宋体" w:hAnsi="宋体" w:eastAsia="宋体"/>
      <w:color w:val="000000"/>
      <w:sz w:val="24"/>
      <w:szCs w:val="24"/>
    </w:rPr>
  </w:style>
  <w:style w:type="character" w:customStyle="1" w:styleId="50">
    <w:name w:val="fontstyle11"/>
    <w:basedOn w:val="23"/>
    <w:qFormat/>
    <w:uiPriority w:val="0"/>
    <w:rPr>
      <w:rFonts w:hint="default" w:ascii="TimesNewRomanPSMT" w:hAnsi="TimesNewRomanPSMT"/>
      <w:color w:val="000000"/>
      <w:sz w:val="24"/>
      <w:szCs w:val="24"/>
    </w:rPr>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16274</Words>
  <Characters>92765</Characters>
  <Lines>773</Lines>
  <Paragraphs>217</Paragraphs>
  <TotalTime>3</TotalTime>
  <ScaleCrop>false</ScaleCrop>
  <LinksUpToDate>false</LinksUpToDate>
  <CharactersWithSpaces>108822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2022-06-14T07:43:00Z</dcterms:created>
  <dcterms:modified xsi:type="dcterms:W3CDTF">2022-11-24T03:21:16Z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0DFA5688082B4C9B80DBD529649A6A0B</vt:lpwstr>
  </property>
</Properties>
</file>