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7" w:rightChars="-8"/>
        <w:rPr>
          <w:rFonts w:eastAsia="黑体"/>
          <w:sz w:val="32"/>
          <w:szCs w:val="32"/>
        </w:rPr>
      </w:pPr>
    </w:p>
    <w:p>
      <w:pPr>
        <w:rPr>
          <w:rFonts w:eastAsia="黑体"/>
          <w:sz w:val="52"/>
          <w:szCs w:val="52"/>
        </w:rPr>
      </w:pPr>
    </w:p>
    <w:p>
      <w:pPr>
        <w:tabs>
          <w:tab w:val="left" w:pos="3495"/>
        </w:tabs>
        <w:rPr>
          <w:rFonts w:eastAsia="黑体"/>
          <w:sz w:val="52"/>
          <w:szCs w:val="52"/>
        </w:rPr>
      </w:pPr>
    </w:p>
    <w:p>
      <w:pPr>
        <w:tabs>
          <w:tab w:val="center" w:pos="4164"/>
          <w:tab w:val="left" w:pos="5455"/>
        </w:tabs>
        <w:ind w:right="-17" w:rightChars="-8"/>
        <w:jc w:val="center"/>
        <w:rPr>
          <w:rFonts w:eastAsia="黑体"/>
          <w:sz w:val="52"/>
          <w:szCs w:val="52"/>
        </w:rPr>
      </w:pPr>
    </w:p>
    <w:p>
      <w:pPr>
        <w:tabs>
          <w:tab w:val="center" w:pos="4164"/>
          <w:tab w:val="left" w:pos="5455"/>
        </w:tabs>
        <w:ind w:right="-17" w:rightChars="-8"/>
        <w:jc w:val="center"/>
        <w:rPr>
          <w:rFonts w:eastAsia="黑体"/>
          <w:sz w:val="52"/>
          <w:szCs w:val="52"/>
        </w:rPr>
      </w:pPr>
    </w:p>
    <w:p>
      <w:pPr>
        <w:jc w:val="center"/>
        <w:rPr>
          <w:rFonts w:ascii="宋体" w:hAnsi="宋体"/>
          <w:sz w:val="24"/>
        </w:rPr>
      </w:pPr>
    </w:p>
    <w:p>
      <w:pPr>
        <w:jc w:val="center"/>
        <w:rPr>
          <w:b/>
          <w:sz w:val="52"/>
          <w:szCs w:val="52"/>
        </w:rPr>
      </w:pPr>
    </w:p>
    <w:p>
      <w:pPr>
        <w:jc w:val="center"/>
        <w:rPr>
          <w:rFonts w:ascii="仿宋_GB2312" w:eastAsia="仿宋_GB2312"/>
          <w:b/>
          <w:sz w:val="32"/>
          <w:szCs w:val="32"/>
        </w:rPr>
      </w:pPr>
    </w:p>
    <w:p>
      <w:pPr>
        <w:jc w:val="center"/>
        <w:rPr>
          <w:rFonts w:ascii="黑体" w:hAnsi="黑体" w:eastAsia="黑体"/>
          <w:b/>
          <w:sz w:val="44"/>
          <w:szCs w:val="44"/>
        </w:rPr>
      </w:pPr>
      <w:r>
        <w:rPr>
          <w:rFonts w:hint="eastAsia" w:ascii="黑体" w:hAnsi="黑体" w:eastAsia="黑体"/>
          <w:b/>
          <w:sz w:val="44"/>
          <w:szCs w:val="44"/>
        </w:rPr>
        <w:t>英大</w:t>
      </w:r>
      <w:r>
        <w:rPr>
          <w:rFonts w:hint="eastAsia" w:ascii="黑体" w:hAnsi="黑体" w:eastAsia="黑体"/>
          <w:b/>
          <w:sz w:val="44"/>
          <w:szCs w:val="44"/>
          <w:lang w:eastAsia="zh-CN"/>
        </w:rPr>
        <w:t>延福</w:t>
      </w:r>
      <w:r>
        <w:rPr>
          <w:rFonts w:hint="eastAsia" w:ascii="黑体" w:hAnsi="黑体" w:eastAsia="黑体"/>
          <w:b/>
          <w:sz w:val="44"/>
          <w:szCs w:val="44"/>
        </w:rPr>
        <w:t>养老目标日期</w:t>
      </w:r>
      <w:r>
        <w:rPr>
          <w:rFonts w:hint="eastAsia" w:ascii="黑体" w:hAnsi="黑体" w:eastAsia="黑体"/>
          <w:b/>
          <w:sz w:val="44"/>
          <w:szCs w:val="44"/>
          <w:lang w:eastAsia="zh-CN"/>
        </w:rPr>
        <w:t>2060</w:t>
      </w:r>
      <w:r>
        <w:rPr>
          <w:rFonts w:hint="eastAsia" w:ascii="黑体" w:hAnsi="黑体" w:eastAsia="黑体"/>
          <w:b/>
          <w:sz w:val="44"/>
          <w:szCs w:val="44"/>
        </w:rPr>
        <w:t>三年持有期混合型发起式基金中基金（FOF）</w:t>
      </w:r>
    </w:p>
    <w:p>
      <w:pPr>
        <w:jc w:val="center"/>
        <w:rPr>
          <w:rFonts w:ascii="黑体" w:hAnsi="黑体" w:eastAsia="黑体"/>
          <w:b/>
          <w:sz w:val="44"/>
          <w:szCs w:val="44"/>
        </w:rPr>
      </w:pPr>
      <w:r>
        <w:rPr>
          <w:rFonts w:hint="eastAsia" w:ascii="黑体" w:hAnsi="黑体" w:eastAsia="黑体"/>
          <w:b/>
          <w:sz w:val="44"/>
          <w:szCs w:val="44"/>
        </w:rPr>
        <w:t>托管协议</w:t>
      </w: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rPr>
          <w:rFonts w:ascii="宋体"/>
          <w:sz w:val="30"/>
        </w:rPr>
      </w:pPr>
    </w:p>
    <w:p>
      <w:pPr>
        <w:ind w:left="1135" w:leftChars="540" w:hanging="1"/>
        <w:jc w:val="left"/>
        <w:rPr>
          <w:b/>
          <w:bCs/>
          <w:sz w:val="32"/>
          <w:szCs w:val="32"/>
        </w:rPr>
      </w:pPr>
      <w:bookmarkStart w:id="0" w:name="_Toc382818591"/>
      <w:bookmarkStart w:id="1" w:name="_Toc382819065"/>
      <w:r>
        <w:rPr>
          <w:rFonts w:hint="eastAsia"/>
          <w:b/>
          <w:bCs/>
          <w:sz w:val="32"/>
          <w:szCs w:val="32"/>
        </w:rPr>
        <w:t>基金管理人：</w:t>
      </w:r>
      <w:bookmarkEnd w:id="0"/>
      <w:bookmarkEnd w:id="1"/>
      <w:r>
        <w:rPr>
          <w:rFonts w:hint="eastAsia"/>
          <w:b/>
          <w:bCs/>
          <w:sz w:val="32"/>
          <w:szCs w:val="32"/>
        </w:rPr>
        <w:t>英大基金管理有限公司</w:t>
      </w:r>
    </w:p>
    <w:p>
      <w:pPr>
        <w:ind w:left="1135" w:leftChars="540" w:hanging="1"/>
        <w:jc w:val="left"/>
        <w:rPr>
          <w:b/>
          <w:bCs/>
          <w:sz w:val="32"/>
          <w:szCs w:val="32"/>
        </w:rPr>
      </w:pPr>
      <w:bookmarkStart w:id="2" w:name="_Toc382819066"/>
      <w:bookmarkStart w:id="3" w:name="_Toc382818592"/>
      <w:r>
        <w:rPr>
          <w:rFonts w:hint="eastAsia"/>
          <w:b/>
          <w:bCs/>
          <w:sz w:val="32"/>
          <w:szCs w:val="32"/>
        </w:rPr>
        <w:t>基金托管人：上海浦东发展银行股份有限公司</w:t>
      </w:r>
      <w:bookmarkEnd w:id="2"/>
      <w:bookmarkEnd w:id="3"/>
    </w:p>
    <w:p>
      <w:pPr>
        <w:spacing w:line="500" w:lineRule="atLeast"/>
        <w:jc w:val="center"/>
        <w:rPr>
          <w:rFonts w:ascii="黑体" w:hAnsi="宋体" w:eastAsia="黑体"/>
          <w:b/>
          <w:sz w:val="28"/>
          <w:szCs w:val="28"/>
        </w:rPr>
      </w:pPr>
      <w:r>
        <w:rPr>
          <w:rFonts w:hint="eastAsia" w:ascii="黑体" w:hAnsi="宋体" w:eastAsia="黑体"/>
          <w:b/>
          <w:sz w:val="28"/>
          <w:szCs w:val="28"/>
        </w:rPr>
        <w:br w:type="page"/>
      </w:r>
      <w:bookmarkStart w:id="4" w:name="_Toc382819067"/>
      <w:bookmarkStart w:id="5" w:name="_Toc382818593"/>
    </w:p>
    <w:p>
      <w:pPr>
        <w:spacing w:line="500" w:lineRule="atLeast"/>
        <w:jc w:val="center"/>
        <w:outlineLvl w:val="0"/>
        <w:rPr>
          <w:rFonts w:ascii="宋体" w:hAnsi="宋体"/>
          <w:b/>
          <w:sz w:val="36"/>
          <w:szCs w:val="28"/>
        </w:rPr>
      </w:pPr>
      <w:r>
        <w:rPr>
          <w:rFonts w:hint="eastAsia" w:ascii="宋体" w:hAnsi="宋体"/>
          <w:b/>
          <w:sz w:val="32"/>
          <w:szCs w:val="28"/>
        </w:rPr>
        <w:t>目 录</w:t>
      </w:r>
      <w:bookmarkEnd w:id="4"/>
      <w:bookmarkEnd w:id="5"/>
    </w:p>
    <w:p>
      <w:pPr>
        <w:pStyle w:val="17"/>
        <w:tabs>
          <w:tab w:val="left" w:pos="440"/>
          <w:tab w:val="right" w:leader="dot" w:pos="8296"/>
        </w:tabs>
        <w:spacing w:line="360" w:lineRule="auto"/>
        <w:rPr>
          <w:rFonts w:ascii="Calibri" w:hAnsi="Calibri"/>
          <w:szCs w:val="21"/>
        </w:rPr>
      </w:pP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p>
    <w:p>
      <w:pPr>
        <w:pStyle w:val="17"/>
        <w:tabs>
          <w:tab w:val="right" w:leader="dot" w:pos="8296"/>
        </w:tabs>
        <w:spacing w:line="360" w:lineRule="auto"/>
        <w:rPr>
          <w:rFonts w:asciiTheme="minorEastAsia" w:hAnsiTheme="minorEastAsia" w:eastAsiaTheme="minorEastAsia" w:cstheme="minorEastAsia"/>
          <w:szCs w:val="21"/>
        </w:rPr>
      </w:pPr>
      <w:r>
        <w:fldChar w:fldCharType="begin"/>
      </w:r>
      <w:r>
        <w:instrText xml:space="preserve"> HYPERLINK \l "_Toc382819071" </w:instrText>
      </w:r>
      <w:r>
        <w:fldChar w:fldCharType="separate"/>
      </w:r>
      <w:r>
        <w:rPr>
          <w:rStyle w:val="23"/>
          <w:rFonts w:hint="eastAsia" w:asciiTheme="minorEastAsia" w:hAnsiTheme="minorEastAsia" w:eastAsiaTheme="minorEastAsia" w:cstheme="minorEastAsia"/>
          <w:szCs w:val="21"/>
        </w:rPr>
        <w:t>一、基金托管协议的依据、目的、原则和解释</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_Toc382819071 \h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7"/>
        <w:tabs>
          <w:tab w:val="right" w:leader="dot" w:pos="8296"/>
        </w:tabs>
        <w:spacing w:line="360" w:lineRule="auto"/>
        <w:rPr>
          <w:rFonts w:asciiTheme="minorEastAsia" w:hAnsiTheme="minorEastAsia" w:eastAsiaTheme="minorEastAsia" w:cstheme="minorEastAsia"/>
          <w:szCs w:val="21"/>
        </w:rPr>
      </w:pPr>
      <w:r>
        <w:fldChar w:fldCharType="begin"/>
      </w:r>
      <w:r>
        <w:instrText xml:space="preserve"> HYPERLINK \l "_Toc382819072" </w:instrText>
      </w:r>
      <w:r>
        <w:fldChar w:fldCharType="separate"/>
      </w:r>
      <w:r>
        <w:rPr>
          <w:rStyle w:val="23"/>
          <w:rFonts w:hint="eastAsia" w:asciiTheme="minorEastAsia" w:hAnsiTheme="minorEastAsia" w:eastAsiaTheme="minorEastAsia" w:cstheme="minorEastAsia"/>
          <w:szCs w:val="21"/>
        </w:rPr>
        <w:t>二、基金托管人对基金管理人的业务监督和核查</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_Toc382819072 \h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3</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7"/>
        <w:tabs>
          <w:tab w:val="right" w:leader="dot" w:pos="8296"/>
        </w:tabs>
        <w:spacing w:line="360" w:lineRule="auto"/>
        <w:rPr>
          <w:rFonts w:asciiTheme="minorEastAsia" w:hAnsiTheme="minorEastAsia" w:eastAsiaTheme="minorEastAsia" w:cstheme="minorEastAsia"/>
          <w:szCs w:val="21"/>
        </w:rPr>
      </w:pPr>
      <w:r>
        <w:fldChar w:fldCharType="begin"/>
      </w:r>
      <w:r>
        <w:instrText xml:space="preserve"> HYPERLINK \l "_Toc382819076" </w:instrText>
      </w:r>
      <w:r>
        <w:fldChar w:fldCharType="separate"/>
      </w:r>
      <w:r>
        <w:rPr>
          <w:rStyle w:val="23"/>
          <w:rFonts w:hint="eastAsia" w:asciiTheme="minorEastAsia" w:hAnsiTheme="minorEastAsia" w:eastAsiaTheme="minorEastAsia" w:cstheme="minorEastAsia"/>
          <w:szCs w:val="21"/>
        </w:rPr>
        <w:t>三、基金管理人对基金托管人的业务核查</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_Toc382819076 \h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13</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7"/>
        <w:tabs>
          <w:tab w:val="right" w:leader="dot" w:pos="8296"/>
        </w:tabs>
        <w:spacing w:line="360" w:lineRule="auto"/>
        <w:rPr>
          <w:rFonts w:asciiTheme="minorEastAsia" w:hAnsiTheme="minorEastAsia" w:eastAsiaTheme="minorEastAsia" w:cstheme="minorEastAsia"/>
          <w:szCs w:val="21"/>
        </w:rPr>
      </w:pPr>
      <w:r>
        <w:fldChar w:fldCharType="begin"/>
      </w:r>
      <w:r>
        <w:instrText xml:space="preserve"> HYPERLINK \l "_Toc382819078" </w:instrText>
      </w:r>
      <w:r>
        <w:fldChar w:fldCharType="separate"/>
      </w:r>
      <w:r>
        <w:rPr>
          <w:rStyle w:val="23"/>
          <w:rFonts w:hint="eastAsia" w:asciiTheme="minorEastAsia" w:hAnsiTheme="minorEastAsia" w:eastAsiaTheme="minorEastAsia" w:cstheme="minorEastAsia"/>
          <w:szCs w:val="21"/>
        </w:rPr>
        <w:t>四、基金财产保管</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_Toc382819078 \h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14</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7"/>
        <w:tabs>
          <w:tab w:val="right" w:leader="dot" w:pos="8296"/>
        </w:tabs>
        <w:spacing w:line="360" w:lineRule="auto"/>
        <w:rPr>
          <w:rFonts w:asciiTheme="minorEastAsia" w:hAnsiTheme="minorEastAsia" w:eastAsiaTheme="minorEastAsia" w:cstheme="minorEastAsia"/>
          <w:szCs w:val="21"/>
        </w:rPr>
      </w:pPr>
      <w:r>
        <w:fldChar w:fldCharType="begin"/>
      </w:r>
      <w:r>
        <w:instrText xml:space="preserve"> HYPERLINK \l "_Toc382819088" </w:instrText>
      </w:r>
      <w:r>
        <w:fldChar w:fldCharType="separate"/>
      </w:r>
      <w:r>
        <w:rPr>
          <w:rStyle w:val="23"/>
          <w:rFonts w:hint="eastAsia" w:asciiTheme="minorEastAsia" w:hAnsiTheme="minorEastAsia" w:eastAsiaTheme="minorEastAsia" w:cstheme="minorEastAsia"/>
          <w:szCs w:val="21"/>
        </w:rPr>
        <w:t>五、指令的发送、确认和执行</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_Toc382819088 \h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18</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7"/>
        <w:tabs>
          <w:tab w:val="right" w:leader="dot" w:pos="8296"/>
        </w:tabs>
        <w:spacing w:line="360" w:lineRule="auto"/>
        <w:rPr>
          <w:rFonts w:asciiTheme="minorEastAsia" w:hAnsiTheme="minorEastAsia" w:eastAsiaTheme="minorEastAsia" w:cstheme="minorEastAsia"/>
          <w:szCs w:val="21"/>
        </w:rPr>
      </w:pPr>
      <w:r>
        <w:fldChar w:fldCharType="begin"/>
      </w:r>
      <w:r>
        <w:instrText xml:space="preserve"> HYPERLINK \l "_Toc382819097" </w:instrText>
      </w:r>
      <w:r>
        <w:fldChar w:fldCharType="separate"/>
      </w:r>
      <w:r>
        <w:rPr>
          <w:rStyle w:val="23"/>
          <w:rFonts w:hint="eastAsia" w:asciiTheme="minorEastAsia" w:hAnsiTheme="minorEastAsia" w:eastAsiaTheme="minorEastAsia" w:cstheme="minorEastAsia"/>
          <w:szCs w:val="21"/>
        </w:rPr>
        <w:t>六、交易及清算交收安排</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_Toc382819097 \h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21</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7"/>
        <w:tabs>
          <w:tab w:val="right" w:leader="dot" w:pos="8296"/>
        </w:tabs>
        <w:spacing w:line="360" w:lineRule="auto"/>
        <w:rPr>
          <w:rFonts w:asciiTheme="minorEastAsia" w:hAnsiTheme="minorEastAsia" w:eastAsiaTheme="minorEastAsia" w:cstheme="minorEastAsia"/>
          <w:szCs w:val="21"/>
        </w:rPr>
      </w:pPr>
      <w:r>
        <w:fldChar w:fldCharType="begin"/>
      </w:r>
      <w:r>
        <w:instrText xml:space="preserve"> HYPERLINK \l "_Toc382819103" </w:instrText>
      </w:r>
      <w:r>
        <w:fldChar w:fldCharType="separate"/>
      </w:r>
      <w:r>
        <w:rPr>
          <w:rStyle w:val="23"/>
          <w:rFonts w:hint="eastAsia" w:asciiTheme="minorEastAsia" w:hAnsiTheme="minorEastAsia" w:eastAsiaTheme="minorEastAsia" w:cstheme="minorEastAsia"/>
          <w:szCs w:val="21"/>
        </w:rPr>
        <w:t>七、基金资产净值计算和会计核算</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_Toc382819103 \h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26</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7"/>
        <w:tabs>
          <w:tab w:val="right" w:leader="dot" w:pos="8296"/>
        </w:tabs>
        <w:spacing w:line="360" w:lineRule="auto"/>
        <w:rPr>
          <w:rFonts w:asciiTheme="minorEastAsia" w:hAnsiTheme="minorEastAsia" w:eastAsiaTheme="minorEastAsia" w:cstheme="minorEastAsia"/>
          <w:szCs w:val="21"/>
        </w:rPr>
      </w:pPr>
      <w:r>
        <w:fldChar w:fldCharType="begin"/>
      </w:r>
      <w:r>
        <w:instrText xml:space="preserve"> HYPERLINK \l "_Toc382819118" </w:instrText>
      </w:r>
      <w:r>
        <w:fldChar w:fldCharType="separate"/>
      </w:r>
      <w:r>
        <w:rPr>
          <w:rStyle w:val="23"/>
          <w:rFonts w:hint="eastAsia" w:asciiTheme="minorEastAsia" w:hAnsiTheme="minorEastAsia" w:eastAsiaTheme="minorEastAsia" w:cstheme="minorEastAsia"/>
          <w:szCs w:val="21"/>
        </w:rPr>
        <w:t>八、基金收益分配</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_Toc382819118 \h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30</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7"/>
        <w:tabs>
          <w:tab w:val="right" w:leader="dot" w:pos="8296"/>
        </w:tabs>
        <w:spacing w:line="360" w:lineRule="auto"/>
        <w:rPr>
          <w:rFonts w:asciiTheme="minorEastAsia" w:hAnsiTheme="minorEastAsia" w:eastAsiaTheme="minorEastAsia" w:cstheme="minorEastAsia"/>
          <w:szCs w:val="21"/>
        </w:rPr>
      </w:pPr>
      <w:r>
        <w:fldChar w:fldCharType="begin"/>
      </w:r>
      <w:r>
        <w:instrText xml:space="preserve"> HYPERLINK \l "_Toc382819121" </w:instrText>
      </w:r>
      <w:r>
        <w:fldChar w:fldCharType="separate"/>
      </w:r>
      <w:r>
        <w:rPr>
          <w:rStyle w:val="23"/>
          <w:rFonts w:hint="eastAsia" w:asciiTheme="minorEastAsia" w:hAnsiTheme="minorEastAsia" w:eastAsiaTheme="minorEastAsia" w:cstheme="minorEastAsia"/>
          <w:szCs w:val="21"/>
        </w:rPr>
        <w:t>九、信息披露</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_Toc382819121 \h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32</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7"/>
        <w:tabs>
          <w:tab w:val="right" w:leader="dot" w:pos="8296"/>
        </w:tabs>
        <w:spacing w:line="360" w:lineRule="auto"/>
        <w:rPr>
          <w:rFonts w:asciiTheme="minorEastAsia" w:hAnsiTheme="minorEastAsia" w:eastAsiaTheme="minorEastAsia" w:cstheme="minorEastAsia"/>
          <w:szCs w:val="21"/>
        </w:rPr>
      </w:pPr>
      <w:r>
        <w:fldChar w:fldCharType="begin"/>
      </w:r>
      <w:r>
        <w:instrText xml:space="preserve"> HYPERLINK \l "_Toc382819125" </w:instrText>
      </w:r>
      <w:r>
        <w:fldChar w:fldCharType="separate"/>
      </w:r>
      <w:r>
        <w:rPr>
          <w:rStyle w:val="23"/>
          <w:rFonts w:hint="eastAsia" w:asciiTheme="minorEastAsia" w:hAnsiTheme="minorEastAsia" w:eastAsiaTheme="minorEastAsia" w:cstheme="minorEastAsia"/>
          <w:szCs w:val="21"/>
        </w:rPr>
        <w:t>十、托管费用</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_Toc382819125 \h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35</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7"/>
        <w:tabs>
          <w:tab w:val="right" w:leader="dot" w:pos="8296"/>
        </w:tabs>
        <w:spacing w:line="360" w:lineRule="auto"/>
        <w:rPr>
          <w:rFonts w:asciiTheme="minorEastAsia" w:hAnsiTheme="minorEastAsia" w:eastAsiaTheme="minorEastAsia" w:cstheme="minorEastAsia"/>
          <w:szCs w:val="21"/>
        </w:rPr>
      </w:pPr>
      <w:r>
        <w:fldChar w:fldCharType="begin"/>
      </w:r>
      <w:r>
        <w:instrText xml:space="preserve"> HYPERLINK \l "_Toc382819126" </w:instrText>
      </w:r>
      <w:r>
        <w:fldChar w:fldCharType="separate"/>
      </w:r>
      <w:r>
        <w:rPr>
          <w:rStyle w:val="23"/>
          <w:rFonts w:hint="eastAsia" w:asciiTheme="minorEastAsia" w:hAnsiTheme="minorEastAsia" w:eastAsiaTheme="minorEastAsia" w:cstheme="minorEastAsia"/>
          <w:szCs w:val="21"/>
        </w:rPr>
        <w:t>十一、基金份额持有人名册的保管</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_Toc382819126 \h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35</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7"/>
        <w:tabs>
          <w:tab w:val="right" w:leader="dot" w:pos="8296"/>
        </w:tabs>
        <w:spacing w:line="360" w:lineRule="auto"/>
        <w:rPr>
          <w:rFonts w:asciiTheme="minorEastAsia" w:hAnsiTheme="minorEastAsia" w:eastAsiaTheme="minorEastAsia" w:cstheme="minorEastAsia"/>
          <w:szCs w:val="21"/>
        </w:rPr>
      </w:pPr>
      <w:r>
        <w:fldChar w:fldCharType="begin"/>
      </w:r>
      <w:r>
        <w:instrText xml:space="preserve"> HYPERLINK \l "_Toc382819127" </w:instrText>
      </w:r>
      <w:r>
        <w:fldChar w:fldCharType="separate"/>
      </w:r>
      <w:r>
        <w:rPr>
          <w:rStyle w:val="23"/>
          <w:rFonts w:hint="eastAsia" w:asciiTheme="minorEastAsia" w:hAnsiTheme="minorEastAsia" w:eastAsiaTheme="minorEastAsia" w:cstheme="minorEastAsia"/>
          <w:szCs w:val="21"/>
        </w:rPr>
        <w:t>十二、基金有关文件和档案的保存</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_Toc382819127 \h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37</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7"/>
        <w:tabs>
          <w:tab w:val="right" w:leader="dot" w:pos="8296"/>
        </w:tabs>
        <w:spacing w:line="360" w:lineRule="auto"/>
        <w:rPr>
          <w:rFonts w:asciiTheme="minorEastAsia" w:hAnsiTheme="minorEastAsia" w:eastAsiaTheme="minorEastAsia" w:cstheme="minorEastAsia"/>
          <w:szCs w:val="21"/>
        </w:rPr>
      </w:pPr>
      <w:r>
        <w:fldChar w:fldCharType="begin"/>
      </w:r>
      <w:r>
        <w:instrText xml:space="preserve"> HYPERLINK \l "_Toc382819128" </w:instrText>
      </w:r>
      <w:r>
        <w:fldChar w:fldCharType="separate"/>
      </w:r>
      <w:r>
        <w:rPr>
          <w:rStyle w:val="23"/>
          <w:rFonts w:hint="eastAsia" w:asciiTheme="minorEastAsia" w:hAnsiTheme="minorEastAsia" w:eastAsiaTheme="minorEastAsia" w:cstheme="minorEastAsia"/>
          <w:szCs w:val="21"/>
        </w:rPr>
        <w:t>十三、基金管理人和基金托管人的更换</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_Toc382819128 \h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38</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7"/>
        <w:tabs>
          <w:tab w:val="right" w:leader="dot" w:pos="8296"/>
        </w:tabs>
        <w:spacing w:line="360" w:lineRule="auto"/>
        <w:rPr>
          <w:rFonts w:asciiTheme="minorEastAsia" w:hAnsiTheme="minorEastAsia" w:eastAsiaTheme="minorEastAsia" w:cstheme="minorEastAsia"/>
          <w:szCs w:val="21"/>
        </w:rPr>
      </w:pPr>
      <w:r>
        <w:fldChar w:fldCharType="begin"/>
      </w:r>
      <w:r>
        <w:instrText xml:space="preserve"> HYPERLINK \l "_Toc382819131" </w:instrText>
      </w:r>
      <w:r>
        <w:fldChar w:fldCharType="separate"/>
      </w:r>
      <w:r>
        <w:rPr>
          <w:rStyle w:val="23"/>
          <w:rFonts w:hint="eastAsia" w:asciiTheme="minorEastAsia" w:hAnsiTheme="minorEastAsia" w:eastAsiaTheme="minorEastAsia" w:cstheme="minorEastAsia"/>
          <w:szCs w:val="21"/>
        </w:rPr>
        <w:t>十四、禁止行为</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_Toc382819131 \h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41</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7"/>
        <w:tabs>
          <w:tab w:val="right" w:leader="dot" w:pos="8296"/>
        </w:tabs>
        <w:spacing w:line="360" w:lineRule="auto"/>
        <w:rPr>
          <w:rFonts w:asciiTheme="minorEastAsia" w:hAnsiTheme="minorEastAsia" w:eastAsiaTheme="minorEastAsia" w:cstheme="minorEastAsia"/>
          <w:szCs w:val="21"/>
        </w:rPr>
      </w:pPr>
      <w:r>
        <w:fldChar w:fldCharType="begin"/>
      </w:r>
      <w:r>
        <w:instrText xml:space="preserve"> HYPERLINK \l "_Toc382819132" </w:instrText>
      </w:r>
      <w:r>
        <w:fldChar w:fldCharType="separate"/>
      </w:r>
      <w:r>
        <w:rPr>
          <w:rStyle w:val="23"/>
          <w:rFonts w:hint="eastAsia" w:asciiTheme="minorEastAsia" w:hAnsiTheme="minorEastAsia" w:eastAsiaTheme="minorEastAsia" w:cstheme="minorEastAsia"/>
          <w:szCs w:val="21"/>
        </w:rPr>
        <w:t>十五、基金托管协议的变更、终止与基金财产的清算</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_Toc382819132 \h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43</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7"/>
        <w:tabs>
          <w:tab w:val="right" w:leader="dot" w:pos="8296"/>
        </w:tabs>
        <w:spacing w:line="360" w:lineRule="auto"/>
        <w:rPr>
          <w:rFonts w:asciiTheme="minorEastAsia" w:hAnsiTheme="minorEastAsia" w:eastAsiaTheme="minorEastAsia" w:cstheme="minorEastAsia"/>
          <w:szCs w:val="21"/>
        </w:rPr>
      </w:pPr>
      <w:r>
        <w:fldChar w:fldCharType="begin"/>
      </w:r>
      <w:r>
        <w:instrText xml:space="preserve"> HYPERLINK \l "_Toc382819133" </w:instrText>
      </w:r>
      <w:r>
        <w:fldChar w:fldCharType="separate"/>
      </w:r>
      <w:r>
        <w:rPr>
          <w:rStyle w:val="23"/>
          <w:rFonts w:hint="eastAsia" w:asciiTheme="minorEastAsia" w:hAnsiTheme="minorEastAsia" w:eastAsiaTheme="minorEastAsia" w:cstheme="minorEastAsia"/>
          <w:szCs w:val="21"/>
        </w:rPr>
        <w:t>十六、违约责任</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_Toc382819133 \h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45</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7"/>
        <w:tabs>
          <w:tab w:val="right" w:leader="dot" w:pos="8296"/>
        </w:tabs>
        <w:spacing w:line="360" w:lineRule="auto"/>
        <w:rPr>
          <w:rFonts w:asciiTheme="minorEastAsia" w:hAnsiTheme="minorEastAsia" w:eastAsiaTheme="minorEastAsia" w:cstheme="minorEastAsia"/>
          <w:szCs w:val="21"/>
        </w:rPr>
      </w:pPr>
      <w:r>
        <w:fldChar w:fldCharType="begin"/>
      </w:r>
      <w:r>
        <w:instrText xml:space="preserve"> HYPERLINK \l "_Toc382819134" </w:instrText>
      </w:r>
      <w:r>
        <w:fldChar w:fldCharType="separate"/>
      </w:r>
      <w:r>
        <w:rPr>
          <w:rStyle w:val="23"/>
          <w:rFonts w:hint="eastAsia" w:asciiTheme="minorEastAsia" w:hAnsiTheme="minorEastAsia" w:eastAsiaTheme="minorEastAsia" w:cstheme="minorEastAsia"/>
          <w:szCs w:val="21"/>
        </w:rPr>
        <w:t>十七、适用法律及争议解决方式</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_Toc382819134 \h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46</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7"/>
        <w:tabs>
          <w:tab w:val="right" w:leader="dot" w:pos="8296"/>
        </w:tabs>
        <w:spacing w:line="360" w:lineRule="auto"/>
        <w:rPr>
          <w:rFonts w:asciiTheme="minorEastAsia" w:hAnsiTheme="minorEastAsia" w:eastAsiaTheme="minorEastAsia" w:cstheme="minorEastAsia"/>
          <w:szCs w:val="21"/>
        </w:rPr>
      </w:pPr>
      <w:r>
        <w:fldChar w:fldCharType="begin"/>
      </w:r>
      <w:r>
        <w:instrText xml:space="preserve"> HYPERLINK \l "_Toc382819135" </w:instrText>
      </w:r>
      <w:r>
        <w:fldChar w:fldCharType="separate"/>
      </w:r>
      <w:r>
        <w:rPr>
          <w:rStyle w:val="23"/>
          <w:rFonts w:hint="eastAsia" w:asciiTheme="minorEastAsia" w:hAnsiTheme="minorEastAsia" w:eastAsiaTheme="minorEastAsia" w:cstheme="minorEastAsia"/>
          <w:szCs w:val="21"/>
        </w:rPr>
        <w:t>十八、基金托管协议的效力和文本</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_Toc382819135 \h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47</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pStyle w:val="17"/>
        <w:tabs>
          <w:tab w:val="right" w:leader="dot" w:pos="8296"/>
        </w:tabs>
        <w:spacing w:line="360" w:lineRule="auto"/>
        <w:rPr>
          <w:rFonts w:asciiTheme="minorEastAsia" w:hAnsiTheme="minorEastAsia" w:eastAsiaTheme="minorEastAsia" w:cstheme="minorEastAsia"/>
          <w:szCs w:val="21"/>
        </w:rPr>
      </w:pPr>
      <w:r>
        <w:fldChar w:fldCharType="begin"/>
      </w:r>
      <w:r>
        <w:instrText xml:space="preserve"> HYPERLINK \l "_Toc382819136" </w:instrText>
      </w:r>
      <w:r>
        <w:fldChar w:fldCharType="separate"/>
      </w:r>
      <w:r>
        <w:rPr>
          <w:rStyle w:val="23"/>
          <w:rFonts w:hint="eastAsia" w:asciiTheme="minorEastAsia" w:hAnsiTheme="minorEastAsia" w:eastAsiaTheme="minorEastAsia" w:cstheme="minorEastAsia"/>
          <w:szCs w:val="21"/>
        </w:rPr>
        <w:t>十九、其他事项</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PAGEREF _Toc382819136 \h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48</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fldChar w:fldCharType="end"/>
      </w:r>
    </w:p>
    <w:p>
      <w:pPr>
        <w:spacing w:line="360" w:lineRule="auto"/>
        <w:rPr>
          <w:rFonts w:ascii="仿宋_GB2312" w:eastAsia="仿宋_GB2312"/>
          <w:szCs w:val="21"/>
        </w:rPr>
      </w:pPr>
      <w:r>
        <w:rPr>
          <w:rFonts w:ascii="宋体" w:hAnsi="宋体"/>
          <w:szCs w:val="21"/>
        </w:rPr>
        <w:fldChar w:fldCharType="end"/>
      </w:r>
    </w:p>
    <w:p>
      <w:pPr>
        <w:widowControl/>
        <w:jc w:val="left"/>
        <w:rPr>
          <w:rFonts w:ascii="仿宋_GB2312" w:eastAsia="仿宋_GB2312"/>
          <w:sz w:val="24"/>
        </w:rPr>
        <w:sectPr>
          <w:headerReference r:id="rId4" w:type="first"/>
          <w:headerReference r:id="rId3" w:type="default"/>
          <w:footerReference r:id="rId5" w:type="default"/>
          <w:pgSz w:w="11906" w:h="16838"/>
          <w:pgMar w:top="1440" w:right="1800" w:bottom="1440" w:left="1800" w:header="851" w:footer="992" w:gutter="0"/>
          <w:pgNumType w:start="1"/>
          <w:cols w:space="720" w:num="1"/>
          <w:titlePg/>
          <w:docGrid w:type="lines" w:linePitch="312" w:charSpace="0"/>
        </w:sectPr>
      </w:pPr>
    </w:p>
    <w:p>
      <w:pPr>
        <w:jc w:val="center"/>
        <w:rPr>
          <w:rFonts w:ascii="黑体" w:hAnsi="黑体" w:eastAsia="黑体"/>
          <w:b/>
          <w:sz w:val="32"/>
          <w:szCs w:val="32"/>
        </w:rPr>
      </w:pPr>
      <w:bookmarkStart w:id="6" w:name="_Toc382819068"/>
      <w:bookmarkStart w:id="7" w:name="_Toc382818594"/>
      <w:r>
        <w:rPr>
          <w:rFonts w:hint="eastAsia" w:ascii="黑体" w:hAnsi="黑体" w:eastAsia="黑体"/>
          <w:sz w:val="32"/>
          <w:szCs w:val="32"/>
        </w:rPr>
        <w:t>公开募集证券投资基金托管协议</w:t>
      </w:r>
      <w:bookmarkEnd w:id="6"/>
      <w:bookmarkEnd w:id="7"/>
    </w:p>
    <w:p>
      <w:pPr>
        <w:rPr>
          <w:lang w:val="zh-CN"/>
        </w:rPr>
      </w:pPr>
    </w:p>
    <w:p>
      <w:pPr>
        <w:rPr>
          <w:lang w:val="zh-CN"/>
        </w:rPr>
      </w:pPr>
    </w:p>
    <w:p>
      <w:pPr>
        <w:spacing w:line="360" w:lineRule="auto"/>
        <w:rPr>
          <w:rFonts w:ascii="宋体" w:hAnsi="宋体"/>
          <w:sz w:val="24"/>
        </w:rPr>
      </w:pPr>
      <w:bookmarkStart w:id="8" w:name="_Toc382819069"/>
      <w:r>
        <w:rPr>
          <w:rFonts w:hint="eastAsia" w:ascii="宋体" w:hAnsi="宋体"/>
          <w:b/>
          <w:sz w:val="24"/>
        </w:rPr>
        <w:t>基金管理人：</w:t>
      </w:r>
      <w:bookmarkEnd w:id="8"/>
      <w:r>
        <w:rPr>
          <w:rFonts w:hint="eastAsia" w:ascii="宋体" w:hAnsi="宋体"/>
          <w:b/>
          <w:sz w:val="24"/>
        </w:rPr>
        <w:t>英大基金管理有限公司</w:t>
      </w:r>
    </w:p>
    <w:p>
      <w:pPr>
        <w:spacing w:line="360" w:lineRule="auto"/>
        <w:rPr>
          <w:rFonts w:ascii="宋体" w:hAnsi="宋体"/>
          <w:sz w:val="24"/>
        </w:rPr>
      </w:pPr>
      <w:r>
        <w:rPr>
          <w:rFonts w:hint="eastAsia" w:ascii="宋体" w:hAnsi="宋体"/>
          <w:sz w:val="24"/>
        </w:rPr>
        <w:t>住所：北京市朝阳区东三环中路1号环球金融中心西塔22楼2201</w:t>
      </w:r>
    </w:p>
    <w:p>
      <w:pPr>
        <w:spacing w:line="360" w:lineRule="auto"/>
        <w:rPr>
          <w:rFonts w:ascii="宋体" w:hAnsi="宋体"/>
          <w:sz w:val="24"/>
        </w:rPr>
      </w:pPr>
      <w:r>
        <w:rPr>
          <w:rFonts w:hint="eastAsia" w:ascii="宋体" w:hAnsi="宋体"/>
          <w:sz w:val="24"/>
        </w:rPr>
        <w:t>法定代表人：马晓燕</w:t>
      </w:r>
    </w:p>
    <w:p>
      <w:pPr>
        <w:spacing w:line="360" w:lineRule="auto"/>
        <w:rPr>
          <w:rFonts w:ascii="宋体" w:hAnsi="宋体"/>
          <w:sz w:val="24"/>
        </w:rPr>
      </w:pPr>
      <w:r>
        <w:rPr>
          <w:rFonts w:hint="eastAsia" w:ascii="宋体" w:hAnsi="宋体"/>
          <w:sz w:val="24"/>
        </w:rPr>
        <w:t>成立时间：2012年8月17日</w:t>
      </w:r>
    </w:p>
    <w:p>
      <w:pPr>
        <w:spacing w:line="360" w:lineRule="auto"/>
        <w:rPr>
          <w:rFonts w:ascii="宋体" w:hAnsi="宋体"/>
          <w:sz w:val="24"/>
        </w:rPr>
      </w:pPr>
      <w:r>
        <w:rPr>
          <w:rFonts w:hint="eastAsia" w:ascii="宋体" w:hAnsi="宋体"/>
          <w:sz w:val="24"/>
        </w:rPr>
        <w:t>批准设立机关及批准设立文号：中国证监会证监许可〔2012〕759号</w:t>
      </w:r>
    </w:p>
    <w:p>
      <w:pPr>
        <w:spacing w:line="360" w:lineRule="auto"/>
        <w:rPr>
          <w:rFonts w:ascii="宋体" w:hAnsi="宋体"/>
          <w:sz w:val="24"/>
        </w:rPr>
      </w:pPr>
      <w:r>
        <w:rPr>
          <w:rFonts w:hint="eastAsia" w:ascii="宋体" w:hAnsi="宋体"/>
          <w:sz w:val="24"/>
        </w:rPr>
        <w:t>组织形式:有限责任公司（法人独资）</w:t>
      </w:r>
    </w:p>
    <w:p>
      <w:pPr>
        <w:spacing w:line="360" w:lineRule="auto"/>
        <w:rPr>
          <w:rFonts w:ascii="宋体" w:hAnsi="宋体"/>
          <w:sz w:val="24"/>
        </w:rPr>
      </w:pPr>
      <w:r>
        <w:rPr>
          <w:rFonts w:hint="eastAsia" w:ascii="宋体" w:hAnsi="宋体"/>
          <w:sz w:val="24"/>
        </w:rPr>
        <w:t>注册资本：11.46亿元人民币</w:t>
      </w:r>
    </w:p>
    <w:p>
      <w:pPr>
        <w:spacing w:line="360" w:lineRule="auto"/>
        <w:rPr>
          <w:rFonts w:ascii="宋体" w:hAnsi="宋体"/>
          <w:sz w:val="24"/>
        </w:rPr>
      </w:pPr>
      <w:r>
        <w:rPr>
          <w:rFonts w:hint="eastAsia" w:ascii="宋体" w:hAnsi="宋体"/>
          <w:sz w:val="24"/>
        </w:rPr>
        <w:t>经营期限：持续经营</w:t>
      </w:r>
    </w:p>
    <w:p>
      <w:pPr>
        <w:spacing w:line="360" w:lineRule="auto"/>
        <w:rPr>
          <w:rFonts w:ascii="宋体" w:hAnsi="宋体"/>
          <w:sz w:val="24"/>
        </w:rPr>
      </w:pPr>
      <w:r>
        <w:rPr>
          <w:rFonts w:hint="eastAsia" w:ascii="宋体" w:hAnsi="宋体"/>
          <w:sz w:val="24"/>
        </w:rPr>
        <w:t>联系电话：010-57835666、400-890-5288</w:t>
      </w:r>
    </w:p>
    <w:p>
      <w:pPr>
        <w:spacing w:line="360" w:lineRule="auto"/>
        <w:rPr>
          <w:rFonts w:ascii="宋体" w:hAnsi="宋体"/>
          <w:szCs w:val="21"/>
        </w:rPr>
      </w:pPr>
    </w:p>
    <w:p>
      <w:pPr>
        <w:spacing w:line="360" w:lineRule="auto"/>
        <w:rPr>
          <w:rFonts w:asciiTheme="minorEastAsia" w:hAnsiTheme="minorEastAsia" w:eastAsiaTheme="minorEastAsia" w:cstheme="minorEastAsia"/>
          <w:b/>
          <w:sz w:val="24"/>
        </w:rPr>
      </w:pPr>
      <w:bookmarkStart w:id="9" w:name="_Toc382819070"/>
      <w:r>
        <w:rPr>
          <w:rFonts w:hint="eastAsia" w:asciiTheme="minorEastAsia" w:hAnsiTheme="minorEastAsia" w:eastAsiaTheme="minorEastAsia" w:cstheme="minorEastAsia"/>
          <w:b/>
          <w:sz w:val="24"/>
        </w:rPr>
        <w:t>基金托管人：上海浦东发展银行股份有限公司</w:t>
      </w:r>
      <w:bookmarkEnd w:id="9"/>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办公地址：上海市中山东一路12号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法定代表人：郑杨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成立日期：1992年10月19日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批准设立机关和批准设立文号：</w:t>
      </w:r>
      <w:bookmarkStart w:id="10" w:name="_Hlk98172649"/>
      <w:r>
        <w:rPr>
          <w:rFonts w:hint="eastAsia" w:asciiTheme="minorEastAsia" w:hAnsiTheme="minorEastAsia" w:eastAsiaTheme="minorEastAsia" w:cstheme="minorEastAsia"/>
          <w:bCs/>
          <w:sz w:val="24"/>
        </w:rPr>
        <w:t>中国人民银行银复1992（601）号</w:t>
      </w:r>
    </w:p>
    <w:bookmarkEnd w:id="10"/>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基金托管业务资格批准机关：中国证监会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基金托管业务资格文号：证监基金字[2003]105号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组织形式：股份有限公司（上市）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注册资本：人民币293.52亿元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存续期间：永久存续</w:t>
      </w:r>
    </w:p>
    <w:p>
      <w:pPr>
        <w:spacing w:line="360" w:lineRule="auto"/>
        <w:ind w:firstLine="480" w:firstLineChars="200"/>
        <w:rPr>
          <w:rFonts w:ascii="宋体" w:hAnsi="宋体"/>
          <w:sz w:val="24"/>
        </w:rPr>
      </w:pPr>
    </w:p>
    <w:p>
      <w:pPr>
        <w:spacing w:before="120" w:after="120" w:line="240" w:lineRule="atLeast"/>
        <w:jc w:val="center"/>
        <w:outlineLvl w:val="0"/>
        <w:rPr>
          <w:rFonts w:ascii="宋体" w:hAnsi="宋体"/>
          <w:sz w:val="24"/>
        </w:rPr>
        <w:sectPr>
          <w:footerReference r:id="rId6" w:type="default"/>
          <w:pgSz w:w="11906" w:h="16838"/>
          <w:pgMar w:top="1440" w:right="1800" w:bottom="1440" w:left="1800" w:header="851" w:footer="992" w:gutter="0"/>
          <w:pgNumType w:fmt="decimal" w:start="1"/>
          <w:cols w:space="425" w:num="1"/>
          <w:docGrid w:type="lines" w:linePitch="312" w:charSpace="0"/>
        </w:sectPr>
      </w:pPr>
      <w:bookmarkStart w:id="11" w:name="_Toc382819071"/>
    </w:p>
    <w:p>
      <w:pPr>
        <w:spacing w:before="120" w:after="120" w:line="240" w:lineRule="atLeast"/>
        <w:jc w:val="center"/>
        <w:outlineLvl w:val="0"/>
        <w:rPr>
          <w:rFonts w:ascii="宋体" w:hAnsi="宋体"/>
        </w:rPr>
      </w:pPr>
      <w:r>
        <w:rPr>
          <w:rFonts w:hint="eastAsia" w:ascii="宋体" w:hAnsi="宋体"/>
          <w:b/>
          <w:sz w:val="24"/>
        </w:rPr>
        <w:t>一、基金托管协议的依据、目的、原则和解释</w:t>
      </w:r>
      <w:bookmarkEnd w:id="11"/>
    </w:p>
    <w:p>
      <w:pPr>
        <w:spacing w:line="360" w:lineRule="auto"/>
        <w:ind w:firstLine="420" w:firstLineChars="200"/>
        <w:textAlignment w:val="baseline"/>
        <w:rPr>
          <w:rFonts w:ascii="宋体" w:hAnsi="宋体"/>
          <w:szCs w:val="21"/>
        </w:rPr>
      </w:pPr>
      <w:r>
        <w:rPr>
          <w:rFonts w:hint="eastAsia" w:ascii="宋体" w:hAnsi="宋体"/>
          <w:szCs w:val="21"/>
        </w:rPr>
        <w:t>（一）依据</w:t>
      </w:r>
    </w:p>
    <w:p>
      <w:pPr>
        <w:spacing w:line="360" w:lineRule="auto"/>
        <w:ind w:firstLine="420" w:firstLineChars="200"/>
        <w:rPr>
          <w:rFonts w:ascii="宋体" w:hAnsi="宋体"/>
          <w:szCs w:val="21"/>
        </w:rPr>
      </w:pPr>
      <w:r>
        <w:rPr>
          <w:rFonts w:hint="eastAsia" w:ascii="宋体" w:hAnsi="宋体"/>
          <w:szCs w:val="21"/>
        </w:rPr>
        <w:t>本协议依据《中华人民共和国民法典》、《中华人民共和国证券法》、《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证券投资基金托管业务管理办法》、《证券投资基金信息披露内容与格式准则第7号〈托管协议的内容与格式〉》、《英大</w:t>
      </w:r>
      <w:r>
        <w:rPr>
          <w:rFonts w:hint="eastAsia" w:ascii="宋体" w:hAnsi="宋体"/>
          <w:szCs w:val="21"/>
          <w:lang w:eastAsia="zh-CN"/>
        </w:rPr>
        <w:t>延福</w:t>
      </w:r>
      <w:r>
        <w:rPr>
          <w:rFonts w:hint="eastAsia" w:ascii="宋体" w:hAnsi="宋体"/>
          <w:szCs w:val="21"/>
        </w:rPr>
        <w:t>养老目标日期</w:t>
      </w:r>
      <w:r>
        <w:rPr>
          <w:rFonts w:hint="eastAsia" w:ascii="宋体" w:hAnsi="宋体"/>
          <w:szCs w:val="21"/>
          <w:lang w:eastAsia="zh-CN"/>
        </w:rPr>
        <w:t>2060</w:t>
      </w:r>
      <w:r>
        <w:rPr>
          <w:rFonts w:hint="eastAsia" w:ascii="宋体" w:hAnsi="宋体"/>
          <w:szCs w:val="21"/>
        </w:rPr>
        <w:t>三年持有期混合型发起式基金中基金（FOF）基金合同》（以下简称《基金合同》）及其他有关法律、法规制定。</w:t>
      </w:r>
    </w:p>
    <w:p>
      <w:pPr>
        <w:spacing w:line="360" w:lineRule="auto"/>
        <w:ind w:firstLine="420" w:firstLineChars="200"/>
        <w:textAlignment w:val="baseline"/>
        <w:rPr>
          <w:rFonts w:ascii="宋体" w:hAnsi="宋体"/>
          <w:szCs w:val="21"/>
        </w:rPr>
      </w:pPr>
      <w:r>
        <w:rPr>
          <w:rFonts w:hint="eastAsia" w:ascii="宋体" w:hAnsi="宋体"/>
          <w:szCs w:val="21"/>
        </w:rPr>
        <w:t>（二）目的</w:t>
      </w:r>
    </w:p>
    <w:p>
      <w:pPr>
        <w:spacing w:line="360" w:lineRule="auto"/>
        <w:ind w:firstLine="420" w:firstLineChars="200"/>
        <w:rPr>
          <w:rFonts w:ascii="宋体" w:hAnsi="宋体"/>
          <w:szCs w:val="21"/>
        </w:rPr>
      </w:pPr>
      <w:r>
        <w:rPr>
          <w:rFonts w:hint="eastAsia" w:ascii="宋体" w:hAnsi="宋体"/>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pPr>
        <w:spacing w:line="360" w:lineRule="auto"/>
        <w:ind w:firstLine="420" w:firstLineChars="200"/>
        <w:textAlignment w:val="baseline"/>
        <w:rPr>
          <w:rFonts w:ascii="宋体" w:hAnsi="宋体"/>
          <w:szCs w:val="21"/>
        </w:rPr>
      </w:pPr>
      <w:r>
        <w:rPr>
          <w:rFonts w:hint="eastAsia" w:ascii="宋体" w:hAnsi="宋体"/>
          <w:szCs w:val="21"/>
        </w:rPr>
        <w:t>（三）原则</w:t>
      </w:r>
    </w:p>
    <w:p>
      <w:pPr>
        <w:spacing w:line="360" w:lineRule="auto"/>
        <w:ind w:firstLine="420" w:firstLineChars="200"/>
        <w:rPr>
          <w:rFonts w:ascii="宋体" w:hAnsi="宋体"/>
          <w:szCs w:val="21"/>
        </w:rPr>
      </w:pPr>
      <w:r>
        <w:rPr>
          <w:rFonts w:hint="eastAsia" w:ascii="宋体" w:hAnsi="宋体"/>
          <w:szCs w:val="21"/>
        </w:rPr>
        <w:t>基金管理人和基金托管人本着平等自愿、诚实信用、充分保护基金份额持有人合法权益的原则，经协商一致，签订本协议。</w:t>
      </w:r>
    </w:p>
    <w:p>
      <w:pPr>
        <w:spacing w:line="360" w:lineRule="auto"/>
        <w:ind w:firstLine="420" w:firstLineChars="200"/>
        <w:textAlignment w:val="baseline"/>
        <w:rPr>
          <w:rFonts w:ascii="宋体" w:hAnsi="宋体"/>
          <w:szCs w:val="21"/>
        </w:rPr>
      </w:pPr>
      <w:r>
        <w:rPr>
          <w:rFonts w:hint="eastAsia" w:ascii="宋体" w:hAnsi="宋体"/>
          <w:szCs w:val="21"/>
        </w:rPr>
        <w:t>（四）解释</w:t>
      </w:r>
    </w:p>
    <w:p>
      <w:pPr>
        <w:spacing w:line="360" w:lineRule="auto"/>
        <w:ind w:firstLine="420" w:firstLineChars="200"/>
        <w:rPr>
          <w:rFonts w:ascii="宋体" w:hAnsi="宋体"/>
          <w:szCs w:val="21"/>
        </w:rPr>
      </w:pPr>
      <w:r>
        <w:rPr>
          <w:rFonts w:hint="eastAsia" w:ascii="宋体" w:hAnsi="宋体"/>
          <w:szCs w:val="21"/>
        </w:rPr>
        <w:t>除非本协议另有约定，本协议所有术语与《基金合同》的相应术语具有相同含义。</w:t>
      </w:r>
    </w:p>
    <w:p>
      <w:pPr>
        <w:spacing w:line="360" w:lineRule="auto"/>
        <w:ind w:firstLine="420" w:firstLineChars="200"/>
        <w:textAlignment w:val="baseline"/>
        <w:rPr>
          <w:rFonts w:ascii="宋体" w:hAnsi="宋体"/>
          <w:szCs w:val="21"/>
        </w:rPr>
      </w:pPr>
      <w:r>
        <w:rPr>
          <w:rFonts w:hint="eastAsia" w:ascii="宋体" w:hAnsi="宋体"/>
          <w:szCs w:val="21"/>
        </w:rPr>
        <w:t>（五）若本基金实施侧袋机制的，侧袋机制实施期间的相关安排见基金合同和招募说明书的规定。</w:t>
      </w:r>
    </w:p>
    <w:p>
      <w:pPr>
        <w:widowControl/>
        <w:jc w:val="left"/>
        <w:rPr>
          <w:rFonts w:ascii="宋体" w:hAnsi="宋体"/>
          <w:szCs w:val="21"/>
        </w:rPr>
      </w:pPr>
      <w:r>
        <w:rPr>
          <w:rFonts w:ascii="宋体" w:hAnsi="宋体"/>
          <w:b/>
          <w:bCs/>
          <w:szCs w:val="21"/>
        </w:rPr>
        <w:br w:type="page"/>
      </w:r>
    </w:p>
    <w:p>
      <w:pPr>
        <w:spacing w:before="312" w:beforeLines="100" w:after="312" w:afterLines="100" w:line="240" w:lineRule="atLeast"/>
        <w:jc w:val="center"/>
        <w:outlineLvl w:val="0"/>
        <w:rPr>
          <w:rFonts w:ascii="宋体" w:hAnsi="宋体"/>
        </w:rPr>
      </w:pPr>
      <w:bookmarkStart w:id="12" w:name="_Toc382819072"/>
      <w:r>
        <w:rPr>
          <w:rFonts w:hint="eastAsia" w:ascii="宋体" w:hAnsi="宋体"/>
          <w:b/>
          <w:sz w:val="24"/>
        </w:rPr>
        <w:t>二、基金托管人对基金管理人的业务监督和核查</w:t>
      </w:r>
      <w:bookmarkEnd w:id="12"/>
    </w:p>
    <w:p>
      <w:pPr>
        <w:spacing w:line="360" w:lineRule="auto"/>
        <w:ind w:firstLine="420" w:firstLineChars="200"/>
        <w:rPr>
          <w:rFonts w:asciiTheme="minorEastAsia" w:hAnsiTheme="minorEastAsia" w:eastAsiaTheme="minorEastAsia" w:cstheme="minorEastAsia"/>
          <w:szCs w:val="21"/>
        </w:rPr>
      </w:pPr>
      <w:bookmarkStart w:id="13" w:name="_Toc382819073"/>
      <w:r>
        <w:rPr>
          <w:rFonts w:hint="eastAsia" w:asciiTheme="minorEastAsia" w:hAnsiTheme="minorEastAsia" w:eastAsiaTheme="minorEastAsia" w:cstheme="minorEastAsia"/>
          <w:szCs w:val="21"/>
        </w:rPr>
        <w:t>（一）基金托管人对基金管理人的投资行为行使监督权</w:t>
      </w:r>
      <w:bookmarkEnd w:id="13"/>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基金托管人根据有关法律法规的规定和《基金合同》的约定，对下述基金投资范围、投资对象进行监督。《基金合同》明确约定基金投资证券选择标准的，基金管理人应事先或定期向基金托管人提供投资品种池，以便基金托管人对基金实际投资是否符合基金合同关于证券选择标准的约定进行监督。</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本</w:t>
      </w:r>
      <w:r>
        <w:rPr>
          <w:rFonts w:hint="eastAsia" w:asciiTheme="minorEastAsia" w:hAnsiTheme="minorEastAsia" w:eastAsiaTheme="minorEastAsia" w:cstheme="minorEastAsia"/>
          <w:kern w:val="0"/>
          <w:szCs w:val="21"/>
        </w:rPr>
        <w:t>基金将投资于以下金融工具：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基金的投资范围为具有良好流动性的金融工具，包括经中国证监会依法核准或注册的公开募集证券投资基金（含商品基金（包括但不限于商品期货基金和黄金ETF）、香港互认基金、QDII基金及其他经中国证监会核准或注册的基金）、国内依法发行上市的股票（包括主板、创业板及其他经中国证监会核准或注册上市的股票、存托凭证）、港股通标的股票、债券（包括国债、央行票据、金融债券、企业债券、公司债券、中期票据、短期融资券、超短期融资券、次级债券、政府支持机构债券、地方政府债券、可转换债券（含分离交易可转换债券）、可交换债券、证券公司短期公司债券、资产支持证券及其他经中国证监会允许投资的债券）、债券回购、同业存单、银行存款（包括协议存款、通知存款以及定期存款等其他银行存款）、货币市场工具以及中国证监会允许基金中基金投资的其他金融工具，但须符合中国证监会相关规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本基金不投资于股指期货、国债期货及股票期权等衍生类金融工具。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如法律法规或监管机构以后允许基金投资其他品种，基金管理人在履行适当程序后，可以将其纳入投资范围。</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本基金不得投资于相关法律、法规、部门规章及《基金合同》禁止投资的投资工具。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2.基金托管人根据有关法律法规的规定及《基金合同》的约定对下述基金投融资比例进行监督：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（1）按法律法规的规定及《基金合同》的约定，本基金的投资资产配置比例为：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标日期到期日前本基金的投资组合比例为：中国证监会依法核准或注册的公开募集证券投资基金（含商品基金（包括但不限于商品期货基金和黄金ETF）、香港互认基金、QDII基金及其他经中国证监会核准或注册的基金）占基金资产的比例不低于80%，其中，投资于股票（含存托凭证）、股票型基金、混合型基金和商品基金（包括但不限于商品期货基金和黄金ETF）等品种的比例合计原则上不超过60%（</w:t>
      </w:r>
      <w:r>
        <w:rPr>
          <w:rFonts w:hint="eastAsia" w:asciiTheme="minorEastAsia" w:hAnsiTheme="minorEastAsia" w:eastAsiaTheme="minorEastAsia" w:cstheme="minorEastAsia"/>
          <w:szCs w:val="21"/>
          <w:lang w:eastAsia="zh-CN"/>
        </w:rPr>
        <w:t>2060</w:t>
      </w:r>
      <w:r>
        <w:rPr>
          <w:rFonts w:hint="eastAsia" w:asciiTheme="minorEastAsia" w:hAnsiTheme="minorEastAsia" w:eastAsiaTheme="minorEastAsia" w:cstheme="minorEastAsia"/>
          <w:szCs w:val="21"/>
        </w:rPr>
        <w:t>年12月31日以后则合计原则上不高于基金资产的30%），对商品基金投资占基金资产的比例不超过10%</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对</w:t>
      </w:r>
      <w:r>
        <w:rPr>
          <w:rFonts w:hint="eastAsia" w:asciiTheme="minorEastAsia" w:hAnsiTheme="minorEastAsia" w:eastAsiaTheme="minorEastAsia" w:cstheme="minorEastAsia"/>
          <w:szCs w:val="21"/>
        </w:rPr>
        <w:t>货币市场基金的</w:t>
      </w:r>
      <w:r>
        <w:rPr>
          <w:rFonts w:hint="eastAsia" w:asciiTheme="minorEastAsia" w:hAnsiTheme="minorEastAsia" w:eastAsiaTheme="minorEastAsia" w:cstheme="minorEastAsia"/>
          <w:szCs w:val="21"/>
          <w:lang w:val="en-US" w:eastAsia="zh-CN"/>
        </w:rPr>
        <w:t>投资</w:t>
      </w:r>
      <w:r>
        <w:rPr>
          <w:rFonts w:hint="eastAsia" w:asciiTheme="minorEastAsia" w:hAnsiTheme="minorEastAsia" w:eastAsiaTheme="minorEastAsia" w:cstheme="minorEastAsia"/>
          <w:szCs w:val="21"/>
        </w:rPr>
        <w:t>比例不超过基金资产的15%。本基金投资于港股通标的股票的比例不超过股票资产的50%。本基金投资于QDII基金和香港互认基金的比例合计不超过基金资产的20%。本基金所持有现金或到期日在一年以内的政府债券的比例合计不低于基金资产净值的5%，其中现金不包括结算备付金、存出保证金及应收申购款等。权益类资产指股票（含存托凭证）、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如法律法规或监管机构变更投资品种的投资比例限制，基金管理人在履行适当程序后，可以调整上述投资品种的投资比例。</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因基金规模或市场变化等因素导致投资组合不符合上述规定的，基金管理人应在合理的期限内调整基金的投资组合，以符合上述比例限定。法律法规另有规定时，从其规定。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法律法规或监管机构以后允许本基金投资其他品种，基金管理人在履行法律法规或监管部门规定的适当程序并取得基金托管人同意后，可以将其纳入投资范围，并可依据届时有效的法律法规适时合理地调整投资范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（2）根据法律法规的规定及《基金合同》的约定，本基金投资组合遵循以下投资限制：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1）本基金投资经中国证监会依法核准或注册的公开募集的基金的比例不低于本基金资产的80%；</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2）本基金阶段性的权益类资产配置符合下表限制：</w:t>
      </w:r>
    </w:p>
    <w:tbl>
      <w:tblPr>
        <w:tblStyle w:val="21"/>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1417"/>
        <w:gridCol w:w="9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65" w:type="dxa"/>
            <w:vAlign w:val="center"/>
          </w:tcPr>
          <w:p>
            <w:pPr>
              <w:jc w:val="center"/>
              <w:rPr>
                <w:rFonts w:ascii="宋体" w:hAnsi="宋体" w:cs="宋体"/>
                <w:bCs/>
                <w:szCs w:val="21"/>
              </w:rPr>
            </w:pPr>
            <w:r>
              <w:rPr>
                <w:rFonts w:hint="eastAsia" w:ascii="宋体" w:hAnsi="宋体" w:cs="宋体"/>
                <w:bCs/>
                <w:szCs w:val="21"/>
              </w:rPr>
              <w:t>时间段</w:t>
            </w:r>
          </w:p>
        </w:tc>
        <w:tc>
          <w:tcPr>
            <w:tcW w:w="1417" w:type="dxa"/>
            <w:vAlign w:val="center"/>
          </w:tcPr>
          <w:p>
            <w:pPr>
              <w:jc w:val="center"/>
              <w:rPr>
                <w:rFonts w:ascii="宋体" w:hAnsi="宋体" w:cs="宋体"/>
                <w:bCs/>
                <w:szCs w:val="21"/>
              </w:rPr>
            </w:pPr>
            <w:r>
              <w:rPr>
                <w:rFonts w:hint="eastAsia" w:ascii="宋体" w:hAnsi="宋体" w:cs="宋体"/>
                <w:bCs/>
                <w:szCs w:val="21"/>
              </w:rPr>
              <w:t>权益类资产下限</w:t>
            </w:r>
          </w:p>
        </w:tc>
        <w:tc>
          <w:tcPr>
            <w:tcW w:w="964" w:type="dxa"/>
            <w:vAlign w:val="center"/>
          </w:tcPr>
          <w:p>
            <w:pPr>
              <w:jc w:val="center"/>
              <w:rPr>
                <w:rFonts w:ascii="宋体" w:hAnsi="宋体" w:cs="宋体"/>
                <w:bCs/>
                <w:szCs w:val="21"/>
              </w:rPr>
            </w:pPr>
            <w:r>
              <w:rPr>
                <w:rFonts w:hint="eastAsia" w:ascii="宋体" w:hAnsi="宋体" w:cs="宋体"/>
                <w:bCs/>
                <w:szCs w:val="21"/>
              </w:rPr>
              <w:t>中枢值</w:t>
            </w:r>
          </w:p>
        </w:tc>
        <w:tc>
          <w:tcPr>
            <w:tcW w:w="1417" w:type="dxa"/>
            <w:vAlign w:val="center"/>
          </w:tcPr>
          <w:p>
            <w:pPr>
              <w:jc w:val="center"/>
              <w:rPr>
                <w:rFonts w:ascii="宋体" w:hAnsi="宋体" w:cs="宋体"/>
                <w:bCs/>
                <w:szCs w:val="21"/>
              </w:rPr>
            </w:pPr>
            <w:r>
              <w:rPr>
                <w:rFonts w:hint="eastAsia" w:ascii="宋体" w:hAnsi="宋体" w:cs="宋体"/>
                <w:bCs/>
                <w:szCs w:val="21"/>
              </w:rPr>
              <w:t>权益类资产上限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基金合同生效之日至2045年12月31日</w:t>
            </w:r>
          </w:p>
        </w:tc>
        <w:tc>
          <w:tcPr>
            <w:tcW w:w="1417"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35%</w:t>
            </w:r>
          </w:p>
        </w:tc>
        <w:tc>
          <w:tcPr>
            <w:tcW w:w="964"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50%</w:t>
            </w:r>
          </w:p>
        </w:tc>
        <w:tc>
          <w:tcPr>
            <w:tcW w:w="1417"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2046年1月1日至2048年12月31日</w:t>
            </w:r>
          </w:p>
        </w:tc>
        <w:tc>
          <w:tcPr>
            <w:tcW w:w="1417"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33%</w:t>
            </w:r>
          </w:p>
        </w:tc>
        <w:tc>
          <w:tcPr>
            <w:tcW w:w="964"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48%</w:t>
            </w:r>
          </w:p>
        </w:tc>
        <w:tc>
          <w:tcPr>
            <w:tcW w:w="1417"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2049年1月1日至2051年12月31日</w:t>
            </w:r>
          </w:p>
        </w:tc>
        <w:tc>
          <w:tcPr>
            <w:tcW w:w="1417"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30%</w:t>
            </w:r>
          </w:p>
        </w:tc>
        <w:tc>
          <w:tcPr>
            <w:tcW w:w="964"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45%</w:t>
            </w:r>
          </w:p>
        </w:tc>
        <w:tc>
          <w:tcPr>
            <w:tcW w:w="1417"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2052年1月1日至2054年12月31日</w:t>
            </w:r>
          </w:p>
        </w:tc>
        <w:tc>
          <w:tcPr>
            <w:tcW w:w="1417"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25%</w:t>
            </w:r>
          </w:p>
        </w:tc>
        <w:tc>
          <w:tcPr>
            <w:tcW w:w="964"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40%</w:t>
            </w:r>
          </w:p>
        </w:tc>
        <w:tc>
          <w:tcPr>
            <w:tcW w:w="1417"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2055年1月1日至2057年12月31日</w:t>
            </w:r>
          </w:p>
        </w:tc>
        <w:tc>
          <w:tcPr>
            <w:tcW w:w="1417"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15%</w:t>
            </w:r>
          </w:p>
        </w:tc>
        <w:tc>
          <w:tcPr>
            <w:tcW w:w="964"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30%</w:t>
            </w:r>
          </w:p>
        </w:tc>
        <w:tc>
          <w:tcPr>
            <w:tcW w:w="1417"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2058年1月1日至2060年12月31日</w:t>
            </w:r>
          </w:p>
        </w:tc>
        <w:tc>
          <w:tcPr>
            <w:tcW w:w="1417"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5%</w:t>
            </w:r>
          </w:p>
        </w:tc>
        <w:tc>
          <w:tcPr>
            <w:tcW w:w="964"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20%</w:t>
            </w:r>
          </w:p>
        </w:tc>
        <w:tc>
          <w:tcPr>
            <w:tcW w:w="1417"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65"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目标日期（2060年12月31日）以后</w:t>
            </w:r>
          </w:p>
        </w:tc>
        <w:tc>
          <w:tcPr>
            <w:tcW w:w="1417"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0%</w:t>
            </w:r>
          </w:p>
        </w:tc>
        <w:tc>
          <w:tcPr>
            <w:tcW w:w="964"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cs="宋体"/>
                <w:bCs/>
                <w:i w:val="0"/>
                <w:color w:val="auto"/>
                <w:kern w:val="2"/>
                <w:sz w:val="21"/>
                <w:szCs w:val="21"/>
                <w:highlight w:val="none"/>
                <w:u w:val="none"/>
                <w:lang w:val="en-US" w:eastAsia="zh-CN" w:bidi="ar"/>
              </w:rPr>
              <w:t>-</w:t>
            </w:r>
          </w:p>
        </w:tc>
        <w:tc>
          <w:tcPr>
            <w:tcW w:w="1417" w:type="dxa"/>
            <w:vAlign w:val="center"/>
          </w:tcPr>
          <w:p>
            <w:pPr>
              <w:keepNext w:val="0"/>
              <w:keepLines w:val="0"/>
              <w:widowControl/>
              <w:suppressLineNumbers w:val="0"/>
              <w:spacing w:line="240" w:lineRule="auto"/>
              <w:jc w:val="center"/>
              <w:textAlignment w:val="auto"/>
              <w:rPr>
                <w:rFonts w:hint="eastAsia" w:ascii="宋体" w:hAnsi="宋体" w:eastAsia="宋体" w:cs="宋体"/>
                <w:bCs/>
                <w:i w:val="0"/>
                <w:color w:val="auto"/>
                <w:kern w:val="2"/>
                <w:sz w:val="21"/>
                <w:szCs w:val="21"/>
                <w:highlight w:val="none"/>
                <w:u w:val="none"/>
                <w:lang w:val="en-US" w:eastAsia="zh-CN" w:bidi="ar"/>
              </w:rPr>
            </w:pPr>
            <w:r>
              <w:rPr>
                <w:rFonts w:hint="eastAsia" w:ascii="宋体" w:hAnsi="宋体" w:eastAsia="宋体" w:cs="宋体"/>
                <w:bCs/>
                <w:i w:val="0"/>
                <w:color w:val="auto"/>
                <w:kern w:val="2"/>
                <w:sz w:val="21"/>
                <w:szCs w:val="21"/>
                <w:highlight w:val="none"/>
                <w:u w:val="none"/>
                <w:lang w:val="en-US" w:eastAsia="zh-CN" w:bidi="ar"/>
              </w:rPr>
              <w:t>30%</w:t>
            </w:r>
          </w:p>
        </w:tc>
      </w:tr>
    </w:tbl>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基金投资的权益类资产指股票（含存托凭证）、股票型基金和混合型基金，权益类资产中的混合型基金包含以下两类：1）基金合同中明确规定股票资产占基金资产比例为60%以上的混合型基金；2）根据定期报告，最近四个季度末股票资产占基金资产比例均在60%以上的混合型基金；</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3）本基金持有单只基金的市值，不得高于本基金基金资产净值的20%，且不得持有其他基金中基金；</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4）除ETF联接基金外，本基金管理人管理的全部基金中基金持有单只基金不得超过被投资基金净资产的20%，被投资基金净资产规模以最近定期报告披露的规模为准；</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5）本基金不得持有具有复杂、衍生品性质的基金份额，包括分级基金和中国证监会认定的其他基金份额；</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6）本基金投资的子基金</w:t>
      </w:r>
      <w:r>
        <w:rPr>
          <w:rFonts w:hint="eastAsia" w:asciiTheme="minorEastAsia" w:hAnsiTheme="minorEastAsia" w:eastAsiaTheme="minorEastAsia" w:cstheme="minorEastAsia"/>
          <w:bCs/>
          <w:szCs w:val="21"/>
        </w:rPr>
        <w:t>（不含指数基金、ETF和商品基金）</w:t>
      </w:r>
      <w:r>
        <w:rPr>
          <w:rFonts w:hint="eastAsia" w:asciiTheme="minorEastAsia" w:hAnsiTheme="minorEastAsia" w:eastAsiaTheme="minorEastAsia" w:cstheme="minorEastAsia"/>
          <w:kern w:val="0"/>
          <w:szCs w:val="21"/>
        </w:rPr>
        <w:t>运作期限应当不少于2年，最近2年平均季末基金净资产应当不低于2亿元；子基金为指数基金、ETF和商品基金等品种的，运作期限应当不少于1年，最近定期报告披露的季末基金净资产应当不低于1亿元；子基金运作合规，风格清晰，中长期收益良好，业绩波动性较低；子基金的管理人及子基金基金经理最近2年没有重大违法违规行为；</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7）本基金对股票（含存托凭证）、股票型基金、混合型基金和商品基金（含商品期货基金和黄金ETF）的投资比例不超过基金资产的60%</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2060</w:t>
      </w:r>
      <w:r>
        <w:rPr>
          <w:rFonts w:hint="eastAsia" w:asciiTheme="minorEastAsia" w:hAnsiTheme="minorEastAsia" w:eastAsiaTheme="minorEastAsia" w:cstheme="minorEastAsia"/>
          <w:bCs/>
          <w:szCs w:val="21"/>
        </w:rPr>
        <w:t>年12月31日以后则合计原则上不高于基金资产的30%）</w:t>
      </w:r>
      <w:r>
        <w:rPr>
          <w:rFonts w:hint="eastAsia" w:asciiTheme="minorEastAsia" w:hAnsiTheme="minorEastAsia" w:eastAsiaTheme="minorEastAsia" w:cstheme="minorEastAsia"/>
          <w:kern w:val="0"/>
          <w:szCs w:val="21"/>
        </w:rPr>
        <w:t>，其中对商品基金投资占基金资产的比例不超过10%，本基金投资于QDII基金和香港互认基金的比例合计不超过基金资产的20%；</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8）本基金投资于港股通标的股票的比例不超过股票资产的50%；</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9）本基金投资于货币市场基金的比例不超过基金资产的15%；</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10）本基金持有不低于基金资产净值5%的现金或者到期日在一年以内的政府债券，其中现金不包括结算备付金、存出保证金、应收申购款等；</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11）本基金持有一家公司发行的证券（同一家公司在内地和香港同时上市的A+H股合计计算且不含本基金所投资的基金份额），其市值不超过基金资产净值的10%；</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本基金管理人管理的全部基金持有一家公司发行的证券（同一家公司在内地和香港同时上市的A+H股合计计算且不含本基金所投资的基金份额），不超过该证券的10%，完全按照有关指数的构成比例进行证券投资的基金品种可以不受此条款规定的比例限制；</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14）本基金投资于同一原始权益人的各类资产支持证券的比例，不得超过基金资产净值的10%；</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15）本基金持有的全部资产支持证券，其市值不得超过基金资产净值的20％；</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16）本基金持有的同一（指同一信用级别）资产支持证券的比例，不得超过该资产支持证券规模的10%；</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17）本基金管理人管理的全部基金投资于同一原始权益人的各类资产支持证券，不得超过其各类资产支持证券合计规模的10%；</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19）基金财产参与股票发行申购，本基金所申报的金额不超过本基金的总资产，本基金所申报的股票数量不超过拟发行股票公司本次发行股票的总量；</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20）本基金进入全国银行间同业市场进行债券回购的最长期限为1年，债券回购到期后不得展期；</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21）在本基金认购份额的最短持有期内，本基金资产总值不得超过基金资产净值的200%；在本基金认购份额最短持有期到期后，本基金资产总值不超过基金资产净值的140%；</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在本基金开放日，本基金投资于流通受限基金的市值不得超过基金资产净值的10%；流通受限基金是指封闭运作基金、定期开放基金等由基金合同规定明确在一定期限锁定期内不可赎回的基金，但不包括ETF、LOF等可上市交易的基金；</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24）本基金与私募类证券资管产品及中国证监会认定的其他主体为交易对手开展逆回购交易的，可接受质押品的资质要求应当与基金合同约定的投资范围保持一致；</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25）本基金投资于股票、债券等金融工具的，投资品种和比例应当符合本基金的投资目标和投资策略；</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26）本基金投资存托凭证的比例限制依照境内上市交易的股票执行；</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27）法律法规及中国证监会规定的和基金合同约定的其他投资限制。</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因证券市场波动、基金规模变动等基金管理人之外因素致使基金投资不符合前款第（3）、（4）项约定的投资比例的，基金管理人应当在20个交易日内进行调整，但中国证监会规定的特殊情形除外。</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除上述（3）、（4）、（10）、（18）、（23）、（24）项情形之外，因证券市场波动、证券发行人合并、基金规模变动等基金管理人之外的因素致使基金投资比例不符合上述规定的投资比例的，基金管理人应当在10个交易日内进行调整，但中国证监会规定的特殊情形除外。法律法规另有规定的，从其规定。</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kern w:val="0"/>
          <w:szCs w:val="21"/>
        </w:rPr>
        <w:t>法律法规或监管部门取消或变更上述限制，如适用于本基金，基金管理人在履行适当程序后，则本基金投资不再受相关限制或以变更以后的规定为准，但须提前公告，不需要经基金份额持有人大会审议。如本基金增加投资品种，投资限制以法律法规和中国证监会的规定为准。</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基金托管人对上述指标的监督义务，仅限于监督由基金管理人管理且由托管人托管的全部公募基金是否符合上述比例限制。《基金法》及其他有关法律法规或监管部门取消上述限制的，履行法律法规或监管部门规定的适当程序</w:t>
      </w:r>
      <w:r>
        <w:rPr>
          <w:rFonts w:hint="eastAsia" w:asciiTheme="minorEastAsia" w:hAnsiTheme="minorEastAsia" w:eastAsiaTheme="minorEastAsia" w:cstheme="minorEastAsia"/>
          <w:szCs w:val="21"/>
        </w:rPr>
        <w:t>并取得基金托管人同意</w:t>
      </w:r>
      <w:r>
        <w:rPr>
          <w:rFonts w:hint="eastAsia" w:asciiTheme="minorEastAsia" w:hAnsiTheme="minorEastAsia" w:eastAsiaTheme="minorEastAsia" w:cstheme="minorEastAsia"/>
          <w:kern w:val="0"/>
          <w:szCs w:val="21"/>
        </w:rPr>
        <w:t>后，基金不受上述限制。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（3）法律法规允许的基金投资比例调整期限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由于证券、期货市场波动、证券发行人合并、基金规模变动等基金管理人之外的原因导致的投资组合不符合上述约定的比例，不在限制之内，但基金管理人应在10个交易日内进行调整，以达到规定的投资比例限制要求，但中国证监会规定的特殊情形除外。法律法规另有规定的，从其规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协议生效且基金合同生效之日起开始。</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律法规或监管部门对上述投资限制、投资禁止等做出强制性调整的，本基金应当按照法律法规或监管部门的规定执行；如法律法规或监管部门修改或调整上述投资限制、投资禁止性规定，且该等调整或修改属于非强制性的，基金管理人有权在履行法律法规或监管部门规定的适当程序后按照法律法规或监管部门调整或修改后的规定执行，并应向投资者履行信息披露义务。如本基金增加投资品种，投资限制以法律法规和中国证监会的规定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基金管理人应在出现可预见资产规模大幅变动的情况下，至少提前2个工作日正式向基金托管人发函说明基金可能的变动规模和公司应对措施，便于基金托管人实施交易监督。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（4）本基金可以按照国家的有关规定进行融资融券。</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（5）相关法律、法规或部门规章规定的其他比例限制。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3.基金托管人根据有关法律法规的规定及《基金合同》的约定对下述基金投资禁止行为进行监督：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为维护基金份额持有人的合法权益，基金财产不得用于下列投资或者活动：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（1）承销证券；</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（2）违反规定向他人贷款或者提供担保；</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（3）从事承担无限责任的投资；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（4）向其基金管理人、基金托管人出资；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（5）从事内幕交易、操纵证券交易价格及其他不正当的证券交易活动；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（6）法律、行政法规和中国证监会规定禁止的其他活动。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法律、行政法规或监管部门取消或调整上述限制，如适用于本基金，基金管理人在履行适当程序后，则本基金投资不受上述限制或按调整后的规定执行。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4.基金托管人依据有关法律法规的规定和《基金合同》的约定对于基金关联投资限制进行监督。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管理人和基金托管人事先相互提供关联方清单及关联关系。基金管理人有责任确保关联交易名单的真实性、准确性、完整性，并负责及时将更新后的名单发送给基金托管人。名单变更后基金管理人应及时发送基金托管人，经基金托管人确认后，新的关联交易名单开始生效。基金托管人仅按基金管理人提供的基金关联方名单为限，进行监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5.基金托管人</w:t>
      </w:r>
      <w:r>
        <w:rPr>
          <w:rFonts w:hint="eastAsia" w:asciiTheme="minorEastAsia" w:hAnsiTheme="minorEastAsia" w:eastAsiaTheme="minorEastAsia" w:cstheme="minorEastAsia"/>
          <w:kern w:val="0"/>
          <w:szCs w:val="21"/>
        </w:rPr>
        <w:t>依据有关法律法规的规定和《基金合同》的约定</w:t>
      </w:r>
      <w:r>
        <w:rPr>
          <w:rFonts w:hint="eastAsia" w:asciiTheme="minorEastAsia" w:hAnsiTheme="minorEastAsia" w:eastAsiaTheme="minorEastAsia" w:cstheme="minorEastAsia"/>
          <w:szCs w:val="21"/>
        </w:rPr>
        <w:t>对基金管理人参与银行间债券市场进行监督。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管理人应在基金投资运作之前向基金托管人提供符合法律法规及行业标准的、经慎重选择的、本基金适用的银行间债券市场交易对手名单，并约定各交易对手所适用的交易结算方式。基金托管人根据基金管理人提供的银行间债券市场交易对手名单进行监督。基金管理人可以定期对银行间债券市场交易对手名单及结算方式进行更新，新名单确定前已与本次剔除的交易对手所进行但尚未结算的交易，仍应按照协议进行结算。</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基金管理人有责任控制交易对手的资信风险，由于交易对手的资信风险引起的损失，基金管理人应当负责向相关责任人追偿。基金托管人不承担由此引发的责任及损失。</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6.基金托管人依据有关法律法规的规定和《基金合同》的约定，对基金银行存款业务进行监督。</w:t>
      </w:r>
    </w:p>
    <w:p>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基金管理人应当加强对基金投资银行存款风险的评估与研究，严格测算与控制投资银行存款的风险敞口，针对不同类型存款银行建立相关投资限制制度。</w:t>
      </w:r>
      <w:r>
        <w:rPr>
          <w:rFonts w:hint="eastAsia" w:asciiTheme="minorEastAsia" w:hAnsiTheme="minorEastAsia" w:eastAsiaTheme="minorEastAsia" w:cstheme="minorEastAsia"/>
          <w:kern w:val="0"/>
          <w:szCs w:val="21"/>
        </w:rPr>
        <w:t>对于基金投资的银行存款，由于存款银行发生信用风险事件而造成损失时，应先由基金管理人负责赔偿，之后有权向相关责任人进行追偿。如果基金托管人在运作过程中遵循有关法律法规的规定和《基金合同》的约定监督流程，则对于由于存款银行信用风险引起的损失，不承担赔偿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7.基金托管人对基金投资流通受限证券的监督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如下所指“流通受限证券”与本协议以及基金合同所指“流动性受限资产”定义存在不同。就流动性受限资产定义，请参照基金合同的“第二部分  释义”关于流动性受限资产的定义。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基金管理人投资流通受限证券，应事先根据中国证监会相关规定，明确基金投资流通受限证券的比例，制订严格的投资决策流程和风险控制制度，防范流动性风险、法律风险和操作风险等各种风险。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并承担所有损失。对本基金因投资流通受限证券导致的流动性风险，基金托管人不承担任何责任。如因基金管理人原因导致本基金出现损失的，基金托管人不承担任何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基金管理人应在基金投资非公开发行股票后两个交易日内，在中国证监会规定媒介披露所投资非公开发行股票的名称、数量、总成本、账面价值，以及总成本和账面价值占基金资产净值的比例、锁定期等信息。</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基金管理人未遵守相关制度、流动性风险处置方案以及投资额度和比例限制要求，导致基金出现风险使基金托管人承担赔偿责任的，若基金托管人此前已切实履行监督职责的，基金管理人应赔偿基金托管人由此遭受的损失。</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1）中国证监会批准发行非公开发行股票的批准文件。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2）有关非公开发行股票的发行数量、发行价格、锁定期等发行资料。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3）基金拟认购的数量、价格、总成本、账面价值。</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4）该基金投资流通受限证券的投资额度和投资比例控制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r>
        <w:rPr>
          <w:rFonts w:hint="eastAsia" w:asciiTheme="minorEastAsia" w:hAnsiTheme="minorEastAsia" w:eastAsiaTheme="minorEastAsia" w:cstheme="minorEastAsia"/>
          <w:color w:val="000000"/>
          <w:kern w:val="0"/>
          <w:szCs w:val="21"/>
        </w:rPr>
        <w:t>基金托管人应按照《关于基金投资非公开发行股票等流通受限证券有关问题的通知》规定，对基金管理人是否遵守法律法规进行监督，并审核基金管理人提供的有关书面信息。</w:t>
      </w:r>
      <w:r>
        <w:rPr>
          <w:rFonts w:hint="eastAsia" w:asciiTheme="minorEastAsia" w:hAnsiTheme="minorEastAsia" w:eastAsiaTheme="minorEastAsia" w:cstheme="minor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若基金管理人不提供或提供后经基金托管人评估认为可能存在无法消除的风险，基金托管人有权拒绝执行有关指令。因拒绝执行该指令造成基金财产损失的，基金托管人不承担任何责任，并有权报告中国证监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如基金管理人和基金托管人无法就上述问题达成一致，应及时上报中国证监会请求解决。基金托管人履行了本协议规定的监督职责后，不承担任何责任。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（5）相关法律法规对基金投资流通受限证券有新规定的，从其规定。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基金托管人对基金投资中小企业私募债券、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小企业私募债券、中期票据导致的信用风险、流动性风险，基金托管人不承担任何责任。如因基金管理人原因导致基金出现损失的，基金托管人不承担任何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管理人管理的基金在投资中小企业私募债、中期票据前，基金管理人须根据法律、法规、监管部门的规定，制定严格的关于投资中小企业私募债、中期票据的风险控制制度和流动性风险处置预案，基金管理人在此承诺将严格执行该风险控制制度和流动性风险处置预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（二）基金托管人应当依照法律法规和基金合同约定，加强对侧袋机制启用、特定资产处置和信息披露等方面的复核和监督。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如基金托管人经评估认为不满足监管机构规定和基金合同约定实施条件的，基金管理人不得启用侧袋机制。</w:t>
      </w:r>
    </w:p>
    <w:p>
      <w:pPr>
        <w:spacing w:line="360" w:lineRule="auto"/>
        <w:ind w:firstLine="420" w:firstLineChars="200"/>
        <w:rPr>
          <w:rFonts w:asciiTheme="minorEastAsia" w:hAnsiTheme="minorEastAsia" w:eastAsiaTheme="minorEastAsia" w:cstheme="minorEastAsia"/>
          <w:szCs w:val="21"/>
        </w:rPr>
      </w:pPr>
      <w:bookmarkStart w:id="14" w:name="_Toc382819074"/>
      <w:r>
        <w:rPr>
          <w:rFonts w:hint="eastAsia" w:asciiTheme="minorEastAsia" w:hAnsiTheme="minorEastAsia" w:eastAsiaTheme="minorEastAsia" w:cstheme="minorEastAsia"/>
          <w:szCs w:val="21"/>
        </w:rPr>
        <w:t>（三）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14"/>
    </w:p>
    <w:p>
      <w:pPr>
        <w:spacing w:line="360" w:lineRule="auto"/>
        <w:ind w:firstLine="420" w:firstLineChars="200"/>
        <w:rPr>
          <w:rFonts w:asciiTheme="minorEastAsia" w:hAnsiTheme="minorEastAsia" w:eastAsiaTheme="minorEastAsia" w:cstheme="minorEastAsia"/>
          <w:szCs w:val="21"/>
        </w:rPr>
      </w:pPr>
      <w:bookmarkStart w:id="15" w:name="_Toc382819075"/>
      <w:r>
        <w:rPr>
          <w:rFonts w:hint="eastAsia" w:asciiTheme="minorEastAsia" w:hAnsiTheme="minorEastAsia" w:eastAsiaTheme="minorEastAsia" w:cstheme="minorEastAsia"/>
          <w:szCs w:val="21"/>
        </w:rPr>
        <w:t>（四）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5"/>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1.在限期内，基金托管人有权随时对通知事项进行复查，督促基金管理人改正。基金管理人对基金托管人通知的违规事项未能在限期内纠正的，基金托管人应报告中国证监会。</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对于必须于估值完成后方可获知的监控指标或依据交易程序已经成交的投资指令，基金托管人发现该投资指令违反法律法规或者违反《基金合同》约定的，应当立即通知基金管理人，并报告中国证监会。基金管理人的上述违规失信行为给基金财产或基金份额持有人造成的损失，由基金管理人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5.基金托管人发现基金管理人有重大违规行为，应立即报告中国证监会，同时通知基金管理人限期纠正。基金管理人的上述违规失信行为给基金财产或基金份额持有人造成的损失，由基金管理人承担。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基金管理人的上述违规失信行为给基金财产或基金份额持有人造成的损失，由基金管理人承担。</w:t>
      </w:r>
    </w:p>
    <w:p>
      <w:pPr>
        <w:spacing w:line="440" w:lineRule="exact"/>
        <w:ind w:firstLine="420" w:firstLineChars="200"/>
        <w:rPr>
          <w:rFonts w:ascii="宋体" w:hAnsi="宋体"/>
          <w:szCs w:val="21"/>
        </w:rPr>
      </w:pPr>
    </w:p>
    <w:p>
      <w:pPr>
        <w:jc w:val="left"/>
        <w:rPr>
          <w:rFonts w:ascii="宋体" w:hAnsi="宋体"/>
          <w:b/>
          <w:sz w:val="24"/>
        </w:rPr>
      </w:pPr>
      <w:bookmarkStart w:id="16" w:name="_Toc382819076"/>
      <w:r>
        <w:rPr>
          <w:rFonts w:hint="eastAsia" w:ascii="宋体" w:hAnsi="宋体"/>
          <w:b/>
          <w:sz w:val="24"/>
        </w:rPr>
        <w:br w:type="page"/>
      </w:r>
    </w:p>
    <w:p>
      <w:pPr>
        <w:spacing w:before="312" w:beforeLines="100" w:after="312" w:afterLines="100" w:line="240" w:lineRule="atLeast"/>
        <w:jc w:val="center"/>
        <w:outlineLvl w:val="0"/>
        <w:rPr>
          <w:rFonts w:ascii="宋体" w:hAnsi="宋体"/>
        </w:rPr>
      </w:pPr>
      <w:r>
        <w:rPr>
          <w:rFonts w:hint="eastAsia" w:ascii="宋体" w:hAnsi="宋体"/>
          <w:b/>
          <w:sz w:val="24"/>
        </w:rPr>
        <w:t>三、基金管理人对基金托管人的业务核查</w:t>
      </w:r>
      <w:bookmarkEnd w:id="16"/>
    </w:p>
    <w:p>
      <w:pPr>
        <w:spacing w:line="360" w:lineRule="auto"/>
        <w:ind w:firstLine="420" w:firstLineChars="200"/>
        <w:rPr>
          <w:rFonts w:ascii="宋体" w:hAnsi="宋体"/>
          <w:szCs w:val="21"/>
        </w:rPr>
      </w:pPr>
      <w:r>
        <w:rPr>
          <w:rFonts w:hint="eastAsia" w:ascii="宋体" w:hAnsi="宋体"/>
          <w:szCs w:val="21"/>
        </w:rPr>
        <w:t>（一）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基金份额净值、是否根据基金管理人指令办理清算交收、进行相关信息披露和监督基金投资运作等行为。</w:t>
      </w:r>
    </w:p>
    <w:p>
      <w:pPr>
        <w:spacing w:line="360" w:lineRule="auto"/>
        <w:ind w:firstLine="420" w:firstLineChars="200"/>
        <w:rPr>
          <w:rFonts w:ascii="宋体" w:hAnsi="宋体"/>
          <w:szCs w:val="21"/>
        </w:rPr>
      </w:pPr>
      <w:r>
        <w:rPr>
          <w:rFonts w:hint="eastAsia" w:ascii="宋体" w:hAnsi="宋体"/>
          <w:szCs w:val="21"/>
        </w:rPr>
        <w:t>（二）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pPr>
        <w:spacing w:line="360" w:lineRule="auto"/>
        <w:ind w:firstLine="420" w:firstLineChars="200"/>
        <w:rPr>
          <w:rFonts w:ascii="宋体" w:hAnsi="宋体"/>
          <w:szCs w:val="21"/>
        </w:rPr>
      </w:pPr>
      <w:r>
        <w:rPr>
          <w:rFonts w:hint="eastAsia" w:ascii="宋体" w:hAnsi="宋体"/>
          <w:szCs w:val="21"/>
        </w:rPr>
        <w:t>（三）基金托管人应积极配合基金管理人的核查行为，包括但不限于：提交相关资料以供基金管理人核查托管财产的完整性和真实性，在规定时间内答复基金管理人并改正。</w:t>
      </w:r>
    </w:p>
    <w:p>
      <w:pPr>
        <w:spacing w:line="360" w:lineRule="auto"/>
        <w:ind w:firstLine="420" w:firstLineChars="200"/>
        <w:rPr>
          <w:rFonts w:ascii="宋体" w:hAnsi="宋体"/>
          <w:szCs w:val="21"/>
        </w:rPr>
      </w:pPr>
      <w:bookmarkStart w:id="17" w:name="_Toc382818598"/>
      <w:bookmarkStart w:id="18" w:name="_Toc382819077"/>
      <w:r>
        <w:rPr>
          <w:rFonts w:hint="eastAsia" w:ascii="宋体" w:hAnsi="宋体"/>
          <w:szCs w:val="21"/>
        </w:rPr>
        <w:t>（四）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7"/>
      <w:bookmarkEnd w:id="18"/>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jc w:val="left"/>
        <w:rPr>
          <w:rFonts w:ascii="宋体" w:hAnsi="宋体"/>
          <w:b/>
          <w:sz w:val="24"/>
        </w:rPr>
      </w:pPr>
      <w:bookmarkStart w:id="19" w:name="_Toc382819078"/>
      <w:r>
        <w:rPr>
          <w:rFonts w:hint="eastAsia" w:ascii="宋体" w:hAnsi="宋体"/>
          <w:b/>
          <w:sz w:val="24"/>
        </w:rPr>
        <w:br w:type="page"/>
      </w:r>
    </w:p>
    <w:p>
      <w:pPr>
        <w:spacing w:before="312" w:beforeLines="100" w:after="312" w:afterLines="100" w:line="240" w:lineRule="atLeast"/>
        <w:jc w:val="center"/>
        <w:outlineLvl w:val="0"/>
        <w:rPr>
          <w:rFonts w:ascii="宋体" w:hAnsi="宋体"/>
        </w:rPr>
      </w:pPr>
      <w:r>
        <w:rPr>
          <w:rFonts w:hint="eastAsia" w:ascii="宋体" w:hAnsi="宋体"/>
          <w:b/>
          <w:sz w:val="24"/>
        </w:rPr>
        <w:t>四、基金财产保管</w:t>
      </w:r>
      <w:bookmarkEnd w:id="19"/>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sz w:val="21"/>
          <w:szCs w:val="21"/>
        </w:rPr>
      </w:pPr>
      <w:bookmarkStart w:id="20" w:name="_Toc382819079"/>
      <w:r>
        <w:rPr>
          <w:rFonts w:hint="eastAsia" w:asciiTheme="minorEastAsia" w:hAnsiTheme="minorEastAsia" w:eastAsiaTheme="minorEastAsia" w:cstheme="minorEastAsia"/>
          <w:b w:val="0"/>
          <w:bCs w:val="0"/>
          <w:sz w:val="21"/>
          <w:szCs w:val="21"/>
        </w:rPr>
        <w:t>（一）基金财产保管的原则</w:t>
      </w:r>
      <w:bookmarkEnd w:id="20"/>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1.基金财产应独立于基金管理人、基金托管人的固有财产。</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基金托管人应按本协议规定安全保管托管财产。未经基金管理人的指令，不得自行运用、处分、分配基金的任何财产（基金托管人主动扣收的汇划费及依据本协议扣划的托管费等费用除外）。基金托管人不对处于自身实际控制之外的账户及财产承担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3.基金托管人根据相关法律法规、规范性文件为本基金开立资金账户、证券账户、基金账户以及投资所需的其他专用账户。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4.基金托管人对所托管的不同基金财产分别设置账户，与基金托管人的其他业务和其他基金的托管业务实行严格的分账管理，确保基金财产的完整与独立。</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基金托管人对因为基金管理人投资产生的存放或存管在基金托管人以外机构的基金资产，或交由期货公司或证券公司负责清算交收的基金资产（包括但不限于证券交易资金账户内的资金、证券类基金资产、期货保证金账户内的资金、期货合约等）及其收益，由于该等机构或该机构会员单位等本协议当事人外第三方的欺诈、疏忽、过失或破产等原因给基金资产造成的损失等不承担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7.除依据法律法规和基金合同的规定外，基金托管人不得委托第三人托管基金财产。</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sz w:val="21"/>
          <w:szCs w:val="21"/>
        </w:rPr>
      </w:pPr>
      <w:bookmarkStart w:id="21" w:name="_Toc382819080"/>
      <w:r>
        <w:rPr>
          <w:rFonts w:hint="eastAsia" w:asciiTheme="minorEastAsia" w:hAnsiTheme="minorEastAsia" w:eastAsiaTheme="minorEastAsia" w:cstheme="minorEastAsia"/>
          <w:b w:val="0"/>
          <w:bCs w:val="0"/>
          <w:sz w:val="21"/>
          <w:szCs w:val="21"/>
        </w:rPr>
        <w:t>（二）募集资金的验证</w:t>
      </w:r>
      <w:bookmarkEnd w:id="21"/>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募集期内销售机构按销售与服务代理协议的约定，将认购资金划入基金管理人在具有托管资格的商业银行开设的认购专户。该账户由基金管理人开立并管理。基金募集期满，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若基金募集期限届满，未能达到《基金合同》备案的条件，由基金管理人按规定办理退款事宜。</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sz w:val="21"/>
          <w:szCs w:val="21"/>
        </w:rPr>
      </w:pPr>
      <w:bookmarkStart w:id="22" w:name="_Toc382819081"/>
      <w:r>
        <w:rPr>
          <w:rFonts w:hint="eastAsia" w:asciiTheme="minorEastAsia" w:hAnsiTheme="minorEastAsia" w:eastAsiaTheme="minorEastAsia" w:cstheme="minorEastAsia"/>
          <w:b w:val="0"/>
          <w:bCs w:val="0"/>
          <w:sz w:val="21"/>
          <w:szCs w:val="21"/>
        </w:rPr>
        <w:t>（三）基金资产托管专户的开立和管理</w:t>
      </w:r>
      <w:bookmarkEnd w:id="22"/>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基金托管人以基金的名义在其营业机构开设资产托管专户，并根据基金管理人合法合规的有效指令办理资金收付。基金管理人应根据法律法规及基金托管人的相关要求，提供开户所需的资料并提供其他必要协助。本基金的资产托管专户的预留印鉴的印章由基金托管人刻制、保管和使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基金的一切货币收支活动，均需通过基金托管人或基金的资产托管专户进行。基金的资产托管专户的开立和使用，限于满足开展本基金业务的需要。资产托管专户不得用于存取现金或开立网银转账等功能。除因本基金业务需要，基金托管人和基金管理人不得假借本基金的名义开立其他任何银行账户；亦不得使用以基金名义开立的银行账户进行本基金业务以外的活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3.资产托管专户的管理应符合《人民币银行结算账户管理办法》、《现金管理暂行条例》、《人民币利率管理规定》、《利率管理暂行规定》、《支付结算办法》以及银行业监督管理机构的其他有关规定。</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sz w:val="21"/>
          <w:szCs w:val="21"/>
        </w:rPr>
      </w:pPr>
      <w:bookmarkStart w:id="23" w:name="_Toc382819082"/>
      <w:r>
        <w:rPr>
          <w:rFonts w:hint="eastAsia" w:asciiTheme="minorEastAsia" w:hAnsiTheme="minorEastAsia" w:eastAsiaTheme="minorEastAsia" w:cstheme="minorEastAsia"/>
          <w:b w:val="0"/>
          <w:bCs w:val="0"/>
          <w:sz w:val="21"/>
          <w:szCs w:val="21"/>
        </w:rPr>
        <w:t>（四）基金证券账户与证券交易资金账户的开设和管理</w:t>
      </w:r>
      <w:bookmarkEnd w:id="23"/>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1．基金托管人以基金托管人和本基金联名的方式在中国证券登记结算有限公司上海分公司/深圳分公司开立专门的证券账户。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3.基金证券账户的开立和原始开户材料的保管由基金托管人负责，账户资产的管理和运用由基金管理人负责。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sz w:val="21"/>
          <w:szCs w:val="21"/>
        </w:rPr>
      </w:pPr>
      <w:bookmarkStart w:id="24" w:name="_Toc382819083"/>
      <w:r>
        <w:rPr>
          <w:rFonts w:hint="eastAsia" w:asciiTheme="minorEastAsia" w:hAnsiTheme="minorEastAsia" w:eastAsiaTheme="minorEastAsia" w:cstheme="minorEastAsia"/>
          <w:b w:val="0"/>
          <w:bCs w:val="0"/>
          <w:sz w:val="21"/>
          <w:szCs w:val="21"/>
        </w:rPr>
        <w:t>（五）银行间市场债券托管和资金结算专户的开立和管理及市场准入备案</w:t>
      </w:r>
      <w:bookmarkEnd w:id="24"/>
    </w:p>
    <w:p>
      <w:pPr>
        <w:spacing w:line="360" w:lineRule="auto"/>
        <w:ind w:firstLine="420" w:firstLineChars="200"/>
        <w:rPr>
          <w:rFonts w:asciiTheme="minorEastAsia" w:hAnsiTheme="minorEastAsia" w:eastAsiaTheme="minorEastAsia" w:cstheme="minorEastAsia"/>
          <w:szCs w:val="21"/>
        </w:rPr>
      </w:pPr>
      <w:bookmarkStart w:id="25" w:name="_Toc382819084"/>
      <w:r>
        <w:rPr>
          <w:rFonts w:hint="eastAsia" w:asciiTheme="minorEastAsia" w:hAnsiTheme="minorEastAsia" w:eastAsiaTheme="minorEastAsia" w:cstheme="minor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5"/>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rPr>
        <w:t>（六）其他账户的开设和管理</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1、因业务发展而需要开立的其它账户，可以根据《基金合同》或有关法律法规的规定，经基金管理人和基金托管人协商一致后，由基金托管人负责为基金开立。新账户按有关规则使用并管理。</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2、法律、法规等有关规定对相关账户的开立和管理另有规定的，从其规定办理。</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sz w:val="21"/>
          <w:szCs w:val="21"/>
        </w:rPr>
      </w:pPr>
      <w:bookmarkStart w:id="26" w:name="_Toc382819085"/>
      <w:r>
        <w:rPr>
          <w:rFonts w:hint="eastAsia" w:asciiTheme="minorEastAsia" w:hAnsiTheme="minorEastAsia" w:eastAsiaTheme="minorEastAsia" w:cstheme="minorEastAsia"/>
          <w:b w:val="0"/>
          <w:bCs w:val="0"/>
          <w:sz w:val="21"/>
          <w:szCs w:val="21"/>
        </w:rPr>
        <w:t>（七）基金投资银行存款账户的开立和管理</w:t>
      </w:r>
      <w:bookmarkEnd w:id="26"/>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1.基金投资银行定期存款，基金管理人与基金托管人应比照相关规定，就本基金投资银行存款业务签订书面协议。</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2.基金投资银行定期存款应由基金管理人与存款银行总行或其授权分行签订总体合作协议，并将资金存放于存款银行总行或其授权分行指定的分支机构。</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3.存款账户必须以基金名义开立，账户名称为基金名称，存款账户开户文件上加盖预留印鉴及基金管理人公章。</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4.本基金投资银行存款时，基金管理人应当与存款银行签订具体存款协议，明确存款的类型、期限、利率、金额、账号、对账方式、支取方式、账户管理等细则。</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5.为防范特殊情况下的流动性风险，定期存款协议中应当约定提前支取条款。</w:t>
      </w:r>
    </w:p>
    <w:p>
      <w:pPr>
        <w:tabs>
          <w:tab w:val="left" w:pos="4680"/>
        </w:tabs>
        <w:spacing w:line="360" w:lineRule="auto"/>
        <w:ind w:firstLine="420" w:firstLineChars="200"/>
        <w:rPr>
          <w:rFonts w:asciiTheme="minorEastAsia" w:hAnsiTheme="minorEastAsia" w:eastAsiaTheme="minorEastAsia" w:cstheme="minorEastAsia"/>
          <w:szCs w:val="21"/>
        </w:rPr>
      </w:pPr>
      <w:bookmarkStart w:id="27" w:name="_Toc382819086"/>
      <w:r>
        <w:rPr>
          <w:rFonts w:hint="eastAsia" w:asciiTheme="minorEastAsia" w:hAnsiTheme="minorEastAsia" w:eastAsiaTheme="minorEastAsia" w:cstheme="minorEastAsia"/>
          <w:szCs w:val="21"/>
        </w:rPr>
        <w:t>6.基金所投资定期存款存续期间，基金管理人、基金托管人应当与存款银行建立定期对账机制，确保基金银行存款业务账目及核对的真实、准确。</w:t>
      </w:r>
      <w:bookmarkEnd w:id="27"/>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sz w:val="21"/>
          <w:szCs w:val="21"/>
        </w:rPr>
      </w:pPr>
      <w:bookmarkStart w:id="28" w:name="_Toc382819087"/>
      <w:r>
        <w:rPr>
          <w:rFonts w:hint="eastAsia" w:asciiTheme="minorEastAsia" w:hAnsiTheme="minorEastAsia" w:eastAsiaTheme="minorEastAsia" w:cstheme="minorEastAsia"/>
          <w:b w:val="0"/>
          <w:bCs w:val="0"/>
          <w:sz w:val="21"/>
          <w:szCs w:val="21"/>
        </w:rPr>
        <w:t>（八）基金财产投资的有关实物证券、银行定期存款存单等有价凭证的保管</w:t>
      </w:r>
      <w:bookmarkEnd w:id="28"/>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（九）与基金财产有关的重大合同的保管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管期限不低于法律法规规定的最低年限。基金管理人未将相关合同送达基金托管人的，基金托管人对相关合同不承担保管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对于无法取得二份以上的正本的，基金管理人应向基金托管人提供与合同原件核对一致的并加盖基金管理人公章的合同传真件或复印件，未经双方协商一致，合同原件不得转移。</w:t>
      </w:r>
    </w:p>
    <w:p>
      <w:pPr>
        <w:spacing w:line="360" w:lineRule="auto"/>
        <w:ind w:firstLine="420" w:firstLineChars="200"/>
        <w:rPr>
          <w:rFonts w:ascii="宋体" w:hAnsi="宋体"/>
          <w:szCs w:val="21"/>
        </w:rPr>
      </w:pPr>
    </w:p>
    <w:p>
      <w:pPr>
        <w:jc w:val="left"/>
        <w:rPr>
          <w:rFonts w:ascii="宋体" w:hAnsi="宋体"/>
          <w:b/>
          <w:sz w:val="24"/>
        </w:rPr>
      </w:pPr>
      <w:bookmarkStart w:id="29" w:name="_Toc382819088"/>
      <w:r>
        <w:rPr>
          <w:rFonts w:hint="eastAsia" w:ascii="宋体" w:hAnsi="宋体"/>
          <w:b/>
          <w:sz w:val="24"/>
        </w:rPr>
        <w:br w:type="page"/>
      </w:r>
    </w:p>
    <w:p>
      <w:pPr>
        <w:spacing w:before="312" w:beforeLines="100" w:after="312" w:afterLines="100" w:line="240" w:lineRule="atLeast"/>
        <w:jc w:val="center"/>
        <w:outlineLvl w:val="0"/>
        <w:rPr>
          <w:rFonts w:ascii="宋体" w:hAnsi="宋体"/>
        </w:rPr>
      </w:pPr>
      <w:r>
        <w:rPr>
          <w:rFonts w:hint="eastAsia" w:ascii="宋体" w:hAnsi="宋体"/>
          <w:b/>
          <w:sz w:val="24"/>
        </w:rPr>
        <w:t>五、指令的发送、确认和执行</w:t>
      </w:r>
      <w:bookmarkEnd w:id="29"/>
    </w:p>
    <w:p>
      <w:pPr>
        <w:spacing w:line="360" w:lineRule="auto"/>
        <w:ind w:firstLine="420" w:firstLineChars="200"/>
        <w:rPr>
          <w:rFonts w:ascii="宋体" w:hAnsi="宋体"/>
          <w:szCs w:val="21"/>
        </w:rPr>
      </w:pPr>
      <w:bookmarkStart w:id="30" w:name="_Toc382819089"/>
      <w:r>
        <w:rPr>
          <w:rFonts w:hint="eastAsia" w:ascii="宋体" w:hAnsi="宋体"/>
          <w:szCs w:val="21"/>
        </w:rPr>
        <w:t>基金管理人在运用基金财产时向基金托管人发送资金划拨及其他款项付款指令，基金托管人执行基金管理人合法合规且符合本协议相关约定的指令、办理基金名下的资金往来等有关事项。</w:t>
      </w:r>
      <w:bookmarkEnd w:id="30"/>
    </w:p>
    <w:p>
      <w:pPr>
        <w:spacing w:line="360" w:lineRule="auto"/>
        <w:ind w:firstLine="420" w:firstLineChars="200"/>
        <w:rPr>
          <w:rFonts w:ascii="宋体" w:hAnsi="宋体"/>
          <w:szCs w:val="21"/>
        </w:rPr>
      </w:pPr>
      <w:r>
        <w:rPr>
          <w:rFonts w:hint="eastAsia" w:ascii="宋体" w:hAnsi="宋体"/>
          <w:szCs w:val="21"/>
        </w:rPr>
        <w:t>基金管理人发送的指令包括电子指令和纸质指令。</w:t>
      </w:r>
    </w:p>
    <w:p>
      <w:pPr>
        <w:spacing w:line="360" w:lineRule="auto"/>
        <w:ind w:firstLine="420" w:firstLineChars="200"/>
        <w:rPr>
          <w:rFonts w:ascii="宋体" w:hAnsi="宋体"/>
          <w:szCs w:val="21"/>
        </w:rPr>
      </w:pPr>
      <w:r>
        <w:rPr>
          <w:rFonts w:hint="eastAsia" w:ascii="宋体" w:hAnsi="宋体"/>
          <w:szCs w:val="21"/>
        </w:rPr>
        <w:t>管理人在启用电子指令前，应与托管人另行签署托管电子指令直连协议或网上托管服务协议。管理人在发送纸质指令前，应根据双方约定的方式提供传真号、发送指令附件的邮箱地址以及指令确认人员及其联系方式。</w:t>
      </w:r>
    </w:p>
    <w:p>
      <w:pPr>
        <w:pStyle w:val="3"/>
        <w:keepNext w:val="0"/>
        <w:keepLines w:val="0"/>
        <w:spacing w:before="0" w:after="0" w:line="360" w:lineRule="auto"/>
        <w:ind w:firstLine="420" w:firstLineChars="200"/>
        <w:textAlignment w:val="baseline"/>
        <w:rPr>
          <w:rFonts w:ascii="宋体" w:hAnsi="宋体" w:eastAsia="宋体"/>
          <w:b w:val="0"/>
          <w:bCs w:val="0"/>
          <w:sz w:val="21"/>
          <w:szCs w:val="21"/>
        </w:rPr>
      </w:pPr>
      <w:bookmarkStart w:id="31" w:name="_Toc382819090"/>
      <w:r>
        <w:rPr>
          <w:rFonts w:hint="eastAsia" w:ascii="宋体" w:hAnsi="宋体" w:eastAsia="宋体"/>
          <w:b w:val="0"/>
          <w:bCs w:val="0"/>
          <w:sz w:val="21"/>
          <w:szCs w:val="21"/>
        </w:rPr>
        <w:t>（一）基金管理人对发送指令人员的书面授权</w:t>
      </w:r>
      <w:bookmarkEnd w:id="31"/>
    </w:p>
    <w:p>
      <w:pPr>
        <w:spacing w:line="360" w:lineRule="auto"/>
        <w:ind w:firstLine="420" w:firstLineChars="200"/>
        <w:rPr>
          <w:rFonts w:ascii="宋体" w:hAnsi="宋体"/>
          <w:szCs w:val="21"/>
        </w:rPr>
      </w:pPr>
      <w:bookmarkStart w:id="32" w:name="_Toc382819091"/>
      <w:bookmarkStart w:id="33" w:name="_Toc382818601"/>
      <w:r>
        <w:rPr>
          <w:rFonts w:hint="eastAsia" w:ascii="宋体" w:hAnsi="宋体"/>
          <w:szCs w:val="21"/>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划款指令授权书无论基金成立时或后续更新，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应将划款指令授权书变更通知的正本送交基金托管人，划款指令授权书原件未按时送达基金托管人的，基金托管人有权拒绝执行该授权书对应的划款指令，基金托管人不承担由此造成的损失。基金管理人和基金托管人对授权文件负有保密义务，其内容不得向授权人、被授权人及相关操作人员以外的任何人泄露</w:t>
      </w:r>
      <w:bookmarkEnd w:id="32"/>
      <w:bookmarkEnd w:id="33"/>
      <w:r>
        <w:rPr>
          <w:rFonts w:hint="eastAsia" w:ascii="宋体" w:hAnsi="宋体"/>
          <w:szCs w:val="21"/>
        </w:rPr>
        <w:t>，但法律法规或有权机关另有要求的除外。</w:t>
      </w:r>
    </w:p>
    <w:p>
      <w:pPr>
        <w:pStyle w:val="3"/>
        <w:keepNext w:val="0"/>
        <w:keepLines w:val="0"/>
        <w:spacing w:before="0" w:after="0" w:line="360" w:lineRule="auto"/>
        <w:ind w:firstLine="420" w:firstLineChars="200"/>
        <w:textAlignment w:val="baseline"/>
        <w:rPr>
          <w:rFonts w:ascii="宋体" w:hAnsi="宋体" w:eastAsia="宋体"/>
          <w:b w:val="0"/>
          <w:bCs w:val="0"/>
          <w:sz w:val="21"/>
          <w:szCs w:val="21"/>
        </w:rPr>
      </w:pPr>
      <w:bookmarkStart w:id="34" w:name="_Toc382819092"/>
      <w:r>
        <w:rPr>
          <w:rFonts w:hint="eastAsia" w:ascii="宋体" w:hAnsi="宋体" w:eastAsia="宋体"/>
          <w:b w:val="0"/>
          <w:bCs w:val="0"/>
          <w:sz w:val="21"/>
          <w:szCs w:val="21"/>
        </w:rPr>
        <w:t>（二）指令的内容</w:t>
      </w:r>
      <w:bookmarkEnd w:id="34"/>
    </w:p>
    <w:p>
      <w:pPr>
        <w:tabs>
          <w:tab w:val="left" w:pos="4680"/>
        </w:tabs>
        <w:spacing w:line="360" w:lineRule="auto"/>
        <w:ind w:firstLine="420" w:firstLineChars="200"/>
        <w:rPr>
          <w:rFonts w:ascii="宋体" w:hAnsi="宋体"/>
          <w:szCs w:val="21"/>
        </w:rPr>
      </w:pPr>
      <w:r>
        <w:rPr>
          <w:rFonts w:hint="eastAsia" w:ascii="宋体" w:hAnsi="宋体"/>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pPr>
        <w:tabs>
          <w:tab w:val="left" w:pos="4680"/>
        </w:tabs>
        <w:spacing w:line="360" w:lineRule="auto"/>
        <w:ind w:firstLine="420" w:firstLineChars="200"/>
        <w:rPr>
          <w:rFonts w:ascii="宋体" w:hAnsi="宋体"/>
          <w:szCs w:val="21"/>
        </w:rPr>
      </w:pPr>
      <w:r>
        <w:rPr>
          <w:rFonts w:hint="eastAsia" w:ascii="宋体" w:hAnsi="宋体"/>
          <w:szCs w:val="21"/>
        </w:rPr>
        <w:t>2．基金管理人发给基金托管人的指令应写明付款账号、付款户名、开户行、收款账号、收款户名、开户行、款项事由、支付时间、到账时间、金额、账户等，加盖预留印鉴并有被授权人签字。</w:t>
      </w:r>
    </w:p>
    <w:p>
      <w:pPr>
        <w:pStyle w:val="3"/>
        <w:keepNext w:val="0"/>
        <w:keepLines w:val="0"/>
        <w:spacing w:before="0" w:after="0" w:line="360" w:lineRule="auto"/>
        <w:ind w:firstLine="420" w:firstLineChars="200"/>
        <w:textAlignment w:val="baseline"/>
        <w:rPr>
          <w:rFonts w:ascii="宋体" w:hAnsi="宋体" w:eastAsia="宋体"/>
          <w:b w:val="0"/>
          <w:bCs w:val="0"/>
          <w:sz w:val="21"/>
          <w:szCs w:val="21"/>
        </w:rPr>
      </w:pPr>
      <w:bookmarkStart w:id="35" w:name="_Toc382819093"/>
      <w:r>
        <w:rPr>
          <w:rFonts w:hint="eastAsia" w:ascii="宋体" w:hAnsi="宋体" w:eastAsia="宋体"/>
          <w:b w:val="0"/>
          <w:bCs w:val="0"/>
          <w:sz w:val="21"/>
          <w:szCs w:val="21"/>
        </w:rPr>
        <w:t>（三）指令的发送、确认和执行的时间和程序</w:t>
      </w:r>
      <w:bookmarkEnd w:id="35"/>
    </w:p>
    <w:p>
      <w:pPr>
        <w:spacing w:line="360" w:lineRule="auto"/>
        <w:ind w:firstLine="420" w:firstLineChars="200"/>
        <w:rPr>
          <w:rFonts w:ascii="宋体" w:hAnsi="宋体"/>
          <w:szCs w:val="21"/>
        </w:rPr>
      </w:pPr>
      <w:r>
        <w:rPr>
          <w:rFonts w:hint="eastAsia" w:ascii="宋体" w:hAnsi="宋体"/>
          <w:szCs w:val="21"/>
        </w:rPr>
        <w:t>1.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任何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非担保交收指令、新股、新债、增发等申购指令）应在15点（指令截至时间）前提交托管人，如基金管理人要求当天某一时点到账，则指令需提前2个工作小时（工作时间9点至11点30分，13点至17点）提交托管人。</w:t>
      </w:r>
    </w:p>
    <w:p>
      <w:pPr>
        <w:spacing w:line="360" w:lineRule="auto"/>
        <w:ind w:firstLine="420" w:firstLineChars="200"/>
        <w:rPr>
          <w:rFonts w:ascii="宋体" w:hAnsi="宋体"/>
          <w:szCs w:val="21"/>
        </w:rPr>
      </w:pPr>
      <w:r>
        <w:rPr>
          <w:rFonts w:hint="eastAsia" w:ascii="宋体" w:hAnsi="宋体"/>
          <w:szCs w:val="21"/>
        </w:rPr>
        <w:t>2.新股、新债、增发等申购指令，基金管理人须在申购前1个工作日向基金托管人发送指令，如需在申购当日下达指令，基金管理人应为基金托管人留出执行指令所必需的时间，指令最迟不得晚于上午11：00点（指令截至时间）提交基金托管人。</w:t>
      </w:r>
    </w:p>
    <w:p>
      <w:pPr>
        <w:spacing w:line="360" w:lineRule="auto"/>
        <w:ind w:firstLine="420" w:firstLineChars="200"/>
        <w:rPr>
          <w:rFonts w:ascii="宋体" w:hAnsi="宋体"/>
          <w:szCs w:val="21"/>
        </w:rPr>
      </w:pPr>
      <w:r>
        <w:rPr>
          <w:rFonts w:hint="eastAsia" w:ascii="宋体" w:hAnsi="宋体"/>
          <w:szCs w:val="21"/>
        </w:rPr>
        <w:t>3.如划款指令中给予基金托管人的划拨时间小于2个工作小时或晚于前述指令截至时间的，基金托管人应尽力在指定时间内完成资金划拨，但不承担因时间不足导致执行失败的责任。</w:t>
      </w:r>
    </w:p>
    <w:p>
      <w:pPr>
        <w:spacing w:line="360" w:lineRule="auto"/>
        <w:ind w:firstLine="420" w:firstLineChars="200"/>
        <w:rPr>
          <w:rFonts w:ascii="宋体" w:hAnsi="宋体"/>
          <w:szCs w:val="21"/>
        </w:rPr>
      </w:pPr>
      <w:r>
        <w:rPr>
          <w:rFonts w:hint="eastAsia" w:ascii="宋体" w:hAnsi="宋体"/>
          <w:szCs w:val="21"/>
        </w:rPr>
        <w:t>4.基金管理人原因造成的指令传输不及时、未能留出足够划款所需时间，致使资金未能及时到账所造成的损失由基金管理人承担。基金管理人应在交易结束后将同业市场债券交易成交单加盖预留印鉴后及时传真给基金托管人并电话通知基金托管人。</w:t>
      </w:r>
    </w:p>
    <w:p>
      <w:pPr>
        <w:spacing w:line="360" w:lineRule="auto"/>
        <w:ind w:firstLine="420" w:firstLineChars="200"/>
        <w:rPr>
          <w:rFonts w:ascii="宋体" w:hAnsi="宋体"/>
          <w:szCs w:val="21"/>
        </w:rPr>
      </w:pPr>
      <w:r>
        <w:rPr>
          <w:rFonts w:hint="eastAsia" w:ascii="宋体" w:hAnsi="宋体"/>
          <w:szCs w:val="21"/>
        </w:rPr>
        <w:t>5.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pPr>
        <w:spacing w:line="360" w:lineRule="auto"/>
        <w:ind w:firstLine="420" w:firstLineChars="200"/>
        <w:rPr>
          <w:rFonts w:ascii="宋体" w:hAnsi="宋体"/>
          <w:szCs w:val="21"/>
        </w:rPr>
      </w:pPr>
      <w:r>
        <w:rPr>
          <w:rFonts w:hint="eastAsia" w:ascii="宋体" w:hAnsi="宋体"/>
          <w:szCs w:val="21"/>
        </w:rPr>
        <w:t>6.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pPr>
        <w:pStyle w:val="3"/>
        <w:keepNext w:val="0"/>
        <w:keepLines w:val="0"/>
        <w:spacing w:before="0" w:after="0" w:line="360" w:lineRule="auto"/>
        <w:ind w:firstLine="420" w:firstLineChars="200"/>
        <w:textAlignment w:val="baseline"/>
        <w:rPr>
          <w:rFonts w:ascii="宋体" w:hAnsi="宋体" w:eastAsia="宋体"/>
          <w:b w:val="0"/>
          <w:bCs w:val="0"/>
          <w:sz w:val="21"/>
          <w:szCs w:val="21"/>
        </w:rPr>
      </w:pPr>
      <w:bookmarkStart w:id="36" w:name="_Toc382819094"/>
      <w:r>
        <w:rPr>
          <w:rFonts w:hint="eastAsia" w:ascii="宋体" w:hAnsi="宋体" w:eastAsia="宋体"/>
          <w:b w:val="0"/>
          <w:bCs w:val="0"/>
          <w:sz w:val="21"/>
          <w:szCs w:val="21"/>
        </w:rPr>
        <w:t>（四）基金管理人发送错误指令的情形和处理程序</w:t>
      </w:r>
      <w:bookmarkEnd w:id="36"/>
    </w:p>
    <w:p>
      <w:pPr>
        <w:spacing w:line="360" w:lineRule="auto"/>
        <w:ind w:firstLine="420" w:firstLineChars="200"/>
        <w:rPr>
          <w:rFonts w:ascii="宋体" w:hAnsi="宋体"/>
          <w:szCs w:val="21"/>
        </w:rPr>
      </w:pPr>
      <w:r>
        <w:rPr>
          <w:rFonts w:hint="eastAsia" w:ascii="宋体" w:hAnsi="宋体"/>
          <w:szCs w:val="21"/>
        </w:rPr>
        <w:t>1.基金管理人发送错误指令的情形包括但不限于指令发送人员无权或超越权限发送指令及交割信息错误，指令中重要信息模糊不清或不全，指令违反法律法规和《基金合同》及本协议约定等。</w:t>
      </w:r>
    </w:p>
    <w:p>
      <w:pPr>
        <w:spacing w:line="360" w:lineRule="auto"/>
        <w:ind w:firstLine="420" w:firstLineChars="200"/>
        <w:rPr>
          <w:rFonts w:ascii="宋体" w:hAnsi="宋体"/>
          <w:szCs w:val="21"/>
          <w:lang w:val="zh-CN"/>
        </w:rPr>
      </w:pPr>
      <w:r>
        <w:rPr>
          <w:rFonts w:hint="eastAsia" w:ascii="宋体" w:hAnsi="宋体"/>
          <w:szCs w:val="21"/>
        </w:rPr>
        <w:t>2.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pPr>
        <w:pStyle w:val="3"/>
        <w:keepNext w:val="0"/>
        <w:keepLines w:val="0"/>
        <w:spacing w:before="0" w:after="0" w:line="360" w:lineRule="auto"/>
        <w:ind w:firstLine="420" w:firstLineChars="200"/>
        <w:textAlignment w:val="baseline"/>
        <w:rPr>
          <w:rFonts w:ascii="宋体" w:hAnsi="宋体" w:eastAsia="宋体"/>
          <w:b w:val="0"/>
          <w:bCs w:val="0"/>
          <w:sz w:val="21"/>
          <w:szCs w:val="21"/>
        </w:rPr>
      </w:pPr>
      <w:bookmarkStart w:id="37" w:name="_Toc382819095"/>
      <w:r>
        <w:rPr>
          <w:rFonts w:hint="eastAsia" w:ascii="宋体" w:hAnsi="宋体" w:eastAsia="宋体"/>
          <w:b w:val="0"/>
          <w:bCs w:val="0"/>
          <w:sz w:val="21"/>
          <w:szCs w:val="21"/>
        </w:rPr>
        <w:t>（五）基金托管人未按照基金管理人指令执行的处理方法</w:t>
      </w:r>
      <w:bookmarkEnd w:id="37"/>
    </w:p>
    <w:p>
      <w:pPr>
        <w:spacing w:line="360" w:lineRule="auto"/>
        <w:ind w:firstLine="420" w:firstLineChars="200"/>
        <w:rPr>
          <w:rFonts w:ascii="宋体" w:hAnsi="宋体"/>
          <w:szCs w:val="21"/>
        </w:rPr>
      </w:pPr>
      <w:r>
        <w:rPr>
          <w:rFonts w:hint="eastAsia" w:ascii="宋体" w:hAnsi="宋体"/>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pPr>
        <w:pStyle w:val="3"/>
        <w:keepNext w:val="0"/>
        <w:keepLines w:val="0"/>
        <w:spacing w:before="0" w:after="0" w:line="360" w:lineRule="auto"/>
        <w:ind w:firstLine="420" w:firstLineChars="200"/>
        <w:textAlignment w:val="baseline"/>
        <w:rPr>
          <w:rFonts w:ascii="宋体" w:hAnsi="宋体" w:eastAsia="宋体"/>
          <w:b w:val="0"/>
          <w:bCs w:val="0"/>
          <w:sz w:val="21"/>
          <w:szCs w:val="21"/>
        </w:rPr>
      </w:pPr>
      <w:bookmarkStart w:id="38" w:name="_Toc382819096"/>
      <w:r>
        <w:rPr>
          <w:rFonts w:hint="eastAsia" w:ascii="宋体" w:hAnsi="宋体" w:eastAsia="宋体"/>
          <w:b w:val="0"/>
          <w:bCs w:val="0"/>
          <w:sz w:val="21"/>
          <w:szCs w:val="21"/>
        </w:rPr>
        <w:t>（六）更换被授权人的程序</w:t>
      </w:r>
      <w:bookmarkEnd w:id="38"/>
    </w:p>
    <w:p>
      <w:pPr>
        <w:spacing w:line="360" w:lineRule="auto"/>
        <w:ind w:firstLine="420" w:firstLineChars="200"/>
        <w:rPr>
          <w:rFonts w:ascii="宋体" w:hAnsi="宋体"/>
          <w:szCs w:val="21"/>
        </w:rPr>
      </w:pPr>
      <w:r>
        <w:rPr>
          <w:rFonts w:hint="eastAsia" w:ascii="宋体" w:hAnsi="宋体"/>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受基金管理人指令的人员，应提前通过邮件、传真或录音电话等方式通知基金管理人。</w:t>
      </w:r>
    </w:p>
    <w:p>
      <w:pPr>
        <w:spacing w:line="360" w:lineRule="auto"/>
        <w:ind w:firstLine="420" w:firstLineChars="200"/>
        <w:rPr>
          <w:rFonts w:ascii="宋体" w:hAnsi="宋体"/>
          <w:szCs w:val="21"/>
        </w:rPr>
      </w:pPr>
      <w:r>
        <w:rPr>
          <w:rFonts w:hint="eastAsia" w:ascii="宋体" w:hAnsi="宋体"/>
          <w:szCs w:val="21"/>
        </w:rPr>
        <w:t>（七）其它事项</w:t>
      </w:r>
    </w:p>
    <w:p>
      <w:pPr>
        <w:spacing w:line="360" w:lineRule="auto"/>
        <w:ind w:firstLine="420" w:firstLineChars="200"/>
        <w:rPr>
          <w:rFonts w:ascii="宋体" w:hAnsi="宋体"/>
          <w:szCs w:val="21"/>
        </w:rPr>
      </w:pPr>
      <w:r>
        <w:rPr>
          <w:rFonts w:hint="eastAsia" w:ascii="宋体" w:hAnsi="宋体"/>
          <w:szCs w:val="21"/>
        </w:rPr>
        <w:t>基金管理人承担下达违法、违规或违反《基金合同》和本协议约定的指令所导致的责任。基金托管人对执行基金管理人的按照正常交易程序已经生效的指令对基金财产造成的损失不承担赔偿责任。</w:t>
      </w:r>
    </w:p>
    <w:p>
      <w:pPr>
        <w:jc w:val="left"/>
        <w:rPr>
          <w:rFonts w:ascii="宋体" w:hAnsi="宋体"/>
          <w:b/>
          <w:sz w:val="24"/>
        </w:rPr>
      </w:pPr>
      <w:bookmarkStart w:id="39" w:name="_Toc382819097"/>
      <w:r>
        <w:rPr>
          <w:rFonts w:hint="eastAsia" w:ascii="宋体" w:hAnsi="宋体"/>
          <w:b/>
          <w:sz w:val="24"/>
        </w:rPr>
        <w:br w:type="page"/>
      </w:r>
    </w:p>
    <w:p>
      <w:pPr>
        <w:spacing w:before="312" w:beforeLines="100" w:after="312" w:afterLines="100" w:line="240" w:lineRule="atLeast"/>
        <w:jc w:val="center"/>
        <w:outlineLvl w:val="0"/>
        <w:rPr>
          <w:rFonts w:ascii="宋体" w:hAnsi="宋体"/>
        </w:rPr>
      </w:pPr>
      <w:r>
        <w:rPr>
          <w:rFonts w:hint="eastAsia" w:ascii="宋体" w:hAnsi="宋体"/>
          <w:b/>
          <w:sz w:val="24"/>
        </w:rPr>
        <w:t>六、交易及清算交收安排</w:t>
      </w:r>
      <w:bookmarkEnd w:id="39"/>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sz w:val="21"/>
          <w:szCs w:val="21"/>
        </w:rPr>
      </w:pPr>
      <w:bookmarkStart w:id="40" w:name="_Toc382819098"/>
      <w:r>
        <w:rPr>
          <w:rFonts w:hint="eastAsia" w:asciiTheme="minorEastAsia" w:hAnsiTheme="minorEastAsia" w:eastAsiaTheme="minorEastAsia" w:cstheme="minorEastAsia"/>
          <w:b w:val="0"/>
          <w:bCs w:val="0"/>
          <w:sz w:val="21"/>
          <w:szCs w:val="21"/>
        </w:rPr>
        <w:t>（一）选择代理证券、期货买卖的证券、期货经营机构的标准和程序</w:t>
      </w:r>
      <w:bookmarkEnd w:id="40"/>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1.基金管理人负责选择代理本基金证券买卖的证券经营机构。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基金管理人负责根据相关标准以及内部管理制度对有关证券经营机构进行考察后确定代理本基金证券、期货买卖证券经营机构，并承担相应责任。基金管理人和被选择的证券经营机构签订交易单元租用协议，由基金管理人通知基金托管人，并在法定信息披露公告中披露有关内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基金管理人应在基金起始运作前将基金专用交易单元号、佣金费率等基本信息以及变更情况及时以书面形式通知基金托管人，并将被选中证券经营机构提供的《交易单元租用协议》及时送达基金托管人，确保基金托管人申请接收结算数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sz w:val="21"/>
          <w:szCs w:val="21"/>
        </w:rPr>
      </w:pPr>
      <w:bookmarkStart w:id="41" w:name="_Toc382819099"/>
      <w:r>
        <w:rPr>
          <w:rFonts w:hint="eastAsia" w:asciiTheme="minorEastAsia" w:hAnsiTheme="minorEastAsia" w:eastAsiaTheme="minorEastAsia" w:cstheme="minorEastAsia"/>
          <w:b w:val="0"/>
          <w:bCs w:val="0"/>
          <w:sz w:val="21"/>
          <w:szCs w:val="21"/>
        </w:rPr>
        <w:t>（二）基金投资证券后的清算交收安排</w:t>
      </w:r>
      <w:bookmarkEnd w:id="41"/>
      <w:bookmarkStart w:id="42" w:name="_Toc382819100"/>
    </w:p>
    <w:p>
      <w:pPr>
        <w:pStyle w:val="9"/>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1、本基金投资于证券发生的所有场内、场外交易的资金清算交割，全部由基金托管人负责办理。</w:t>
      </w:r>
      <w:bookmarkEnd w:id="42"/>
      <w:bookmarkStart w:id="43" w:name="_Toc382819101"/>
    </w:p>
    <w:p>
      <w:pPr>
        <w:pStyle w:val="9"/>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2、本基金投资于场内交易的投资品种前，基金管理人和基金托管人应当另行签署托管银行证券资金结算协议。</w:t>
      </w:r>
      <w:bookmarkEnd w:id="43"/>
    </w:p>
    <w:p>
      <w:pPr>
        <w:pStyle w:val="9"/>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3、本基金投资于非担保交收的投资品种时，基金管理人应遵守基金托管人提前以告客户书形式提供的书面通知。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4、银行间债券券款对付结算</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基金管理人应及时将银行间上清所、中债登划款指令和成交通知单按相关规定提交基金托管人，基金管理人应为基金托管人留出执行指令所必需的时间。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基金管理人应根据中债登、上清所提供的查询功能，实时跟踪交易结算情况、证券与资金到账与余额变动情况，便于监控结算过程，做好资金与交易匹配的前端控制。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5、定期投资基金管理人与存款行签订的存款协议条款格式应在定期存款起息日的前一个工作日发送给基金托管人，</w:t>
      </w:r>
      <w:r>
        <w:rPr>
          <w:rFonts w:hint="eastAsia" w:asciiTheme="minorEastAsia" w:hAnsiTheme="minorEastAsia" w:eastAsiaTheme="minorEastAsia" w:cstheme="minorEastAsia"/>
          <w:color w:val="000000"/>
          <w:szCs w:val="21"/>
        </w:rPr>
        <w:t>基金管理人应将</w:t>
      </w:r>
      <w:r>
        <w:rPr>
          <w:rFonts w:hint="eastAsia" w:asciiTheme="minorEastAsia" w:hAnsiTheme="minorEastAsia" w:eastAsiaTheme="minorEastAsia" w:cstheme="minorEastAsia"/>
          <w:szCs w:val="21"/>
        </w:rPr>
        <w:t>定期存款的划款指令及存款协议盖章版（传真件或扫描件）按法律法规、基金合同及托管协议的规定提交基金托管人，指令发出后，基金管理人应及时以电话方式向基金托管人确认。对于基金管理人依约定程序发出的指令，基金管理人不得否认其效力。</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基金管理人在发送投资指令时，应为基金托管人执行投资指令留出执行指令所必需的时间。投资指令传输不及时、未能留出足够的划款时间，导致资金未能及时到账所造成的损失由基金管理人承担。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存款银行无法在存入当日17点前向托管人送达存款证实书的，基金管理人应敦促存款银行将存款证实扫描件发送至基金托管人。存款证实书送达托管人后，基金托管人负责保管存款证实书原件。基金托管人仅对存款证实书进行形式审核，形式审核内容为账户名称、起息日、到期日、金额、利率。基金托管人不对存款证实书真实性承担审核职责。</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基金管理人与存款银行签订的存款协议，应包括：</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（1）存款银行为托管资产办理定期存款业务的存款账户开立、资金存入和支取提供必要的支持和高效的结算服务；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存款银行为托管资产所投资的定期存款的存款证明文件提供上门服务，即：定期存款资金到账当日，存款银行派授权代理人将“存款证实书”（以下简称“证实书”）妥善送至托管人处。“证实书”移交给基金托管人之前，因“证实书”丢失、损毁而造成的一切损失由存款银行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定期存款到期日当日或提前支取日当日，存款银行应派授权代理人前往基金托管人处提取“证实书”。“证实书”移交给存款行授权代理人之后，因“证实书”丢失、损毁而造成的一切损失由存款银行承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存款银行应至少提前一个工作日向基金托管人提供对前述授权代理人办理相关事务的书面授权书。授权代理人提供上门服务时，应出示有效身份证或工作证。</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（4）存款银行应保证及时支付存款本金和利息，于支取当日将本息划付至本基金开立在基金托管人（上海浦东发展银行）处的托管账户， 并列明账户的开户行、账号、户名、大额支付号。存款银行应确认，定期存款的本息只能划入开立在托管人的相应托管账户或经托管人确认的指定账户。上述指定收款账户信息如需变更，必须经基金托管人书面同意。</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（5）存款银行应为定期存款业务提供定期对账服务。首次对账应不晚于存款资金存入后的一个自然月。除首次对账外，对账频率不少于每半年一次。存款银行应配合基金托管人对“证实书”的书面征询。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（6）在存款存续期内，“证实书”的预留印鉴发生变更的，存款银行应配合办理变更手续。</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（7）存款不得被质押，相应存款证明文件不得用于背书和转让。</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6、本基金拟投资于期货交易市场前，基金管理人、期货经纪机构及基金托管人应当另行签署股指期货投资托管协议。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7、</w:t>
      </w:r>
      <w:r>
        <w:rPr>
          <w:rFonts w:hint="eastAsia" w:asciiTheme="minorEastAsia" w:hAnsiTheme="minorEastAsia" w:eastAsiaTheme="minorEastAsia" w:cstheme="minorEastAsia"/>
          <w:szCs w:val="21"/>
        </w:rPr>
        <w:t>基金参与港股通交易的清算交收安排</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参与港股通交易的，基金管理人应保证在T日日终之前在托管的托管账户或港股通备付金账户上有足够的头寸用于港股通T+1日公司行动、证券组合费和风控资金的交收，在T+1日11：00之前在托管的托管账户或港股通备付金上有足够的头寸用于港股通T+2日交易资金的交收。对于T日港股通交易清算结果为净应付的，基金托管人于T+1日10：00扣收应付资金。对于T日港股通交易清算结果为净应收的，基金托管人在与中国证券登记结算有限公司完成净应收资金交割后，于T+3日上午12:00前返还应收资金。若因非基金托管人原因造成净应收资金划付延迟的，基金托管人不承担任何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由于基金管理人的过错导致港股通交收失败，由此给托管人、托管人托管的其他资产组合造成的经济损失，由基金管理人承担。如由于非基金管理人和基金托管人的原因导致港股通交收失败，由此给基金资产组合造成的经济损失，可先由基金管理人垫付，由基金管理人向过错人追偿。</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sz w:val="21"/>
          <w:szCs w:val="21"/>
        </w:rPr>
      </w:pPr>
      <w:bookmarkStart w:id="44" w:name="_Toc382819102"/>
      <w:r>
        <w:rPr>
          <w:rFonts w:hint="eastAsia" w:asciiTheme="minorEastAsia" w:hAnsiTheme="minorEastAsia" w:eastAsiaTheme="minorEastAsia" w:cstheme="minorEastAsia"/>
          <w:b w:val="0"/>
          <w:bCs w:val="0"/>
          <w:sz w:val="21"/>
          <w:szCs w:val="21"/>
        </w:rPr>
        <w:t>（三）可用资金余额的确认</w:t>
      </w:r>
      <w:bookmarkEnd w:id="44"/>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基金托管人应于每个工作日上午9：30 前将托管账户的可用资金余额以双方认可的方式提供给基金管理人。</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（四）交易记录、资金、证券账目的核对</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1、交易记录的核对</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基金管理人和基金托管人按日进行交易记录的核对。每日对外披露净值之前，必须保证当天所有实际交易记录与基金会计账簿上的交易记录一致。</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2、资金账目的核对</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资金账目包括基金的银行存款等会计资料。资金账目由基金托管人每日进行账实核对，基金管理人复核托管人提供的可用头寸表核对资金余额。银行存款账户每日核对，做到账账相符、账实相符。</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3、证券账目的核对</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bCs w:val="0"/>
          <w:sz w:val="21"/>
          <w:szCs w:val="21"/>
        </w:rPr>
        <w:t>（五）基金申购、赎回、转换业务处理的基本规定</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1、基金份额申购、赎回的确认、清算由基金管理人或其委托的注册登记机构负责。</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注册登记机构每个工作日15:00 前向基金托管人发送前一开放日的上述有关数据，并保证相关数据的准确、完整。</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4、基金管理人应保证其发送的注册登记数据的接口规范与基金托管人的接口规范保持一致。</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5、基金注册登记清算专用账户的开立和管理</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为满足申购、赎回等资金汇划的需要，基金管理人应开立用于基金申购、赎回等资金清算的基金注册登记清算专用账户。</w:t>
      </w:r>
    </w:p>
    <w:p>
      <w:pPr>
        <w:tabs>
          <w:tab w:val="left" w:pos="4680"/>
        </w:tabs>
        <w:spacing w:line="360" w:lineRule="auto"/>
        <w:ind w:firstLine="420" w:firstLineChars="200"/>
        <w:rPr>
          <w:rFonts w:asciiTheme="minorEastAsia" w:hAnsiTheme="minorEastAsia" w:eastAsiaTheme="minorEastAsia" w:cstheme="minorEastAsia"/>
          <w:kern w:val="21"/>
          <w:szCs w:val="21"/>
        </w:rPr>
      </w:pP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w:t>
      </w:r>
      <w:r>
        <w:rPr>
          <w:rFonts w:hint="eastAsia" w:asciiTheme="minorEastAsia" w:hAnsiTheme="minorEastAsia" w:eastAsiaTheme="minorEastAsia" w:cstheme="minorEastAsia"/>
          <w:szCs w:val="21"/>
        </w:rPr>
        <w:t>基金托管人不承担任何责任</w:t>
      </w:r>
      <w:r>
        <w:rPr>
          <w:rFonts w:hint="eastAsia" w:asciiTheme="minorEastAsia" w:hAnsiTheme="minorEastAsia" w:eastAsiaTheme="minorEastAsia" w:cstheme="minorEastAsia"/>
          <w:kern w:val="21"/>
          <w:szCs w:val="21"/>
        </w:rPr>
        <w:t>。</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7、赎回资金的支付</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托管人在根据基金管理人指令支付赎回款时，如托管专户中本基金有足够的资金，基金托管人应按《基金合同》和本协议的规定支付；如托管专户中本基金有足额的资金且基金托管人有足够合理的时间进行划款，而基金托管人未及时执行合法合规的指令的，责任由基金托管人承担，但不可抗力导致的情形除外。因托管专户中本基金没有足够的资金，导致基金托管人不能按时支付，如是基金管理人的原因造成，责任由基金管理人承担，基金托管人不承担垫款义务；如是除基金管理人、基金托管人外的第三方原因造成的，责任由第三方承担，基金托管人不承担垫款义务，若给基金份额持有人造成损失的，基金托管人负有配合基金管理人向第三方追偿的义务。</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8、资金支付执行和责任界定</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除申购款项到达基金托管人处的基金账户需双方按约定方式对账外，净额划出、赎回资金支付时，应按照本协议相关规定执行。若本协议没有规定的按双方协商一致内容执行。</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9、暂停赎回和巨额赎回处理</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sz w:val="21"/>
          <w:szCs w:val="21"/>
        </w:rPr>
      </w:pPr>
      <w:r>
        <w:rPr>
          <w:rFonts w:hint="eastAsia" w:asciiTheme="minorEastAsia" w:hAnsiTheme="minorEastAsia" w:eastAsiaTheme="minorEastAsia" w:cstheme="minorEastAsia"/>
          <w:b w:val="0"/>
          <w:bCs w:val="0"/>
          <w:sz w:val="21"/>
          <w:szCs w:val="21"/>
        </w:rPr>
        <w:t>（六）申购赎回资金结算</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当日基金为净应收款，基金托管人应在T日（T指交收当前工作日）15:00之前查收资金是否到账，对于未准时到账的资金，基金托管人应及时通知基金管理人划付。如果当日基金为净应付款，基金托管人应根据基金管理人的指令在T日（T指交收当前工作日）中午12:00前进行划付。对于未准时划付的资金，基金管理人应及时通知基金托管人划付。因基金托管专户没有足够的资金，导致基金托管人不能按时拨付，基金托管人应及时通知基金管理人。</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（七）基金转换</w:t>
      </w:r>
    </w:p>
    <w:p>
      <w:pPr>
        <w:tabs>
          <w:tab w:val="left" w:pos="4680"/>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基金管理人与基金托管人按照相关法律法规、《基金合同》、以及本协议的规定办理基金转换。</w:t>
      </w:r>
    </w:p>
    <w:p>
      <w:pPr>
        <w:pStyle w:val="3"/>
        <w:keepNext w:val="0"/>
        <w:keepLines w:val="0"/>
        <w:spacing w:before="0" w:after="0" w:line="360" w:lineRule="auto"/>
        <w:ind w:firstLine="420" w:firstLineChars="200"/>
        <w:textAlignment w:val="baseline"/>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rPr>
        <w:t>（八）基金出现超买或超卖的责任认定及处理程序</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金托管人在履行监督职能时，如果发现基金投资证券过程中出现超买或超卖现象，应立即提醒基金管理人，由基金管理人负责解决，由此给基金及基金托管人造成的损失由基金管理人承担。如果非因基金托管人原因发生超买行为，基金管理人必须于T+3日上午12时之前划拨资金，用以完成清算交收。</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jc w:val="left"/>
        <w:rPr>
          <w:rFonts w:ascii="宋体" w:hAnsi="宋体"/>
          <w:b/>
          <w:sz w:val="24"/>
        </w:rPr>
      </w:pPr>
      <w:bookmarkStart w:id="45" w:name="_Toc382819103"/>
      <w:r>
        <w:rPr>
          <w:rFonts w:hint="eastAsia" w:ascii="宋体" w:hAnsi="宋体"/>
          <w:b/>
          <w:sz w:val="24"/>
        </w:rPr>
        <w:br w:type="page"/>
      </w:r>
    </w:p>
    <w:p>
      <w:pPr>
        <w:spacing w:before="312" w:beforeLines="100" w:after="312" w:afterLines="100" w:line="240" w:lineRule="atLeast"/>
        <w:jc w:val="center"/>
        <w:outlineLvl w:val="0"/>
        <w:rPr>
          <w:rFonts w:ascii="宋体" w:hAnsi="宋体"/>
        </w:rPr>
      </w:pPr>
      <w:r>
        <w:rPr>
          <w:rFonts w:hint="eastAsia" w:ascii="宋体" w:hAnsi="宋体"/>
          <w:b/>
          <w:sz w:val="24"/>
        </w:rPr>
        <w:t>七、基金资产净值计算和会计核算</w:t>
      </w:r>
      <w:bookmarkEnd w:id="45"/>
    </w:p>
    <w:p>
      <w:pPr>
        <w:pStyle w:val="3"/>
        <w:keepNext w:val="0"/>
        <w:keepLines w:val="0"/>
        <w:spacing w:before="0" w:after="0" w:line="360" w:lineRule="auto"/>
        <w:ind w:firstLine="420" w:firstLineChars="200"/>
        <w:textAlignment w:val="baseline"/>
        <w:rPr>
          <w:rFonts w:ascii="宋体" w:hAnsi="宋体" w:eastAsia="宋体"/>
          <w:b w:val="0"/>
          <w:bCs w:val="0"/>
          <w:sz w:val="21"/>
          <w:szCs w:val="21"/>
        </w:rPr>
      </w:pPr>
      <w:bookmarkStart w:id="46" w:name="_Toc382819104"/>
      <w:r>
        <w:rPr>
          <w:rFonts w:hint="eastAsia" w:ascii="宋体" w:hAnsi="宋体" w:eastAsia="宋体"/>
          <w:b w:val="0"/>
          <w:bCs w:val="0"/>
          <w:sz w:val="21"/>
          <w:szCs w:val="21"/>
        </w:rPr>
        <w:t>（一）基金资产净值的计算</w:t>
      </w:r>
      <w:r>
        <w:rPr>
          <w:rFonts w:hint="eastAsia" w:ascii="宋体" w:hAnsi="宋体" w:eastAsia="宋体"/>
          <w:sz w:val="21"/>
          <w:szCs w:val="21"/>
        </w:rPr>
        <w:t>、</w:t>
      </w:r>
      <w:r>
        <w:rPr>
          <w:rFonts w:hint="eastAsia" w:ascii="宋体" w:hAnsi="宋体" w:eastAsia="宋体"/>
          <w:b w:val="0"/>
          <w:bCs w:val="0"/>
          <w:sz w:val="21"/>
          <w:szCs w:val="21"/>
        </w:rPr>
        <w:t>复核的时间和程序</w:t>
      </w:r>
      <w:bookmarkEnd w:id="46"/>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基金资产净值是指基金资产总值减去基金负债后的价值。</w:t>
      </w:r>
      <w:r>
        <w:rPr>
          <w:rFonts w:hint="eastAsia" w:ascii="宋体" w:hAnsi="宋体"/>
          <w:bCs/>
          <w:szCs w:val="21"/>
        </w:rPr>
        <w:t>T日的基金份额净值是按照T日的基金资产净值除以T日的基金份额的余额数量计算，精确到0.0001元，小数点后第5位四舍五入，由此产生的误差计入基金财产。基金管理人可以设立大额赎回情形下的净值精度应急调整机制。国家另有规定的，从其规定。</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信息的计算结果对外予以公布。基金管理人应在每个估值日后两个工作日内对基金资产估值。但基金管理人根据法律法规或《基金合同》的规定暂停估值时除外。估值原则应符合《基金合同》、《证券投资基金会计核算业务指引》及其他法律、法规的规定。</w:t>
      </w:r>
      <w:r>
        <w:rPr>
          <w:rFonts w:hint="eastAsia" w:ascii="宋体" w:hAnsi="宋体" w:cs="宋体"/>
          <w:color w:val="000000"/>
          <w:kern w:val="0"/>
          <w:szCs w:val="21"/>
        </w:rPr>
        <w:t>基金管理人对基金资产估值后，将基金份额净值结果发送基金托管人，经基金托管人复核无误后，由基金管理人按规定对外公布。</w:t>
      </w:r>
    </w:p>
    <w:p>
      <w:pPr>
        <w:tabs>
          <w:tab w:val="left" w:pos="900"/>
        </w:tabs>
        <w:spacing w:line="360" w:lineRule="auto"/>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资产净值的计算结果对外予以公布。</w:t>
      </w:r>
    </w:p>
    <w:p>
      <w:pPr>
        <w:tabs>
          <w:tab w:val="left" w:pos="900"/>
        </w:tabs>
        <w:spacing w:line="360" w:lineRule="auto"/>
        <w:ind w:firstLine="420" w:firstLineChars="200"/>
        <w:rPr>
          <w:rFonts w:ascii="宋体" w:hAnsi="宋体"/>
          <w:szCs w:val="21"/>
        </w:rPr>
      </w:pPr>
      <w:r>
        <w:rPr>
          <w:rFonts w:hint="eastAsia" w:ascii="宋体" w:hAnsi="宋体"/>
          <w:szCs w:val="21"/>
        </w:rPr>
        <w:t>法律法规以及监管部门有强制规定的，从其规定。如有新增事项，按国家最新规定估值。</w:t>
      </w:r>
    </w:p>
    <w:p>
      <w:pPr>
        <w:pStyle w:val="3"/>
        <w:keepNext w:val="0"/>
        <w:keepLines w:val="0"/>
        <w:spacing w:before="0" w:after="0" w:line="360" w:lineRule="auto"/>
        <w:ind w:firstLine="420" w:firstLineChars="200"/>
        <w:textAlignment w:val="baseline"/>
        <w:rPr>
          <w:rFonts w:ascii="宋体" w:hAnsi="宋体" w:eastAsia="宋体"/>
          <w:b w:val="0"/>
          <w:bCs w:val="0"/>
          <w:sz w:val="21"/>
          <w:szCs w:val="21"/>
        </w:rPr>
      </w:pPr>
      <w:bookmarkStart w:id="47" w:name="_Toc382819105"/>
      <w:r>
        <w:rPr>
          <w:rFonts w:hint="eastAsia" w:ascii="宋体" w:hAnsi="宋体" w:eastAsia="宋体"/>
          <w:b w:val="0"/>
          <w:bCs w:val="0"/>
          <w:sz w:val="21"/>
          <w:szCs w:val="21"/>
        </w:rPr>
        <w:t>（二）基金资产估值</w:t>
      </w:r>
      <w:bookmarkEnd w:id="47"/>
    </w:p>
    <w:p>
      <w:pPr>
        <w:spacing w:line="360" w:lineRule="auto"/>
        <w:ind w:firstLine="420" w:firstLineChars="200"/>
        <w:rPr>
          <w:rFonts w:ascii="宋体" w:hAnsi="宋体"/>
          <w:szCs w:val="21"/>
        </w:rPr>
      </w:pPr>
      <w:r>
        <w:rPr>
          <w:rFonts w:hint="eastAsia" w:ascii="宋体" w:hAnsi="宋体"/>
          <w:szCs w:val="21"/>
        </w:rPr>
        <w:t>估值原则应符合《基金合同》、《证券投资基金会计核算业务指引》及其他法律法规的规定的约定。</w:t>
      </w:r>
    </w:p>
    <w:p>
      <w:pPr>
        <w:spacing w:line="360" w:lineRule="auto"/>
        <w:ind w:firstLine="420" w:firstLineChars="200"/>
        <w:rPr>
          <w:rFonts w:ascii="宋体" w:hAnsi="宋体"/>
          <w:szCs w:val="21"/>
        </w:rPr>
      </w:pPr>
      <w:r>
        <w:rPr>
          <w:rFonts w:hint="eastAsia" w:ascii="宋体" w:hAnsi="宋体"/>
          <w:szCs w:val="21"/>
        </w:rPr>
        <w:t>当相关法律法规或《基金合同》规定的估值方法不能客观反映基金财产公允价值时，基金管理人可根据具体情况，并与基金托管人商定后，按最能反映公允价值的价格估值。</w:t>
      </w:r>
    </w:p>
    <w:p>
      <w:pPr>
        <w:pStyle w:val="3"/>
        <w:keepNext w:val="0"/>
        <w:keepLines w:val="0"/>
        <w:spacing w:before="0" w:after="0" w:line="360" w:lineRule="auto"/>
        <w:ind w:firstLine="420" w:firstLineChars="200"/>
        <w:textAlignment w:val="baseline"/>
        <w:rPr>
          <w:rFonts w:ascii="宋体" w:hAnsi="宋体"/>
          <w:sz w:val="21"/>
          <w:szCs w:val="21"/>
        </w:rPr>
      </w:pPr>
      <w:r>
        <w:rPr>
          <w:rFonts w:hint="eastAsia" w:ascii="宋体" w:hAnsi="宋体" w:eastAsia="宋体"/>
          <w:b w:val="0"/>
          <w:bCs w:val="0"/>
          <w:sz w:val="21"/>
          <w:szCs w:val="21"/>
        </w:rPr>
        <w:t>（三）实施侧袋机制期间的基金资产估值</w:t>
      </w:r>
    </w:p>
    <w:p>
      <w:pPr>
        <w:spacing w:line="360" w:lineRule="auto"/>
        <w:ind w:firstLine="420" w:firstLineChars="200"/>
        <w:rPr>
          <w:rFonts w:ascii="宋体" w:hAnsi="宋体"/>
          <w:szCs w:val="21"/>
        </w:rPr>
      </w:pPr>
      <w:r>
        <w:rPr>
          <w:rFonts w:hint="eastAsia" w:ascii="宋体" w:hAnsi="宋体"/>
          <w:szCs w:val="21"/>
        </w:rPr>
        <w:t>本基金实施侧袋机制的，应根据本部分的约定对主袋账户资产进行估值并披露主袋账户的基金份额净值和份额累计净值，暂停披露侧袋账户的基金净值信息。</w:t>
      </w:r>
    </w:p>
    <w:p>
      <w:pPr>
        <w:pStyle w:val="3"/>
        <w:keepNext w:val="0"/>
        <w:keepLines w:val="0"/>
        <w:spacing w:before="0" w:after="0" w:line="360" w:lineRule="auto"/>
        <w:ind w:firstLine="420" w:firstLineChars="200"/>
        <w:textAlignment w:val="baseline"/>
        <w:rPr>
          <w:rFonts w:ascii="宋体" w:hAnsi="宋体" w:eastAsia="宋体"/>
          <w:b w:val="0"/>
          <w:bCs w:val="0"/>
          <w:sz w:val="21"/>
          <w:szCs w:val="21"/>
        </w:rPr>
      </w:pPr>
      <w:bookmarkStart w:id="48" w:name="_Toc382819106"/>
      <w:r>
        <w:rPr>
          <w:rFonts w:hint="eastAsia" w:ascii="宋体" w:hAnsi="宋体" w:eastAsia="宋体"/>
          <w:b w:val="0"/>
          <w:bCs w:val="0"/>
          <w:sz w:val="21"/>
          <w:szCs w:val="21"/>
        </w:rPr>
        <w:t>（四）估值错误处理</w:t>
      </w:r>
      <w:bookmarkEnd w:id="48"/>
    </w:p>
    <w:p>
      <w:pPr>
        <w:spacing w:line="360" w:lineRule="auto"/>
        <w:ind w:firstLine="420" w:firstLineChars="200"/>
        <w:rPr>
          <w:rFonts w:ascii="宋体" w:hAnsi="宋体"/>
          <w:szCs w:val="21"/>
        </w:rPr>
      </w:pPr>
      <w:bookmarkStart w:id="49" w:name="_Toc382819107"/>
      <w:r>
        <w:rPr>
          <w:rFonts w:hint="eastAsia" w:ascii="宋体" w:hAnsi="宋体"/>
          <w:szCs w:val="21"/>
        </w:rPr>
        <w:t>1.当基金份额净值小数点后4位以内（含第4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按照基金合同和本协议约定的估值错误处理原则和程序进行处理。</w:t>
      </w:r>
      <w:bookmarkEnd w:id="49"/>
    </w:p>
    <w:p>
      <w:pPr>
        <w:spacing w:line="360" w:lineRule="auto"/>
        <w:ind w:firstLine="420" w:firstLineChars="200"/>
        <w:rPr>
          <w:rFonts w:ascii="宋体" w:hAnsi="宋体"/>
          <w:szCs w:val="21"/>
        </w:rPr>
      </w:pPr>
      <w:bookmarkStart w:id="50" w:name="_Toc382819108"/>
      <w:r>
        <w:rPr>
          <w:rFonts w:hint="eastAsia" w:ascii="宋体" w:hAnsi="宋体"/>
          <w:szCs w:val="21"/>
        </w:rPr>
        <w:t>2.当因基金管理人和基金托管人原因致使基金份额净值计算差错给基金和基金份额持有人造成损失需要进行赔偿时，基金管理人和基金托管人应根据实际情况界定双方承担的责任，经确认后按以下条款进行赔偿：</w:t>
      </w:r>
      <w:bookmarkEnd w:id="50"/>
    </w:p>
    <w:p>
      <w:pPr>
        <w:spacing w:line="360" w:lineRule="auto"/>
        <w:ind w:firstLine="420" w:firstLineChars="200"/>
        <w:rPr>
          <w:rFonts w:ascii="宋体" w:hAnsi="宋体"/>
          <w:szCs w:val="21"/>
        </w:rPr>
      </w:pPr>
      <w:bookmarkStart w:id="51" w:name="_Toc382819109"/>
      <w:r>
        <w:rPr>
          <w:rFonts w:hint="eastAsia" w:ascii="宋体" w:hAnsi="宋体"/>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）由于基金管理人提供的信息错误（包括但不限于基金申购或赎回金额等），导致基金份额净值计算错误而引起的基金份额持有人和基金财产的损失，由基金管理人负责赔付。</w:t>
      </w:r>
      <w:bookmarkEnd w:id="51"/>
      <w:bookmarkStart w:id="52" w:name="_Toc382819110"/>
    </w:p>
    <w:p>
      <w:pPr>
        <w:spacing w:line="360" w:lineRule="auto"/>
        <w:ind w:firstLine="420" w:firstLineChars="200"/>
        <w:rPr>
          <w:rFonts w:ascii="宋体" w:hAnsi="宋体"/>
          <w:szCs w:val="21"/>
        </w:rPr>
      </w:pPr>
      <w:r>
        <w:rPr>
          <w:rFonts w:hint="eastAsia" w:ascii="宋体" w:hAnsi="宋体"/>
          <w:szCs w:val="21"/>
        </w:rPr>
        <w:t>3.由于不可抗力原因，或证券交易所或登记结算公司等机构发送的数据错误原因，基金管理人和基金托管人虽然已经采取必要、适当、合理的措施进行检查，但未能发现错误的，由此造成的基金资产估值错误，基金管理人和基金托管人免除赔偿责任。但基金管理人和基金托管人应积极采取必要的措施消除或减轻由此造成的影响。</w:t>
      </w:r>
      <w:bookmarkEnd w:id="52"/>
      <w:bookmarkStart w:id="53" w:name="_Toc382819111"/>
    </w:p>
    <w:p>
      <w:pPr>
        <w:spacing w:line="360" w:lineRule="auto"/>
        <w:ind w:firstLine="420" w:firstLineChars="200"/>
        <w:rPr>
          <w:rFonts w:ascii="宋体" w:hAnsi="宋体"/>
          <w:szCs w:val="21"/>
        </w:rPr>
      </w:pPr>
      <w:r>
        <w:rPr>
          <w:rFonts w:hint="eastAsia" w:ascii="宋体" w:hAnsi="宋体"/>
          <w:szCs w:val="21"/>
        </w:rPr>
        <w:t>4.基金管理人和基金托管人由于各自技术系统设置而产生的净值计算尾差，以基金管理人计算结果为准。</w:t>
      </w:r>
      <w:bookmarkEnd w:id="53"/>
      <w:bookmarkStart w:id="54" w:name="_Toc382819112"/>
    </w:p>
    <w:p>
      <w:pPr>
        <w:spacing w:line="360" w:lineRule="auto"/>
        <w:ind w:firstLine="420" w:firstLineChars="200"/>
        <w:rPr>
          <w:rFonts w:ascii="宋体" w:hAnsi="宋体"/>
          <w:szCs w:val="21"/>
        </w:rPr>
      </w:pPr>
      <w:r>
        <w:rPr>
          <w:rFonts w:hint="eastAsia" w:ascii="宋体" w:hAnsi="宋体"/>
          <w:szCs w:val="21"/>
        </w:rPr>
        <w:t>5.前述内容如法律法规或监管机关另有规定的，从其规定处理。如果行业另有通行做法，基金管理人和基金托管人应本着平等和保护基金份额持有人利益的原则进行协商。</w:t>
      </w:r>
      <w:bookmarkEnd w:id="54"/>
      <w:bookmarkStart w:id="55" w:name="_Toc382819113"/>
    </w:p>
    <w:p>
      <w:pPr>
        <w:pStyle w:val="3"/>
        <w:keepNext w:val="0"/>
        <w:keepLines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（五）暂停估值的情形</w:t>
      </w:r>
      <w:bookmarkEnd w:id="55"/>
      <w:bookmarkStart w:id="56" w:name="_Toc382819114"/>
    </w:p>
    <w:p>
      <w:pPr>
        <w:spacing w:line="360" w:lineRule="auto"/>
        <w:ind w:firstLine="420" w:firstLineChars="200"/>
        <w:rPr>
          <w:rFonts w:ascii="宋体" w:hAnsi="宋体"/>
          <w:szCs w:val="21"/>
        </w:rPr>
      </w:pPr>
      <w:r>
        <w:rPr>
          <w:rFonts w:hint="eastAsia" w:ascii="宋体" w:hAnsi="宋体"/>
          <w:szCs w:val="21"/>
        </w:rPr>
        <w:t>1．基金投资所涉及的证券交易市场或外汇市场遇法定节假日或因其他原因暂停营业时；</w:t>
      </w:r>
      <w:bookmarkEnd w:id="56"/>
      <w:bookmarkStart w:id="57" w:name="_Toc382819115"/>
    </w:p>
    <w:p>
      <w:pPr>
        <w:spacing w:line="360" w:lineRule="auto"/>
        <w:ind w:firstLine="420" w:firstLineChars="200"/>
        <w:rPr>
          <w:rFonts w:ascii="宋体" w:hAnsi="宋体"/>
          <w:szCs w:val="21"/>
        </w:rPr>
      </w:pPr>
      <w:r>
        <w:rPr>
          <w:rFonts w:hint="eastAsia" w:ascii="宋体" w:hAnsi="宋体"/>
          <w:szCs w:val="21"/>
        </w:rPr>
        <w:t>2．因不可抗力或其他情形致使基金管理人、基金托管人无法准确评估基金资产价值时；</w:t>
      </w:r>
      <w:bookmarkEnd w:id="57"/>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．当特定资产占前一估值日基金资产净值50%以上的，经与基金托管人协商确认后，基金管理人应当暂停估值；</w:t>
      </w:r>
    </w:p>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占相当比例的被投资基金暂停估值时。</w:t>
      </w:r>
      <w:bookmarkStart w:id="58" w:name="_Toc382819116"/>
    </w:p>
    <w:p>
      <w:pPr>
        <w:spacing w:line="360" w:lineRule="auto"/>
        <w:ind w:firstLine="420" w:firstLineChars="200"/>
        <w:rPr>
          <w:rFonts w:ascii="宋体" w:hAnsi="宋体"/>
          <w:szCs w:val="21"/>
        </w:rPr>
      </w:pPr>
      <w:r>
        <w:rPr>
          <w:rFonts w:hint="eastAsia" w:ascii="宋体" w:hAnsi="宋体"/>
          <w:szCs w:val="21"/>
        </w:rPr>
        <w:t>5.法律法规规定、中国证监会和基金合同认定的其它情形。</w:t>
      </w:r>
    </w:p>
    <w:p>
      <w:pPr>
        <w:pStyle w:val="3"/>
        <w:keepNext w:val="0"/>
        <w:keepLines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（六）基金账册的建立</w:t>
      </w:r>
      <w:bookmarkEnd w:id="58"/>
    </w:p>
    <w:p>
      <w:pPr>
        <w:spacing w:line="360" w:lineRule="auto"/>
        <w:ind w:firstLine="420" w:firstLineChars="200"/>
        <w:rPr>
          <w:rFonts w:ascii="宋体" w:hAnsi="宋体"/>
          <w:szCs w:val="21"/>
        </w:rPr>
      </w:pPr>
      <w:r>
        <w:rPr>
          <w:rFonts w:hint="eastAsia" w:ascii="宋体" w:hAnsi="宋体"/>
          <w:szCs w:val="21"/>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spacing w:line="360" w:lineRule="auto"/>
        <w:ind w:firstLine="420" w:firstLineChars="200"/>
        <w:rPr>
          <w:rFonts w:ascii="宋体" w:hAnsi="宋体"/>
          <w:szCs w:val="21"/>
        </w:rPr>
      </w:pPr>
      <w:r>
        <w:rPr>
          <w:rFonts w:hint="eastAsia" w:ascii="宋体" w:hAnsi="宋体"/>
          <w:szCs w:val="21"/>
        </w:rPr>
        <w:t>2.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pPr>
        <w:pStyle w:val="3"/>
        <w:keepNext w:val="0"/>
        <w:keepLines w:val="0"/>
        <w:spacing w:before="0" w:after="0" w:line="360" w:lineRule="auto"/>
        <w:ind w:firstLine="420" w:firstLineChars="200"/>
        <w:textAlignment w:val="baseline"/>
        <w:rPr>
          <w:rFonts w:ascii="宋体" w:hAnsi="宋体" w:eastAsia="宋体"/>
          <w:b w:val="0"/>
          <w:bCs w:val="0"/>
          <w:sz w:val="21"/>
          <w:szCs w:val="21"/>
        </w:rPr>
      </w:pPr>
      <w:bookmarkStart w:id="59" w:name="_Toc382819117"/>
      <w:r>
        <w:rPr>
          <w:rFonts w:hint="eastAsia" w:ascii="宋体" w:hAnsi="宋体" w:eastAsia="宋体"/>
          <w:b w:val="0"/>
          <w:bCs w:val="0"/>
          <w:sz w:val="21"/>
          <w:szCs w:val="21"/>
        </w:rPr>
        <w:t>（七）基金定期报告的编制和复核</w:t>
      </w:r>
      <w:bookmarkEnd w:id="59"/>
    </w:p>
    <w:p>
      <w:pPr>
        <w:spacing w:line="360" w:lineRule="auto"/>
        <w:ind w:firstLine="420" w:firstLineChars="200"/>
        <w:rPr>
          <w:rFonts w:ascii="宋体" w:hAnsi="宋体"/>
          <w:szCs w:val="21"/>
        </w:rPr>
      </w:pPr>
      <w:r>
        <w:rPr>
          <w:rFonts w:hint="eastAsia" w:ascii="宋体" w:hAnsi="宋体"/>
          <w:szCs w:val="21"/>
        </w:rPr>
        <w:t>1.基金财务报表由基金管理人和基金托管人每月分别独立编制。月度报表的编制，应于每月终了后5个工作日内完成。</w:t>
      </w:r>
    </w:p>
    <w:p>
      <w:pPr>
        <w:spacing w:line="360" w:lineRule="auto"/>
        <w:ind w:firstLine="420" w:firstLineChars="200"/>
        <w:rPr>
          <w:rFonts w:ascii="宋体" w:hAnsi="宋体"/>
          <w:szCs w:val="21"/>
        </w:rPr>
      </w:pPr>
      <w:r>
        <w:rPr>
          <w:rFonts w:hint="eastAsia" w:ascii="宋体" w:hAnsi="宋体"/>
          <w:szCs w:val="21"/>
        </w:rPr>
        <w:t>2.《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会计年度半年终了后两个月内完成中期报告编制并公告；在会计年度结束后三个月内完成年度报告编制并公告。</w:t>
      </w:r>
    </w:p>
    <w:p>
      <w:pPr>
        <w:spacing w:line="360" w:lineRule="auto"/>
        <w:ind w:firstLine="420" w:firstLineChars="200"/>
        <w:rPr>
          <w:rFonts w:ascii="宋体" w:hAnsi="宋体"/>
          <w:szCs w:val="21"/>
        </w:rPr>
      </w:pPr>
      <w:r>
        <w:rPr>
          <w:rFonts w:hint="eastAsia" w:ascii="宋体" w:hAnsi="宋体"/>
          <w:szCs w:val="21"/>
        </w:rPr>
        <w:t>3.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半年中期报告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pPr>
        <w:spacing w:line="360" w:lineRule="auto"/>
        <w:ind w:firstLine="420" w:firstLineChars="200"/>
        <w:rPr>
          <w:rFonts w:ascii="宋体" w:hAnsi="宋体"/>
          <w:szCs w:val="21"/>
        </w:rPr>
      </w:pPr>
      <w:r>
        <w:rPr>
          <w:rFonts w:hint="eastAsia" w:ascii="宋体" w:hAnsi="宋体"/>
          <w:szCs w:val="21"/>
        </w:rPr>
        <w:t>4.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Pr>
          <w:rFonts w:hint="eastAsia" w:ascii="宋体" w:hAnsi="宋体"/>
          <w:kern w:val="44"/>
          <w:szCs w:val="21"/>
        </w:rPr>
        <w:t>如果基金管理人与基金托管人不能于应当发布公告之日之前就相关报表达成一致，基金管理人有权按照其编制的报表对外发布公告，基金托管人有权就相关情况报中国证监会备案。</w:t>
      </w:r>
    </w:p>
    <w:p>
      <w:pPr>
        <w:spacing w:line="360" w:lineRule="auto"/>
        <w:ind w:firstLine="420" w:firstLineChars="200"/>
        <w:rPr>
          <w:rFonts w:ascii="宋体" w:hAnsi="宋体"/>
          <w:szCs w:val="21"/>
        </w:rPr>
      </w:pPr>
      <w:r>
        <w:rPr>
          <w:rFonts w:hint="eastAsia" w:ascii="宋体" w:hAnsi="宋体"/>
          <w:szCs w:val="21"/>
        </w:rPr>
        <w:t>5.基金托管人在对财务会计报告、半年中期报告或年度报告复核完毕后，需盖章确认或出具相应的复核确认书，以备有权机构对相关文件审核时提示。</w:t>
      </w:r>
    </w:p>
    <w:p>
      <w:pPr>
        <w:spacing w:line="360" w:lineRule="auto"/>
        <w:ind w:firstLine="420" w:firstLineChars="200"/>
        <w:rPr>
          <w:rFonts w:ascii="宋体" w:hAnsi="宋体"/>
          <w:szCs w:val="21"/>
        </w:rPr>
      </w:pPr>
      <w:r>
        <w:rPr>
          <w:rFonts w:hint="eastAsia" w:ascii="宋体" w:hAnsi="宋体"/>
          <w:szCs w:val="21"/>
        </w:rPr>
        <w:t>6.基金定期报告应当在公开披露的第2个工作日，分别报中国证监会和基金管理人主要办公场所所在地中国证监会派出机构备案。</w:t>
      </w:r>
    </w:p>
    <w:p>
      <w:pPr>
        <w:spacing w:line="360" w:lineRule="auto"/>
        <w:ind w:firstLine="420" w:firstLineChars="200"/>
        <w:rPr>
          <w:rFonts w:ascii="宋体" w:hAnsi="宋体"/>
          <w:szCs w:val="21"/>
        </w:rPr>
      </w:pPr>
    </w:p>
    <w:p>
      <w:pPr>
        <w:jc w:val="left"/>
        <w:rPr>
          <w:rFonts w:ascii="宋体" w:hAnsi="宋体"/>
          <w:b/>
          <w:sz w:val="24"/>
        </w:rPr>
      </w:pPr>
      <w:bookmarkStart w:id="60" w:name="_Toc382819118"/>
      <w:r>
        <w:rPr>
          <w:rFonts w:hint="eastAsia" w:ascii="宋体" w:hAnsi="宋体"/>
          <w:b/>
          <w:sz w:val="24"/>
        </w:rPr>
        <w:br w:type="page"/>
      </w:r>
    </w:p>
    <w:p>
      <w:pPr>
        <w:spacing w:before="312" w:beforeLines="100" w:after="312" w:afterLines="100" w:line="240" w:lineRule="atLeast"/>
        <w:jc w:val="center"/>
        <w:outlineLvl w:val="0"/>
        <w:rPr>
          <w:rFonts w:ascii="宋体" w:hAnsi="宋体"/>
          <w:b/>
          <w:sz w:val="24"/>
        </w:rPr>
      </w:pPr>
      <w:r>
        <w:rPr>
          <w:rFonts w:hint="eastAsia" w:ascii="宋体" w:hAnsi="宋体"/>
          <w:b/>
          <w:sz w:val="24"/>
        </w:rPr>
        <w:t>八、基金收益分配</w:t>
      </w:r>
      <w:bookmarkEnd w:id="60"/>
    </w:p>
    <w:p>
      <w:pPr>
        <w:spacing w:line="360" w:lineRule="auto"/>
        <w:ind w:firstLine="420" w:firstLineChars="200"/>
        <w:textAlignment w:val="baseline"/>
        <w:rPr>
          <w:rFonts w:ascii="宋体" w:hAnsi="宋体" w:cs="Arial"/>
          <w:kern w:val="0"/>
          <w:szCs w:val="21"/>
        </w:rPr>
      </w:pPr>
      <w:bookmarkStart w:id="61" w:name="_Toc382819119"/>
      <w:r>
        <w:rPr>
          <w:rFonts w:hint="eastAsia" w:ascii="宋体" w:hAnsi="宋体"/>
          <w:szCs w:val="21"/>
        </w:rPr>
        <w:t>（一）基金利润的构成</w:t>
      </w:r>
      <w:bookmarkEnd w:id="61"/>
    </w:p>
    <w:p>
      <w:pPr>
        <w:spacing w:line="360" w:lineRule="auto"/>
        <w:ind w:firstLine="420" w:firstLineChars="200"/>
        <w:rPr>
          <w:rFonts w:ascii="宋体" w:hAnsi="宋体"/>
          <w:szCs w:val="21"/>
        </w:rPr>
      </w:pPr>
      <w:r>
        <w:rPr>
          <w:rFonts w:hint="eastAsia" w:ascii="宋体" w:hAnsi="宋体"/>
          <w:szCs w:val="21"/>
        </w:rPr>
        <w:t>基金利润指基金利息收入、投资收益、公允价值变动收益和其他收入扣除相关费用后的余额，基金已实现收益指基金利润减去公允价值变动收益后的余额。</w:t>
      </w:r>
    </w:p>
    <w:p>
      <w:pPr>
        <w:spacing w:line="360" w:lineRule="auto"/>
        <w:ind w:firstLine="420" w:firstLineChars="200"/>
        <w:rPr>
          <w:rFonts w:ascii="宋体" w:hAnsi="宋体"/>
          <w:szCs w:val="21"/>
        </w:rPr>
      </w:pPr>
      <w:r>
        <w:rPr>
          <w:rFonts w:hint="eastAsia" w:ascii="宋体" w:hAnsi="宋体"/>
          <w:szCs w:val="21"/>
        </w:rPr>
        <w:t>（二）基金可供分配利润</w:t>
      </w:r>
    </w:p>
    <w:p>
      <w:pPr>
        <w:spacing w:line="360" w:lineRule="auto"/>
        <w:ind w:firstLine="420" w:firstLineChars="200"/>
        <w:rPr>
          <w:rFonts w:ascii="宋体" w:hAnsi="宋体"/>
          <w:szCs w:val="21"/>
        </w:rPr>
      </w:pPr>
      <w:r>
        <w:rPr>
          <w:rFonts w:hint="eastAsia" w:ascii="宋体" w:hAnsi="宋体"/>
          <w:szCs w:val="21"/>
        </w:rPr>
        <w:t>基金可供分配利润指截至收益分配基准日基金未分配利润与未分配利润中已实现收益的孰低数。</w:t>
      </w:r>
    </w:p>
    <w:p>
      <w:pPr>
        <w:spacing w:line="360" w:lineRule="auto"/>
        <w:ind w:firstLine="420" w:firstLineChars="200"/>
        <w:rPr>
          <w:rFonts w:ascii="宋体" w:hAnsi="宋体"/>
          <w:szCs w:val="21"/>
        </w:rPr>
      </w:pPr>
      <w:r>
        <w:rPr>
          <w:rFonts w:hint="eastAsia" w:ascii="宋体" w:hAnsi="宋体"/>
          <w:szCs w:val="21"/>
        </w:rPr>
        <w:t>（三）基金收益分配原则</w:t>
      </w:r>
    </w:p>
    <w:p>
      <w:pPr>
        <w:spacing w:line="360" w:lineRule="auto"/>
        <w:ind w:firstLine="420" w:firstLineChars="200"/>
        <w:rPr>
          <w:rFonts w:ascii="宋体" w:hAnsi="宋体"/>
          <w:szCs w:val="21"/>
        </w:rPr>
      </w:pPr>
      <w:r>
        <w:rPr>
          <w:rFonts w:hint="eastAsia" w:ascii="宋体" w:hAnsi="宋体"/>
          <w:szCs w:val="21"/>
        </w:rPr>
        <w:t>1、在符合有关基金分红条件的前提下，本基金管理人可以根据实际情况进行收益分配，具体分配方案以公告为准。若《基金合同》生效不满3个月可不进行收益分配。</w:t>
      </w:r>
    </w:p>
    <w:p>
      <w:pPr>
        <w:spacing w:line="360" w:lineRule="auto"/>
        <w:ind w:firstLine="420" w:firstLineChars="200"/>
        <w:rPr>
          <w:rFonts w:ascii="宋体" w:hAnsi="宋体"/>
          <w:szCs w:val="21"/>
        </w:rPr>
      </w:pPr>
      <w:r>
        <w:rPr>
          <w:rFonts w:hint="eastAsia" w:ascii="宋体" w:hAnsi="宋体"/>
          <w:szCs w:val="21"/>
        </w:rPr>
        <w:t>2、本基金收益分配方式分两种：现金分红与红利再投资，投资者可选择现金红利或将现金红利自动转为基金份额进行再投资；若投资者不选择，本基金默认的收益分配方式是现金分红；红利再投资所得份额的持有期，按原份额的持有期计算。</w:t>
      </w:r>
    </w:p>
    <w:p>
      <w:pPr>
        <w:spacing w:line="360" w:lineRule="auto"/>
        <w:ind w:firstLine="420" w:firstLineChars="200"/>
        <w:rPr>
          <w:rFonts w:ascii="宋体" w:hAnsi="宋体"/>
          <w:szCs w:val="21"/>
        </w:rPr>
      </w:pPr>
      <w:r>
        <w:rPr>
          <w:rFonts w:hint="eastAsia" w:ascii="宋体" w:hAnsi="宋体"/>
          <w:szCs w:val="21"/>
        </w:rPr>
        <w:t>3、基金收益分配后基金份额净值不能低于面值；即基金收益分配基准日的基金份额净值减去每单位基金份额收益分配金额后不能低于面值。</w:t>
      </w:r>
    </w:p>
    <w:p>
      <w:pPr>
        <w:spacing w:line="360" w:lineRule="auto"/>
        <w:ind w:firstLine="420" w:firstLineChars="200"/>
        <w:rPr>
          <w:rFonts w:ascii="宋体" w:hAnsi="宋体"/>
          <w:szCs w:val="21"/>
        </w:rPr>
      </w:pPr>
      <w:r>
        <w:rPr>
          <w:rFonts w:hint="eastAsia" w:ascii="宋体" w:hAnsi="宋体"/>
          <w:szCs w:val="21"/>
        </w:rPr>
        <w:t>4、每一基金份额享有同等分配权。</w:t>
      </w:r>
    </w:p>
    <w:p>
      <w:pPr>
        <w:spacing w:line="360" w:lineRule="auto"/>
        <w:ind w:firstLine="420" w:firstLineChars="200"/>
        <w:rPr>
          <w:rFonts w:ascii="宋体" w:hAnsi="宋体"/>
          <w:szCs w:val="21"/>
        </w:rPr>
      </w:pPr>
      <w:r>
        <w:rPr>
          <w:rFonts w:hint="eastAsia" w:ascii="宋体" w:hAnsi="宋体"/>
          <w:szCs w:val="21"/>
        </w:rPr>
        <w:t>5、法律法规或监管机关另有规定的，从其规定。</w:t>
      </w:r>
    </w:p>
    <w:p>
      <w:pPr>
        <w:spacing w:line="360" w:lineRule="auto"/>
        <w:ind w:firstLine="420" w:firstLineChars="200"/>
        <w:rPr>
          <w:rFonts w:ascii="宋体" w:hAnsi="宋体"/>
          <w:szCs w:val="21"/>
        </w:rPr>
      </w:pPr>
      <w:r>
        <w:rPr>
          <w:rFonts w:hint="eastAsia" w:ascii="宋体" w:hAnsi="宋体"/>
          <w:szCs w:val="21"/>
        </w:rPr>
        <w:t>在不违反法律法规且对基金份额持有人利益无实质性不利影响的前提下，基金管理人可对基金收益分配原则进行调整，无需召开基金份额持有人大会。</w:t>
      </w:r>
    </w:p>
    <w:p>
      <w:pPr>
        <w:spacing w:line="360" w:lineRule="auto"/>
        <w:ind w:firstLine="420" w:firstLineChars="200"/>
        <w:rPr>
          <w:rFonts w:ascii="宋体" w:hAnsi="宋体"/>
          <w:szCs w:val="21"/>
        </w:rPr>
      </w:pPr>
      <w:r>
        <w:rPr>
          <w:rFonts w:hint="eastAsia" w:ascii="宋体" w:hAnsi="宋体"/>
          <w:szCs w:val="21"/>
        </w:rPr>
        <w:t>（四）收益分配方案</w:t>
      </w:r>
    </w:p>
    <w:p>
      <w:pPr>
        <w:spacing w:line="360" w:lineRule="auto"/>
        <w:ind w:firstLine="420" w:firstLineChars="200"/>
        <w:rPr>
          <w:rFonts w:ascii="宋体" w:hAnsi="宋体"/>
          <w:szCs w:val="21"/>
        </w:rPr>
      </w:pPr>
      <w:r>
        <w:rPr>
          <w:rFonts w:hint="eastAsia" w:ascii="宋体" w:hAnsi="宋体"/>
          <w:szCs w:val="21"/>
        </w:rPr>
        <w:t>基金收益分配方案中应载明截止收益分配基准日的可供分配利润、基金收益分配对象、分配时间、分配数额及比例、分配方式等内容。</w:t>
      </w:r>
    </w:p>
    <w:p>
      <w:pPr>
        <w:spacing w:line="360" w:lineRule="auto"/>
        <w:ind w:firstLine="420" w:firstLineChars="200"/>
        <w:rPr>
          <w:rFonts w:ascii="宋体" w:hAnsi="宋体"/>
          <w:szCs w:val="21"/>
        </w:rPr>
      </w:pPr>
      <w:r>
        <w:rPr>
          <w:rFonts w:hint="eastAsia" w:ascii="宋体" w:hAnsi="宋体"/>
          <w:szCs w:val="21"/>
        </w:rPr>
        <w:t>（五）收益分配方案的确定、公告与实施</w:t>
      </w:r>
    </w:p>
    <w:p>
      <w:pPr>
        <w:spacing w:line="360" w:lineRule="auto"/>
        <w:ind w:firstLine="420" w:firstLineChars="200"/>
        <w:rPr>
          <w:rFonts w:ascii="宋体" w:hAnsi="宋体"/>
          <w:szCs w:val="21"/>
        </w:rPr>
      </w:pPr>
      <w:r>
        <w:rPr>
          <w:rFonts w:hint="eastAsia" w:ascii="宋体" w:hAnsi="宋体"/>
          <w:szCs w:val="21"/>
        </w:rPr>
        <w:t>本基金收益分配方案由基金管理人拟定，并由基金托管人复核，依照《信息披露办法》的有关规定在规定媒介公告。</w:t>
      </w:r>
    </w:p>
    <w:p>
      <w:pPr>
        <w:spacing w:line="360" w:lineRule="auto"/>
        <w:ind w:firstLine="420" w:firstLineChars="200"/>
        <w:rPr>
          <w:rFonts w:ascii="宋体" w:hAnsi="宋体"/>
          <w:szCs w:val="21"/>
        </w:rPr>
      </w:pPr>
      <w:r>
        <w:rPr>
          <w:rFonts w:hint="eastAsia" w:ascii="宋体" w:hAnsi="宋体"/>
          <w:szCs w:val="21"/>
        </w:rPr>
        <w:t>在收益分配方案公布后，基金管理人依据具体方案的规定就支付的现金红利向基金托管人发送划款指令，基金托管人按照基金管理人的正当指令及时进行分红资金的划付。</w:t>
      </w:r>
    </w:p>
    <w:p>
      <w:pPr>
        <w:spacing w:line="360" w:lineRule="auto"/>
        <w:ind w:firstLine="420" w:firstLineChars="200"/>
        <w:rPr>
          <w:rFonts w:ascii="宋体" w:hAnsi="宋体"/>
          <w:szCs w:val="21"/>
        </w:rPr>
      </w:pPr>
      <w:r>
        <w:rPr>
          <w:rFonts w:hint="eastAsia" w:ascii="宋体" w:hAnsi="宋体"/>
          <w:szCs w:val="21"/>
        </w:rPr>
        <w:t>（六）基金收益分配中发生的费用</w:t>
      </w:r>
    </w:p>
    <w:p>
      <w:pPr>
        <w:spacing w:line="360" w:lineRule="auto"/>
        <w:ind w:firstLine="420" w:firstLineChars="200"/>
        <w:rPr>
          <w:rFonts w:ascii="宋体" w:hAnsi="宋体"/>
          <w:szCs w:val="21"/>
        </w:rPr>
      </w:pPr>
      <w:r>
        <w:rPr>
          <w:rFonts w:hint="eastAsia" w:ascii="宋体" w:hAnsi="宋体"/>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pPr>
        <w:spacing w:line="360" w:lineRule="auto"/>
        <w:ind w:firstLine="420" w:firstLineChars="200"/>
        <w:rPr>
          <w:rFonts w:ascii="宋体" w:hAnsi="宋体"/>
          <w:szCs w:val="21"/>
        </w:rPr>
      </w:pPr>
      <w:r>
        <w:rPr>
          <w:rFonts w:hint="eastAsia" w:ascii="宋体" w:hAnsi="宋体"/>
          <w:szCs w:val="21"/>
        </w:rPr>
        <w:t>（七）实施侧袋机制期间的收益分配</w:t>
      </w:r>
    </w:p>
    <w:p>
      <w:pPr>
        <w:spacing w:line="360" w:lineRule="auto"/>
        <w:ind w:firstLine="420" w:firstLineChars="200"/>
        <w:rPr>
          <w:rFonts w:ascii="宋体" w:hAnsi="宋体"/>
          <w:szCs w:val="21"/>
        </w:rPr>
      </w:pPr>
      <w:r>
        <w:rPr>
          <w:rFonts w:hint="eastAsia" w:ascii="宋体" w:hAnsi="宋体"/>
          <w:szCs w:val="21"/>
        </w:rPr>
        <w:t>本基金实施侧袋机制的，侧袋账户不进行收益分配，详见招募说明书的规定。</w:t>
      </w:r>
      <w:bookmarkStart w:id="62" w:name="_Toc382819121"/>
    </w:p>
    <w:p>
      <w:pPr>
        <w:spacing w:line="500" w:lineRule="atLeast"/>
        <w:jc w:val="center"/>
        <w:rPr>
          <w:rFonts w:ascii="宋体" w:hAnsi="宋体"/>
          <w:szCs w:val="21"/>
        </w:rPr>
      </w:pPr>
    </w:p>
    <w:p>
      <w:pPr>
        <w:jc w:val="left"/>
        <w:rPr>
          <w:rFonts w:ascii="宋体" w:hAnsi="宋体"/>
          <w:b/>
          <w:sz w:val="24"/>
        </w:rPr>
      </w:pPr>
      <w:r>
        <w:rPr>
          <w:rFonts w:hint="eastAsia" w:ascii="宋体" w:hAnsi="宋体"/>
          <w:b/>
          <w:sz w:val="24"/>
        </w:rPr>
        <w:br w:type="page"/>
      </w:r>
    </w:p>
    <w:p>
      <w:pPr>
        <w:spacing w:before="312" w:beforeLines="100" w:after="312" w:afterLines="100" w:line="500" w:lineRule="atLeast"/>
        <w:jc w:val="center"/>
        <w:outlineLvl w:val="0"/>
        <w:rPr>
          <w:rFonts w:ascii="宋体" w:hAnsi="宋体"/>
        </w:rPr>
      </w:pPr>
      <w:r>
        <w:rPr>
          <w:rFonts w:hint="eastAsia" w:ascii="宋体" w:hAnsi="宋体"/>
          <w:b/>
          <w:sz w:val="24"/>
        </w:rPr>
        <w:t>九、信息披露</w:t>
      </w:r>
      <w:bookmarkEnd w:id="62"/>
    </w:p>
    <w:p>
      <w:pPr>
        <w:spacing w:line="360" w:lineRule="auto"/>
        <w:ind w:firstLine="420" w:firstLineChars="200"/>
        <w:textAlignment w:val="baseline"/>
        <w:rPr>
          <w:rFonts w:ascii="宋体" w:hAnsi="宋体" w:cs="Arial"/>
          <w:kern w:val="0"/>
          <w:szCs w:val="21"/>
        </w:rPr>
      </w:pPr>
      <w:bookmarkStart w:id="63" w:name="_Toc382819122"/>
      <w:r>
        <w:rPr>
          <w:rFonts w:hint="eastAsia" w:ascii="宋体" w:hAnsi="宋体"/>
          <w:szCs w:val="21"/>
        </w:rPr>
        <w:t>（一）</w:t>
      </w:r>
      <w:r>
        <w:rPr>
          <w:rFonts w:hint="eastAsia" w:ascii="宋体" w:hAnsi="宋体" w:cs="Arial"/>
          <w:kern w:val="0"/>
          <w:szCs w:val="21"/>
        </w:rPr>
        <w:t>保密义务</w:t>
      </w:r>
      <w:bookmarkEnd w:id="63"/>
    </w:p>
    <w:p>
      <w:pPr>
        <w:spacing w:line="360" w:lineRule="auto"/>
        <w:ind w:firstLine="420" w:firstLineChars="200"/>
        <w:rPr>
          <w:rFonts w:ascii="宋体" w:hAnsi="宋体"/>
          <w:szCs w:val="21"/>
        </w:rPr>
      </w:pPr>
      <w:r>
        <w:rPr>
          <w:rFonts w:hint="eastAsia" w:ascii="宋体" w:hAnsi="宋体"/>
          <w:szCs w:val="21"/>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pPr>
        <w:pStyle w:val="12"/>
        <w:ind w:firstLine="420" w:firstLineChars="200"/>
        <w:rPr>
          <w:rFonts w:ascii="宋体" w:hAnsi="宋体"/>
          <w:szCs w:val="21"/>
        </w:rPr>
      </w:pPr>
      <w:r>
        <w:rPr>
          <w:rFonts w:hint="eastAsia" w:ascii="宋体" w:hAnsi="宋体"/>
          <w:szCs w:val="21"/>
        </w:rPr>
        <w:t>1.非因基金管理人和基金托管人的原因导致保密信息被披露、泄露或公开；</w:t>
      </w:r>
    </w:p>
    <w:p>
      <w:pPr>
        <w:spacing w:line="360" w:lineRule="auto"/>
        <w:ind w:firstLine="420" w:firstLineChars="200"/>
        <w:rPr>
          <w:rFonts w:ascii="宋体" w:hAnsi="宋体"/>
          <w:szCs w:val="21"/>
        </w:rPr>
      </w:pPr>
      <w:r>
        <w:rPr>
          <w:rFonts w:hint="eastAsia" w:ascii="宋体" w:hAnsi="宋体"/>
          <w:szCs w:val="21"/>
        </w:rPr>
        <w:t>2.基金管理人和基金托管人为遵守和服从法院判决、仲裁裁决或中国证监会等监管机构的命令、决定所做出的信息披露或公开。</w:t>
      </w:r>
    </w:p>
    <w:p>
      <w:pPr>
        <w:spacing w:line="360" w:lineRule="auto"/>
        <w:ind w:firstLine="420" w:firstLineChars="200"/>
        <w:textAlignment w:val="baseline"/>
        <w:rPr>
          <w:rFonts w:ascii="宋体" w:hAnsi="宋体"/>
          <w:szCs w:val="21"/>
        </w:rPr>
      </w:pPr>
      <w:r>
        <w:rPr>
          <w:rFonts w:hint="eastAsia" w:ascii="宋体" w:hAnsi="宋体"/>
          <w:szCs w:val="21"/>
        </w:rPr>
        <w:t>（二）信息披露的内容</w:t>
      </w:r>
    </w:p>
    <w:p>
      <w:pPr>
        <w:tabs>
          <w:tab w:val="left" w:pos="4680"/>
        </w:tabs>
        <w:spacing w:line="360" w:lineRule="auto"/>
        <w:ind w:firstLine="420" w:firstLineChars="200"/>
        <w:rPr>
          <w:rFonts w:ascii="宋体" w:hAnsi="宋体"/>
          <w:szCs w:val="21"/>
        </w:rPr>
      </w:pPr>
      <w:r>
        <w:rPr>
          <w:rFonts w:hint="eastAsia" w:ascii="宋体" w:hAnsi="宋体"/>
          <w:szCs w:val="21"/>
        </w:rPr>
        <w:t>1.基金管理人和基金托管人应根据相关法律法规、《基金合同》的规定各自承担相应的信息披露职责。基金管理人和基金托管人负有积极配合、互相督促、彼此监督、保证其履行按照法定方式和时限披露的义务。</w:t>
      </w:r>
    </w:p>
    <w:p>
      <w:pPr>
        <w:tabs>
          <w:tab w:val="left" w:pos="4680"/>
        </w:tabs>
        <w:spacing w:line="360" w:lineRule="auto"/>
        <w:ind w:firstLine="420" w:firstLineChars="200"/>
        <w:rPr>
          <w:rFonts w:ascii="宋体" w:hAnsi="宋体"/>
          <w:szCs w:val="21"/>
        </w:rPr>
      </w:pPr>
      <w:r>
        <w:rPr>
          <w:rFonts w:hint="eastAsia" w:ascii="宋体" w:hAnsi="宋体"/>
          <w:szCs w:val="21"/>
        </w:rPr>
        <w:t>2.本基金的信息披露主要包括基金招募说明书、《基金合同》、基金托管协议、基金产品资料概要、基金份额发售公告、《基金合同》生效公告、基金定期报告（包括基金年度报告、基金中期报告和基金季度报告）、临时报告、基金净值信息、基金份额申购、赎回价格、澄清公告、基金份额持有人大会决议、清算报告、资产支持证券、国债期货、股指期货和股票期权的投资情况、投资于参与港股通标的股票交易情况、参与融资交易情况、实施侧袋机制期间的信息披露等其他必要的公告文件，由基金管理人拟定并负责公布。</w:t>
      </w:r>
    </w:p>
    <w:p>
      <w:pPr>
        <w:tabs>
          <w:tab w:val="left" w:pos="4680"/>
        </w:tabs>
        <w:spacing w:line="360" w:lineRule="auto"/>
        <w:ind w:firstLine="420" w:firstLineChars="200"/>
        <w:rPr>
          <w:rFonts w:ascii="宋体" w:hAnsi="宋体"/>
          <w:szCs w:val="21"/>
        </w:rPr>
      </w:pPr>
      <w:r>
        <w:rPr>
          <w:rFonts w:hint="eastAsia" w:ascii="宋体" w:hAnsi="宋体"/>
          <w:szCs w:val="21"/>
        </w:rPr>
        <w:t>3.基金管理人与基金托管人应严格遵守《基金合同》所规定的信息披露要求。基金净值信息、基金份额净值、基金份额申购赎回价格、基金定期报告和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年度报告中的财务报告部分，应当经过符合《中华人民共和国证券法》规定的会计师事务所审计后，方可披露。</w:t>
      </w:r>
    </w:p>
    <w:p>
      <w:pPr>
        <w:tabs>
          <w:tab w:val="left" w:pos="4680"/>
        </w:tabs>
        <w:spacing w:line="360" w:lineRule="auto"/>
        <w:ind w:firstLine="420" w:firstLineChars="200"/>
        <w:rPr>
          <w:rFonts w:ascii="宋体" w:hAnsi="宋体"/>
          <w:szCs w:val="21"/>
        </w:rPr>
      </w:pPr>
      <w:bookmarkStart w:id="64" w:name="_Toc382819123"/>
      <w:r>
        <w:rPr>
          <w:rFonts w:hint="eastAsia" w:ascii="宋体" w:hAnsi="宋体"/>
          <w:szCs w:val="21"/>
        </w:rPr>
        <w:t>4.基金管理人应当在中国证监会规定的时间内，将应予披露的基金信息通过符合中国证监会规定条件的报刊及《信息披露办法》规定的互联网网站等媒介披露。根据法律法规应由基金托管人公开披露的信息，基金托管人将通过规定报刊或基金托管人的互联网网站公开披露。</w:t>
      </w:r>
      <w:bookmarkEnd w:id="64"/>
    </w:p>
    <w:p>
      <w:pPr>
        <w:spacing w:line="360" w:lineRule="auto"/>
        <w:ind w:firstLine="420" w:firstLineChars="200"/>
        <w:textAlignment w:val="baseline"/>
        <w:rPr>
          <w:rFonts w:ascii="宋体" w:hAnsi="宋体"/>
          <w:szCs w:val="21"/>
        </w:rPr>
      </w:pPr>
      <w:bookmarkStart w:id="65" w:name="_Toc382819124"/>
      <w:r>
        <w:rPr>
          <w:rFonts w:hint="eastAsia" w:ascii="宋体" w:hAnsi="宋体"/>
          <w:szCs w:val="21"/>
        </w:rPr>
        <w:t>（三）基金管理人和基金托管人在信息披露中的职责和信息披露程序</w:t>
      </w:r>
      <w:bookmarkEnd w:id="65"/>
    </w:p>
    <w:p>
      <w:pPr>
        <w:tabs>
          <w:tab w:val="left" w:pos="4680"/>
        </w:tabs>
        <w:spacing w:line="360" w:lineRule="auto"/>
        <w:ind w:firstLine="420" w:firstLineChars="200"/>
        <w:rPr>
          <w:rFonts w:ascii="宋体" w:hAnsi="宋体"/>
          <w:szCs w:val="21"/>
        </w:rPr>
      </w:pPr>
      <w:r>
        <w:rPr>
          <w:rFonts w:hint="eastAsia" w:ascii="宋体" w:hAnsi="宋体"/>
          <w:szCs w:val="21"/>
        </w:rPr>
        <w:t>基金管理人、基金托管人应当建立健全信息披露管理制度，指定专门部门及高级管理人员负责管理信息披露事务。</w:t>
      </w:r>
    </w:p>
    <w:p>
      <w:pPr>
        <w:tabs>
          <w:tab w:val="left" w:pos="4680"/>
        </w:tabs>
        <w:spacing w:line="360" w:lineRule="auto"/>
        <w:ind w:firstLine="420" w:firstLineChars="200"/>
        <w:rPr>
          <w:rFonts w:ascii="宋体" w:hAnsi="宋体"/>
          <w:szCs w:val="21"/>
        </w:rPr>
      </w:pPr>
      <w:r>
        <w:rPr>
          <w:rFonts w:hint="eastAsia" w:ascii="宋体" w:hAnsi="宋体"/>
          <w:szCs w:val="21"/>
        </w:rPr>
        <w:t>基金信息披露义务人公开披露基金信息，应当符合中国证监会相关基金信息披露内容与格式准则等法规的规定。</w:t>
      </w:r>
    </w:p>
    <w:p>
      <w:pPr>
        <w:tabs>
          <w:tab w:val="left" w:pos="4680"/>
        </w:tabs>
        <w:spacing w:line="360" w:lineRule="auto"/>
        <w:ind w:firstLine="420" w:firstLineChars="200"/>
        <w:rPr>
          <w:rFonts w:ascii="宋体" w:hAnsi="宋体"/>
          <w:szCs w:val="21"/>
        </w:rPr>
      </w:pPr>
      <w:r>
        <w:rPr>
          <w:rFonts w:hint="eastAsia" w:ascii="宋体" w:hAnsi="宋体"/>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tabs>
          <w:tab w:val="left" w:pos="4680"/>
        </w:tabs>
        <w:spacing w:line="360" w:lineRule="auto"/>
        <w:ind w:firstLine="420" w:firstLineChars="200"/>
        <w:rPr>
          <w:rFonts w:ascii="宋体" w:hAnsi="宋体"/>
          <w:szCs w:val="21"/>
        </w:rPr>
      </w:pPr>
      <w:r>
        <w:rPr>
          <w:rFonts w:hint="eastAsia" w:ascii="宋体" w:hAnsi="宋体"/>
          <w:szCs w:val="21"/>
        </w:rPr>
        <w:t>基金管理人、基金托管人应当在规定媒介中选择一家报刊披露本基金信息。基金管理人、基金托管人应当向中国证监会基金电子披露网站报送拟披露的基金信息，并保证相关报送信息的真实、准确、完整、及时。</w:t>
      </w:r>
    </w:p>
    <w:p>
      <w:pPr>
        <w:tabs>
          <w:tab w:val="left" w:pos="4680"/>
        </w:tabs>
        <w:spacing w:line="360" w:lineRule="auto"/>
        <w:ind w:firstLine="420" w:firstLineChars="200"/>
        <w:rPr>
          <w:rFonts w:ascii="宋体" w:hAnsi="宋体"/>
          <w:szCs w:val="21"/>
        </w:rPr>
      </w:pPr>
      <w:r>
        <w:rPr>
          <w:rFonts w:hint="eastAsia" w:ascii="宋体" w:hAnsi="宋体"/>
          <w:szCs w:val="21"/>
        </w:rPr>
        <w:t>为强化投资者保护，提升信息披露服务质量，基金管理人应当按照中国证监会规定向投资者及时提供对其投资决策有重大影响的信息，基金销售机构应当按照中国证监会规定做好信息传递工作。</w:t>
      </w:r>
    </w:p>
    <w:p>
      <w:pPr>
        <w:tabs>
          <w:tab w:val="left" w:pos="4680"/>
        </w:tabs>
        <w:spacing w:line="360" w:lineRule="auto"/>
        <w:ind w:firstLine="420" w:firstLineChars="200"/>
        <w:rPr>
          <w:rFonts w:ascii="宋体" w:hAnsi="宋体"/>
          <w:szCs w:val="21"/>
        </w:rPr>
      </w:pPr>
      <w:r>
        <w:rPr>
          <w:rFonts w:hint="eastAsia" w:ascii="宋体" w:hAnsi="宋体"/>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pPr>
        <w:tabs>
          <w:tab w:val="left" w:pos="4680"/>
        </w:tabs>
        <w:spacing w:line="360" w:lineRule="auto"/>
        <w:ind w:firstLine="420" w:firstLineChars="200"/>
        <w:rPr>
          <w:rFonts w:ascii="宋体" w:hAnsi="宋体"/>
          <w:szCs w:val="21"/>
        </w:rPr>
      </w:pPr>
      <w:r>
        <w:rPr>
          <w:rFonts w:hint="eastAsia" w:ascii="宋体" w:hAnsi="宋体"/>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tabs>
          <w:tab w:val="left" w:pos="4680"/>
        </w:tabs>
        <w:spacing w:line="360" w:lineRule="auto"/>
        <w:ind w:firstLine="420" w:firstLineChars="200"/>
        <w:rPr>
          <w:rFonts w:ascii="宋体" w:hAnsi="宋体"/>
          <w:szCs w:val="21"/>
        </w:rPr>
      </w:pPr>
      <w:r>
        <w:rPr>
          <w:rFonts w:hint="eastAsia" w:ascii="宋体" w:hAnsi="宋体"/>
          <w:szCs w:val="21"/>
        </w:rPr>
        <w:t>为基金信息披露义务人公开披露的基金信息出具审计报告、法律意见书的专业机构，应当制作工作底稿，并将相关档案至少保存到基金合同终止后10年。</w:t>
      </w:r>
    </w:p>
    <w:p>
      <w:pPr>
        <w:tabs>
          <w:tab w:val="left" w:pos="4680"/>
        </w:tabs>
        <w:spacing w:line="360" w:lineRule="auto"/>
        <w:ind w:firstLine="420" w:firstLineChars="200"/>
        <w:rPr>
          <w:rFonts w:ascii="宋体" w:hAnsi="宋体"/>
          <w:szCs w:val="21"/>
        </w:rPr>
      </w:pPr>
      <w:r>
        <w:rPr>
          <w:rFonts w:hint="eastAsia" w:ascii="宋体" w:hAnsi="宋体"/>
          <w:szCs w:val="21"/>
        </w:rPr>
        <w:t>（四）信息披露文件的存放与查阅</w:t>
      </w:r>
    </w:p>
    <w:p>
      <w:pPr>
        <w:spacing w:line="360" w:lineRule="auto"/>
        <w:ind w:firstLine="420" w:firstLineChars="200"/>
        <w:rPr>
          <w:rFonts w:ascii="宋体" w:hAnsi="宋体"/>
          <w:szCs w:val="21"/>
        </w:rPr>
      </w:pPr>
      <w:r>
        <w:rPr>
          <w:rFonts w:hint="eastAsia" w:ascii="宋体" w:hAnsi="宋体"/>
          <w:szCs w:val="21"/>
        </w:rPr>
        <w:t>依法必须披露的信息发布后，基金管理人、基金托管人应当按照相关法律法规规定将信息置备于各自住所，供社会公众查阅、复制。</w:t>
      </w:r>
    </w:p>
    <w:p>
      <w:pPr>
        <w:spacing w:line="360" w:lineRule="auto"/>
        <w:ind w:firstLine="420" w:firstLineChars="200"/>
        <w:rPr>
          <w:rFonts w:ascii="宋体" w:hAnsi="宋体"/>
          <w:szCs w:val="21"/>
        </w:rPr>
      </w:pPr>
      <w:r>
        <w:rPr>
          <w:rFonts w:hint="eastAsia" w:ascii="宋体" w:hAnsi="宋体"/>
          <w:szCs w:val="21"/>
        </w:rPr>
        <w:t>（五）暂停或延迟信息披露的情形</w:t>
      </w:r>
    </w:p>
    <w:p>
      <w:pPr>
        <w:spacing w:line="360" w:lineRule="auto"/>
        <w:ind w:firstLine="420" w:firstLineChars="200"/>
        <w:rPr>
          <w:rFonts w:ascii="宋体" w:hAnsi="宋体"/>
          <w:szCs w:val="21"/>
        </w:rPr>
      </w:pPr>
      <w:r>
        <w:rPr>
          <w:rFonts w:hint="eastAsia" w:ascii="宋体" w:hAnsi="宋体"/>
          <w:szCs w:val="21"/>
        </w:rPr>
        <w:t>当出现下述情况时，基金管理人和基金托管人可暂停或延迟披露基金相关信息：</w:t>
      </w:r>
    </w:p>
    <w:p>
      <w:pPr>
        <w:spacing w:line="360" w:lineRule="auto"/>
        <w:ind w:firstLine="420" w:firstLineChars="200"/>
        <w:rPr>
          <w:rFonts w:ascii="宋体" w:hAnsi="宋体"/>
          <w:szCs w:val="21"/>
        </w:rPr>
      </w:pPr>
      <w:r>
        <w:rPr>
          <w:rFonts w:hint="eastAsia" w:ascii="宋体" w:hAnsi="宋体"/>
          <w:szCs w:val="21"/>
        </w:rPr>
        <w:t>（1）不可抗力；</w:t>
      </w:r>
    </w:p>
    <w:p>
      <w:pPr>
        <w:spacing w:line="360" w:lineRule="auto"/>
        <w:ind w:firstLine="420" w:firstLineChars="200"/>
        <w:rPr>
          <w:rFonts w:ascii="宋体" w:hAnsi="宋体"/>
          <w:szCs w:val="21"/>
        </w:rPr>
      </w:pPr>
      <w:r>
        <w:rPr>
          <w:rFonts w:hint="eastAsia" w:ascii="宋体" w:hAnsi="宋体"/>
          <w:szCs w:val="21"/>
        </w:rPr>
        <w:t>（2）基金投资所涉及的证券交易所或外汇市场遇法定节假日或因其他原因暂停营业时；</w:t>
      </w:r>
    </w:p>
    <w:p>
      <w:pPr>
        <w:spacing w:line="360" w:lineRule="auto"/>
        <w:ind w:firstLine="420" w:firstLineChars="200"/>
        <w:rPr>
          <w:rFonts w:ascii="宋体" w:hAnsi="宋体"/>
          <w:szCs w:val="21"/>
        </w:rPr>
      </w:pPr>
      <w:r>
        <w:rPr>
          <w:rFonts w:hint="eastAsia" w:ascii="宋体" w:hAnsi="宋体"/>
          <w:szCs w:val="21"/>
        </w:rPr>
        <w:t>（3）出现《基金合同》约定的暂停估值的情形；</w:t>
      </w:r>
    </w:p>
    <w:p>
      <w:pPr>
        <w:spacing w:line="360" w:lineRule="auto"/>
        <w:ind w:firstLine="420" w:firstLineChars="200"/>
        <w:rPr>
          <w:rFonts w:ascii="宋体" w:hAnsi="宋体"/>
          <w:szCs w:val="21"/>
        </w:rPr>
      </w:pPr>
      <w:r>
        <w:rPr>
          <w:rFonts w:hint="eastAsia" w:ascii="宋体" w:hAnsi="宋体"/>
          <w:szCs w:val="21"/>
        </w:rPr>
        <w:t>（4）法律法规规定、中国证监会或基金合同认定的其他情形。</w:t>
      </w:r>
    </w:p>
    <w:p>
      <w:pPr>
        <w:spacing w:line="360" w:lineRule="auto"/>
        <w:ind w:right="28" w:firstLine="420" w:firstLineChars="200"/>
        <w:rPr>
          <w:rFonts w:ascii="宋体" w:hAnsi="宋体"/>
          <w:szCs w:val="21"/>
        </w:rPr>
      </w:pPr>
    </w:p>
    <w:p>
      <w:pPr>
        <w:jc w:val="left"/>
        <w:rPr>
          <w:rFonts w:ascii="宋体" w:hAnsi="宋体"/>
          <w:b/>
          <w:sz w:val="24"/>
        </w:rPr>
      </w:pPr>
      <w:bookmarkStart w:id="66" w:name="_Toc382819125"/>
      <w:r>
        <w:rPr>
          <w:rFonts w:hint="eastAsia" w:ascii="宋体" w:hAnsi="宋体"/>
          <w:b/>
          <w:sz w:val="24"/>
        </w:rPr>
        <w:br w:type="page"/>
      </w:r>
    </w:p>
    <w:p>
      <w:pPr>
        <w:spacing w:before="312" w:beforeLines="100" w:after="312" w:afterLines="100" w:line="500" w:lineRule="atLeast"/>
        <w:jc w:val="center"/>
        <w:outlineLvl w:val="0"/>
        <w:rPr>
          <w:rFonts w:ascii="宋体" w:hAnsi="宋体"/>
        </w:rPr>
      </w:pPr>
      <w:r>
        <w:rPr>
          <w:rFonts w:hint="eastAsia" w:ascii="宋体" w:hAnsi="宋体"/>
          <w:b/>
          <w:sz w:val="24"/>
        </w:rPr>
        <w:t>十、基金费用</w:t>
      </w:r>
      <w:bookmarkEnd w:id="66"/>
    </w:p>
    <w:p>
      <w:pPr>
        <w:spacing w:line="360" w:lineRule="auto"/>
        <w:ind w:right="28" w:firstLine="420" w:firstLineChars="200"/>
        <w:rPr>
          <w:rFonts w:ascii="宋体" w:hAnsi="宋体"/>
          <w:szCs w:val="21"/>
        </w:rPr>
      </w:pPr>
      <w:r>
        <w:rPr>
          <w:rFonts w:hint="eastAsia" w:ascii="宋体" w:hAnsi="宋体"/>
          <w:szCs w:val="21"/>
        </w:rPr>
        <w:t>基金费用按照《基金合同》的约定计提和支付。</w:t>
      </w:r>
      <w:bookmarkStart w:id="67" w:name="_Toc382819126"/>
    </w:p>
    <w:p>
      <w:pPr>
        <w:autoSpaceDE w:val="0"/>
        <w:autoSpaceDN w:val="0"/>
        <w:adjustRightInd w:val="0"/>
        <w:spacing w:line="360" w:lineRule="auto"/>
        <w:ind w:firstLine="411" w:firstLineChars="196"/>
        <w:textAlignment w:val="baseline"/>
        <w:rPr>
          <w:rFonts w:ascii="宋体" w:hAnsi="宋体"/>
          <w:szCs w:val="21"/>
        </w:rPr>
      </w:pPr>
      <w:r>
        <w:rPr>
          <w:rFonts w:hint="eastAsia" w:ascii="宋体" w:hAnsi="宋体"/>
          <w:szCs w:val="21"/>
        </w:rPr>
        <w:t>（一）基金管理人的管理费</w:t>
      </w:r>
    </w:p>
    <w:p>
      <w:pPr>
        <w:spacing w:line="360" w:lineRule="auto"/>
        <w:ind w:right="28" w:firstLine="420" w:firstLineChars="200"/>
        <w:rPr>
          <w:rFonts w:ascii="宋体" w:hAnsi="宋体"/>
          <w:szCs w:val="21"/>
        </w:rPr>
      </w:pPr>
      <w:r>
        <w:rPr>
          <w:rFonts w:hint="eastAsia" w:ascii="宋体" w:hAnsi="宋体"/>
          <w:szCs w:val="21"/>
        </w:rPr>
        <w:t>本基金投资于本基金管理人所管理的其他基金的部分不收取管理费。本基金的管理费按前一日基金资产净值扣除基金所持有本基金管理人管理的其他基金份额所对应资产净值后剩余部分的0.60%年费率计提。基金管理费的计算方法如下：</w:t>
      </w:r>
    </w:p>
    <w:p>
      <w:pPr>
        <w:spacing w:line="360" w:lineRule="auto"/>
        <w:ind w:right="28" w:firstLine="420" w:firstLineChars="200"/>
        <w:rPr>
          <w:rFonts w:ascii="宋体" w:hAnsi="宋体"/>
          <w:szCs w:val="21"/>
        </w:rPr>
      </w:pPr>
      <w:r>
        <w:rPr>
          <w:rFonts w:hint="eastAsia" w:ascii="宋体" w:hAnsi="宋体"/>
          <w:szCs w:val="21"/>
        </w:rPr>
        <w:t>H＝E×0.60%÷当年天数</w:t>
      </w:r>
    </w:p>
    <w:p>
      <w:pPr>
        <w:spacing w:line="360" w:lineRule="auto"/>
        <w:ind w:right="28" w:firstLine="420" w:firstLineChars="200"/>
        <w:rPr>
          <w:rFonts w:ascii="宋体" w:hAnsi="宋体"/>
          <w:szCs w:val="21"/>
        </w:rPr>
      </w:pPr>
      <w:r>
        <w:rPr>
          <w:rFonts w:hint="eastAsia" w:ascii="宋体" w:hAnsi="宋体"/>
          <w:szCs w:val="21"/>
        </w:rPr>
        <w:t>H为每日应计提的基金管理费</w:t>
      </w:r>
    </w:p>
    <w:p>
      <w:pPr>
        <w:spacing w:line="360" w:lineRule="auto"/>
        <w:ind w:right="28" w:firstLine="420" w:firstLineChars="200"/>
        <w:rPr>
          <w:rFonts w:ascii="宋体" w:hAnsi="宋体"/>
          <w:szCs w:val="21"/>
        </w:rPr>
      </w:pPr>
      <w:r>
        <w:rPr>
          <w:rFonts w:hint="eastAsia" w:ascii="宋体" w:hAnsi="宋体"/>
          <w:szCs w:val="21"/>
        </w:rPr>
        <w:t>E为前一日基金资产净值扣除基金所持有本基金管理人管理的其他基金份额所对应资产净值后剩余部分，若为负数，则E取0。</w:t>
      </w:r>
    </w:p>
    <w:p>
      <w:pPr>
        <w:spacing w:line="360" w:lineRule="auto"/>
        <w:ind w:right="28" w:firstLine="420" w:firstLineChars="200"/>
        <w:rPr>
          <w:rFonts w:ascii="宋体" w:hAnsi="宋体"/>
          <w:szCs w:val="21"/>
        </w:rPr>
      </w:pPr>
      <w:r>
        <w:rPr>
          <w:rFonts w:hint="eastAsia" w:ascii="宋体" w:hAnsi="宋体"/>
          <w:szCs w:val="21"/>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或不可抗力等，支付日期顺延。</w:t>
      </w:r>
    </w:p>
    <w:p>
      <w:pPr>
        <w:autoSpaceDE w:val="0"/>
        <w:autoSpaceDN w:val="0"/>
        <w:adjustRightInd w:val="0"/>
        <w:spacing w:line="360" w:lineRule="auto"/>
        <w:ind w:firstLine="411" w:firstLineChars="196"/>
        <w:textAlignment w:val="baseline"/>
        <w:rPr>
          <w:rFonts w:ascii="宋体" w:hAnsi="宋体"/>
          <w:szCs w:val="21"/>
        </w:rPr>
      </w:pPr>
      <w:r>
        <w:rPr>
          <w:rFonts w:hint="eastAsia" w:ascii="宋体" w:hAnsi="宋体"/>
          <w:szCs w:val="21"/>
        </w:rPr>
        <w:t>（二）基金托管人的托管费</w:t>
      </w:r>
    </w:p>
    <w:p>
      <w:pPr>
        <w:spacing w:line="360" w:lineRule="auto"/>
        <w:ind w:right="28" w:firstLine="420" w:firstLineChars="200"/>
        <w:rPr>
          <w:rFonts w:ascii="宋体" w:hAnsi="宋体"/>
          <w:szCs w:val="21"/>
        </w:rPr>
      </w:pPr>
      <w:r>
        <w:rPr>
          <w:rFonts w:hint="eastAsia" w:ascii="宋体" w:hAnsi="宋体"/>
          <w:szCs w:val="21"/>
        </w:rPr>
        <w:t>本基金投资于本基金托管人所托管的其他基金的部分不收取托管费。本基金的托管费按前一日基金资产净值扣除基金所持有本基金托管人托管的其他基金份额所对应资产净值后剩余部分的0.15%年费率计提。基金托管费的计算方法如下：</w:t>
      </w:r>
    </w:p>
    <w:p>
      <w:pPr>
        <w:spacing w:line="360" w:lineRule="auto"/>
        <w:ind w:right="28" w:firstLine="420" w:firstLineChars="200"/>
        <w:rPr>
          <w:rFonts w:ascii="宋体" w:hAnsi="宋体"/>
          <w:szCs w:val="21"/>
        </w:rPr>
      </w:pPr>
      <w:r>
        <w:rPr>
          <w:rFonts w:hint="eastAsia" w:ascii="宋体" w:hAnsi="宋体"/>
          <w:szCs w:val="21"/>
        </w:rPr>
        <w:t>H＝E×0.15%÷当年天数</w:t>
      </w:r>
    </w:p>
    <w:p>
      <w:pPr>
        <w:spacing w:line="360" w:lineRule="auto"/>
        <w:ind w:right="28" w:firstLine="420" w:firstLineChars="200"/>
        <w:rPr>
          <w:rFonts w:ascii="宋体" w:hAnsi="宋体"/>
          <w:szCs w:val="21"/>
        </w:rPr>
      </w:pPr>
      <w:r>
        <w:rPr>
          <w:rFonts w:hint="eastAsia" w:ascii="宋体" w:hAnsi="宋体"/>
          <w:szCs w:val="21"/>
        </w:rPr>
        <w:t>H为每日应计提的基金托管费</w:t>
      </w:r>
    </w:p>
    <w:p>
      <w:pPr>
        <w:spacing w:line="360" w:lineRule="auto"/>
        <w:ind w:right="28" w:firstLine="420" w:firstLineChars="200"/>
        <w:rPr>
          <w:rFonts w:ascii="宋体" w:hAnsi="宋体"/>
          <w:szCs w:val="21"/>
        </w:rPr>
      </w:pPr>
      <w:r>
        <w:rPr>
          <w:rFonts w:hint="eastAsia" w:ascii="宋体" w:hAnsi="宋体"/>
          <w:szCs w:val="21"/>
        </w:rPr>
        <w:t>E为前一日的基金资产净值扣除基金所持有本基金托管人托管的其他基金份额所对应资产净值后剩余部分，若为负数，则E取0。</w:t>
      </w:r>
    </w:p>
    <w:p>
      <w:pPr>
        <w:spacing w:line="360" w:lineRule="auto"/>
        <w:ind w:right="28" w:firstLine="420" w:firstLineChars="200"/>
        <w:rPr>
          <w:rFonts w:ascii="宋体" w:hAnsi="宋体"/>
          <w:szCs w:val="21"/>
        </w:rPr>
      </w:pPr>
      <w:r>
        <w:rPr>
          <w:rFonts w:hint="eastAsia" w:ascii="宋体" w:hAnsi="宋体"/>
          <w:szCs w:val="21"/>
        </w:rPr>
        <w:t>基金托管费每日计提，逐日累计至每月月末，按月支付，经基金管理人与基金托管人双方核对无误后，基金托管人按照与基金管理人协商一致的方式于次月前5个工作日内从基金财产中一次性支取。若遇法定节假日、公休日或不可抗力等，支付日期顺延。</w:t>
      </w:r>
    </w:p>
    <w:p>
      <w:pPr>
        <w:autoSpaceDE w:val="0"/>
        <w:autoSpaceDN w:val="0"/>
        <w:adjustRightInd w:val="0"/>
        <w:spacing w:line="360" w:lineRule="auto"/>
        <w:ind w:firstLine="411" w:firstLineChars="196"/>
        <w:textAlignment w:val="baseline"/>
        <w:rPr>
          <w:rFonts w:ascii="宋体" w:hAnsi="宋体"/>
          <w:szCs w:val="21"/>
        </w:rPr>
      </w:pPr>
      <w:r>
        <w:rPr>
          <w:rFonts w:hint="eastAsia" w:ascii="宋体" w:hAnsi="宋体"/>
          <w:szCs w:val="21"/>
        </w:rPr>
        <w:t>（三）实施侧袋机制期间的基金费用</w:t>
      </w:r>
    </w:p>
    <w:p>
      <w:pPr>
        <w:spacing w:line="360" w:lineRule="auto"/>
        <w:ind w:right="28" w:firstLine="420" w:firstLineChars="200"/>
        <w:rPr>
          <w:rFonts w:ascii="宋体" w:hAnsi="宋体"/>
          <w:szCs w:val="21"/>
        </w:rPr>
      </w:pPr>
      <w:r>
        <w:rPr>
          <w:rFonts w:hint="eastAsia" w:ascii="宋体" w:hAnsi="宋体"/>
          <w:szCs w:val="21"/>
        </w:rPr>
        <w:t>本基金实施侧袋机制的，与侧袋账户有关的费用可以从侧袋账户中列支，但应待侧袋账户资产变现后方可列支，有关费用可酌情收取或减免，但不得收取管理费，其他费用详见招募说明书的规定或相关公告。</w:t>
      </w:r>
    </w:p>
    <w:p>
      <w:pPr>
        <w:jc w:val="left"/>
        <w:rPr>
          <w:rFonts w:ascii="宋体" w:hAnsi="宋体"/>
          <w:b/>
          <w:sz w:val="24"/>
        </w:rPr>
      </w:pPr>
      <w:r>
        <w:rPr>
          <w:rFonts w:hint="eastAsia" w:ascii="宋体" w:hAnsi="宋体"/>
          <w:b/>
          <w:sz w:val="24"/>
        </w:rPr>
        <w:br w:type="page"/>
      </w:r>
    </w:p>
    <w:p>
      <w:pPr>
        <w:spacing w:before="312" w:beforeLines="100" w:after="312" w:afterLines="100" w:line="500" w:lineRule="atLeast"/>
        <w:jc w:val="center"/>
        <w:outlineLvl w:val="0"/>
        <w:rPr>
          <w:rFonts w:ascii="宋体" w:hAnsi="宋体"/>
        </w:rPr>
      </w:pPr>
      <w:r>
        <w:rPr>
          <w:rFonts w:hint="eastAsia" w:ascii="宋体" w:hAnsi="宋体"/>
          <w:b/>
          <w:sz w:val="24"/>
        </w:rPr>
        <w:t>十一、基金份额持有人名册的保管</w:t>
      </w:r>
      <w:bookmarkEnd w:id="67"/>
    </w:p>
    <w:p>
      <w:pPr>
        <w:spacing w:line="360" w:lineRule="auto"/>
        <w:ind w:firstLine="420" w:firstLineChars="200"/>
        <w:rPr>
          <w:rFonts w:ascii="宋体" w:hAnsi="宋体"/>
          <w:szCs w:val="21"/>
        </w:rPr>
      </w:pPr>
      <w:r>
        <w:rPr>
          <w:rFonts w:hint="eastAsia" w:ascii="宋体" w:hAnsi="宋体"/>
          <w:szCs w:val="21"/>
        </w:rPr>
        <w:t>基金管理人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pPr>
        <w:spacing w:line="360" w:lineRule="auto"/>
        <w:ind w:firstLine="420" w:firstLineChars="200"/>
        <w:rPr>
          <w:rFonts w:ascii="宋体" w:hAnsi="宋体"/>
          <w:szCs w:val="21"/>
        </w:rPr>
      </w:pPr>
      <w:r>
        <w:rPr>
          <w:rFonts w:hint="eastAsia" w:ascii="宋体" w:hAnsi="宋体"/>
          <w:szCs w:val="21"/>
        </w:rPr>
        <w:t>基金份额持有人名册由基金的</w:t>
      </w:r>
      <w:r>
        <w:rPr>
          <w:rFonts w:hint="eastAsia" w:ascii="宋体" w:hAnsi="宋体" w:cs="Arial"/>
          <w:szCs w:val="21"/>
        </w:rPr>
        <w:t>基金注册登记机构根据基金管理人的指令编制和保管</w:t>
      </w:r>
      <w:r>
        <w:rPr>
          <w:rFonts w:hint="eastAsia" w:ascii="宋体" w:hAnsi="宋体"/>
          <w:szCs w:val="21"/>
        </w:rPr>
        <w:t>，基金管理人应按照目前相关规则保管基金份额持有人名册。保管方式可以采用电子或文档的形式。保管期限不低于法律法规规定的最低年限。</w:t>
      </w:r>
    </w:p>
    <w:p>
      <w:pPr>
        <w:spacing w:line="360" w:lineRule="auto"/>
        <w:ind w:firstLine="420" w:firstLineChars="200"/>
        <w:rPr>
          <w:rFonts w:ascii="宋体" w:hAnsi="宋体"/>
          <w:szCs w:val="21"/>
        </w:rPr>
      </w:pPr>
      <w:r>
        <w:rPr>
          <w:rFonts w:hint="eastAsia" w:ascii="宋体" w:hAnsi="宋体"/>
          <w:szCs w:val="21"/>
        </w:rPr>
        <w:t>在基金托管人编制中期报告和年报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pPr>
        <w:spacing w:line="360" w:lineRule="auto"/>
        <w:ind w:firstLine="420" w:firstLineChars="200"/>
        <w:rPr>
          <w:rFonts w:ascii="宋体" w:hAnsi="宋体"/>
          <w:szCs w:val="21"/>
        </w:rPr>
      </w:pPr>
    </w:p>
    <w:p>
      <w:pPr>
        <w:jc w:val="left"/>
        <w:rPr>
          <w:rFonts w:ascii="宋体" w:hAnsi="宋体"/>
          <w:b/>
          <w:sz w:val="24"/>
        </w:rPr>
      </w:pPr>
      <w:bookmarkStart w:id="68" w:name="_Toc382819127"/>
      <w:r>
        <w:rPr>
          <w:rFonts w:hint="eastAsia" w:ascii="宋体" w:hAnsi="宋体"/>
          <w:b/>
          <w:sz w:val="24"/>
        </w:rPr>
        <w:br w:type="page"/>
      </w:r>
    </w:p>
    <w:p>
      <w:pPr>
        <w:spacing w:before="312" w:beforeLines="100" w:after="312" w:afterLines="100" w:line="500" w:lineRule="atLeast"/>
        <w:jc w:val="center"/>
        <w:outlineLvl w:val="0"/>
        <w:rPr>
          <w:rFonts w:ascii="宋体" w:hAnsi="宋体"/>
        </w:rPr>
      </w:pPr>
      <w:r>
        <w:rPr>
          <w:rFonts w:hint="eastAsia" w:ascii="宋体" w:hAnsi="宋体"/>
          <w:b/>
          <w:sz w:val="24"/>
        </w:rPr>
        <w:t>十二、基金有关文件和档案的保存</w:t>
      </w:r>
      <w:bookmarkEnd w:id="68"/>
    </w:p>
    <w:p>
      <w:pPr>
        <w:spacing w:line="360" w:lineRule="auto"/>
        <w:ind w:firstLine="420" w:firstLineChars="200"/>
        <w:textAlignment w:val="baseline"/>
        <w:rPr>
          <w:rFonts w:ascii="宋体" w:hAnsi="宋体"/>
          <w:szCs w:val="21"/>
        </w:rPr>
      </w:pPr>
      <w:r>
        <w:rPr>
          <w:rFonts w:hint="eastAsia" w:ascii="宋体" w:hAnsi="宋体"/>
          <w:szCs w:val="21"/>
        </w:rPr>
        <w:t>（一）档案保存</w:t>
      </w:r>
    </w:p>
    <w:p>
      <w:pPr>
        <w:spacing w:line="360" w:lineRule="auto"/>
        <w:ind w:firstLine="420" w:firstLineChars="200"/>
        <w:rPr>
          <w:rFonts w:ascii="宋体" w:hAnsi="宋体" w:cs="Arial"/>
          <w:szCs w:val="21"/>
        </w:rPr>
      </w:pPr>
      <w:r>
        <w:rPr>
          <w:rFonts w:hint="eastAsia" w:ascii="宋体" w:hAnsi="宋体" w:cs="Arial"/>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管期限不低于法律法规规定的最低年限。</w:t>
      </w:r>
    </w:p>
    <w:p>
      <w:pPr>
        <w:spacing w:line="360" w:lineRule="auto"/>
        <w:ind w:firstLine="420" w:firstLineChars="200"/>
        <w:textAlignment w:val="baseline"/>
        <w:rPr>
          <w:rFonts w:ascii="宋体" w:hAnsi="宋体"/>
          <w:szCs w:val="21"/>
        </w:rPr>
      </w:pPr>
      <w:r>
        <w:rPr>
          <w:rFonts w:hint="eastAsia" w:ascii="宋体" w:hAnsi="宋体"/>
          <w:szCs w:val="21"/>
        </w:rPr>
        <w:t>（二）合同档案的建立</w:t>
      </w:r>
    </w:p>
    <w:p>
      <w:pPr>
        <w:spacing w:line="360" w:lineRule="auto"/>
        <w:ind w:firstLine="420" w:firstLineChars="200"/>
        <w:rPr>
          <w:rFonts w:ascii="宋体" w:hAnsi="宋体" w:cs="Arial"/>
          <w:szCs w:val="21"/>
        </w:rPr>
      </w:pPr>
      <w:r>
        <w:rPr>
          <w:rFonts w:hint="eastAsia" w:ascii="宋体" w:hAnsi="宋体" w:cs="Arial"/>
          <w:szCs w:val="21"/>
        </w:rPr>
        <w:t>1、基金管理人或基金托管人在签署与本基金有关的合同文本后，应及时按相关法律法规及本协议的规定将合同正本或副本提交对方。</w:t>
      </w:r>
    </w:p>
    <w:p>
      <w:pPr>
        <w:spacing w:line="360" w:lineRule="auto"/>
        <w:ind w:firstLine="420" w:firstLineChars="200"/>
        <w:rPr>
          <w:rFonts w:ascii="宋体" w:hAnsi="宋体" w:cs="Arial"/>
          <w:szCs w:val="21"/>
        </w:rPr>
      </w:pPr>
      <w:r>
        <w:rPr>
          <w:rFonts w:hint="eastAsia" w:ascii="宋体" w:hAnsi="宋体" w:cs="Arial"/>
          <w:szCs w:val="21"/>
        </w:rPr>
        <w:t>2、基金管理人和基金托管人应按各自职责保管就基金资产对外签署的全部合同的正本。</w:t>
      </w:r>
    </w:p>
    <w:p>
      <w:pPr>
        <w:spacing w:line="360" w:lineRule="auto"/>
        <w:ind w:firstLine="420" w:firstLineChars="200"/>
        <w:textAlignment w:val="baseline"/>
        <w:rPr>
          <w:rFonts w:ascii="宋体" w:hAnsi="宋体"/>
          <w:szCs w:val="21"/>
        </w:rPr>
      </w:pPr>
      <w:r>
        <w:rPr>
          <w:rFonts w:hint="eastAsia" w:ascii="宋体" w:hAnsi="宋体"/>
          <w:szCs w:val="21"/>
        </w:rPr>
        <w:t>（三）变更与协助</w:t>
      </w:r>
    </w:p>
    <w:p>
      <w:pPr>
        <w:spacing w:line="360" w:lineRule="auto"/>
        <w:ind w:firstLine="420" w:firstLineChars="200"/>
        <w:rPr>
          <w:rFonts w:ascii="宋体" w:hAnsi="宋体" w:cs="Arial"/>
          <w:szCs w:val="21"/>
        </w:rPr>
      </w:pPr>
      <w:r>
        <w:rPr>
          <w:rFonts w:hint="eastAsia" w:ascii="宋体" w:hAnsi="宋体" w:cs="Arial"/>
          <w:szCs w:val="21"/>
        </w:rPr>
        <w:t>若基金管理人和基金托管人发生变更，未变更的一方有义务协助变更后的接任人接收相应文件。</w:t>
      </w:r>
    </w:p>
    <w:p>
      <w:pPr>
        <w:spacing w:line="360" w:lineRule="auto"/>
        <w:ind w:firstLine="420" w:firstLineChars="200"/>
        <w:rPr>
          <w:rFonts w:ascii="宋体" w:hAnsi="宋体" w:cs="Arial"/>
          <w:szCs w:val="21"/>
        </w:rPr>
      </w:pPr>
    </w:p>
    <w:p>
      <w:pPr>
        <w:jc w:val="left"/>
        <w:rPr>
          <w:rFonts w:ascii="宋体" w:hAnsi="宋体"/>
          <w:b/>
          <w:sz w:val="24"/>
        </w:rPr>
      </w:pPr>
      <w:bookmarkStart w:id="69" w:name="_Toc382819128"/>
      <w:r>
        <w:rPr>
          <w:rFonts w:hint="eastAsia" w:ascii="宋体" w:hAnsi="宋体"/>
          <w:b/>
          <w:sz w:val="24"/>
        </w:rPr>
        <w:br w:type="page"/>
      </w:r>
    </w:p>
    <w:p>
      <w:pPr>
        <w:spacing w:before="312" w:beforeLines="100" w:after="312" w:afterLines="100" w:line="500" w:lineRule="atLeast"/>
        <w:jc w:val="center"/>
        <w:outlineLvl w:val="0"/>
        <w:rPr>
          <w:rFonts w:ascii="宋体" w:hAnsi="宋体"/>
        </w:rPr>
      </w:pPr>
      <w:r>
        <w:rPr>
          <w:rFonts w:hint="eastAsia" w:ascii="宋体" w:hAnsi="宋体"/>
          <w:b/>
          <w:sz w:val="24"/>
        </w:rPr>
        <w:t>十三、基金管理人和基金托管人的更换</w:t>
      </w:r>
      <w:bookmarkEnd w:id="69"/>
    </w:p>
    <w:p>
      <w:pPr>
        <w:spacing w:line="360" w:lineRule="auto"/>
        <w:ind w:firstLine="420" w:firstLineChars="200"/>
        <w:textAlignment w:val="baseline"/>
        <w:rPr>
          <w:rFonts w:ascii="宋体" w:hAnsi="宋体"/>
          <w:szCs w:val="21"/>
        </w:rPr>
      </w:pPr>
      <w:bookmarkStart w:id="70" w:name="_Toc382819129"/>
      <w:r>
        <w:rPr>
          <w:rFonts w:hint="eastAsia" w:ascii="宋体" w:hAnsi="宋体"/>
          <w:szCs w:val="21"/>
        </w:rPr>
        <w:t>（一）基金管理人的更换</w:t>
      </w:r>
      <w:bookmarkEnd w:id="70"/>
    </w:p>
    <w:p>
      <w:pPr>
        <w:spacing w:line="360" w:lineRule="auto"/>
        <w:ind w:firstLine="420" w:firstLineChars="200"/>
        <w:rPr>
          <w:rFonts w:ascii="宋体" w:hAnsi="宋体"/>
          <w:szCs w:val="21"/>
        </w:rPr>
      </w:pPr>
      <w:r>
        <w:rPr>
          <w:rFonts w:hint="eastAsia" w:ascii="宋体" w:hAnsi="宋体"/>
          <w:szCs w:val="21"/>
        </w:rPr>
        <w:t>1.基金管理人的更换条件</w:t>
      </w:r>
    </w:p>
    <w:p>
      <w:pPr>
        <w:spacing w:line="360" w:lineRule="auto"/>
        <w:ind w:firstLine="420" w:firstLineChars="200"/>
        <w:rPr>
          <w:rFonts w:ascii="宋体" w:hAnsi="宋体"/>
          <w:szCs w:val="21"/>
        </w:rPr>
      </w:pPr>
      <w:r>
        <w:rPr>
          <w:rFonts w:hint="eastAsia" w:ascii="宋体" w:hAnsi="宋体"/>
          <w:szCs w:val="21"/>
        </w:rPr>
        <w:t>有下列情形之一的，基金管理人职责终止：</w:t>
      </w:r>
    </w:p>
    <w:p>
      <w:pPr>
        <w:spacing w:line="360" w:lineRule="auto"/>
        <w:ind w:firstLine="420" w:firstLineChars="200"/>
        <w:rPr>
          <w:rFonts w:ascii="宋体" w:hAnsi="宋体"/>
          <w:szCs w:val="21"/>
        </w:rPr>
      </w:pPr>
      <w:r>
        <w:rPr>
          <w:rFonts w:hint="eastAsia" w:ascii="宋体" w:hAnsi="宋体"/>
          <w:szCs w:val="21"/>
        </w:rPr>
        <w:t>（1）被依法取消基金管理资格；</w:t>
      </w:r>
    </w:p>
    <w:p>
      <w:pPr>
        <w:spacing w:line="360" w:lineRule="auto"/>
        <w:ind w:firstLine="420" w:firstLineChars="200"/>
        <w:rPr>
          <w:rFonts w:ascii="宋体" w:hAnsi="宋体"/>
          <w:szCs w:val="21"/>
        </w:rPr>
      </w:pPr>
      <w:r>
        <w:rPr>
          <w:rFonts w:hint="eastAsia" w:ascii="宋体" w:hAnsi="宋体"/>
          <w:szCs w:val="21"/>
        </w:rPr>
        <w:t>（2）被基金份额持有人大会解任；</w:t>
      </w:r>
    </w:p>
    <w:p>
      <w:pPr>
        <w:spacing w:line="360" w:lineRule="auto"/>
        <w:ind w:firstLine="420" w:firstLineChars="200"/>
        <w:rPr>
          <w:rFonts w:ascii="宋体" w:hAnsi="宋体"/>
          <w:szCs w:val="21"/>
        </w:rPr>
      </w:pPr>
      <w:r>
        <w:rPr>
          <w:rFonts w:hint="eastAsia" w:ascii="宋体" w:hAnsi="宋体"/>
          <w:szCs w:val="21"/>
        </w:rPr>
        <w:t>（3）依法解散、被依法撤销或被依法宣告破产；</w:t>
      </w:r>
    </w:p>
    <w:p>
      <w:pPr>
        <w:spacing w:line="360" w:lineRule="auto"/>
        <w:ind w:firstLine="420" w:firstLineChars="200"/>
        <w:rPr>
          <w:rFonts w:ascii="宋体" w:hAnsi="宋体"/>
          <w:szCs w:val="21"/>
        </w:rPr>
      </w:pPr>
      <w:r>
        <w:rPr>
          <w:rFonts w:hint="eastAsia" w:ascii="宋体" w:hAnsi="宋体"/>
          <w:szCs w:val="21"/>
        </w:rPr>
        <w:t>（4）法律法规及中国证监会规定的和《基金合同》约定的其他情形。</w:t>
      </w:r>
    </w:p>
    <w:p>
      <w:pPr>
        <w:spacing w:line="360" w:lineRule="auto"/>
        <w:ind w:firstLine="420" w:firstLineChars="200"/>
        <w:rPr>
          <w:rFonts w:ascii="宋体" w:hAnsi="宋体"/>
          <w:szCs w:val="21"/>
        </w:rPr>
      </w:pPr>
      <w:r>
        <w:rPr>
          <w:rFonts w:hint="eastAsia" w:ascii="宋体" w:hAnsi="宋体"/>
          <w:szCs w:val="21"/>
        </w:rPr>
        <w:t>2.更换基金管理人的程序</w:t>
      </w:r>
    </w:p>
    <w:p>
      <w:pPr>
        <w:spacing w:line="360" w:lineRule="auto"/>
        <w:ind w:firstLine="420" w:firstLineChars="200"/>
        <w:rPr>
          <w:rFonts w:ascii="宋体" w:hAnsi="宋体"/>
          <w:szCs w:val="21"/>
        </w:rPr>
      </w:pPr>
      <w:r>
        <w:rPr>
          <w:rFonts w:hint="eastAsia" w:ascii="宋体" w:hAnsi="宋体"/>
          <w:szCs w:val="21"/>
        </w:rPr>
        <w:t>（1）提名：新任基金管理人由基金托管人或由单独或合计持有10%以上（含10%）基金份额的基金份额持有人提名；</w:t>
      </w:r>
    </w:p>
    <w:p>
      <w:pPr>
        <w:spacing w:line="360" w:lineRule="auto"/>
        <w:ind w:firstLine="420" w:firstLineChars="200"/>
        <w:rPr>
          <w:rFonts w:ascii="宋体" w:hAnsi="宋体"/>
          <w:szCs w:val="21"/>
        </w:rPr>
      </w:pPr>
      <w:r>
        <w:rPr>
          <w:rFonts w:hint="eastAsia" w:ascii="宋体" w:hAnsi="宋体"/>
          <w:szCs w:val="21"/>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pPr>
        <w:spacing w:line="360" w:lineRule="auto"/>
        <w:ind w:firstLine="420" w:firstLineChars="200"/>
        <w:rPr>
          <w:rFonts w:ascii="宋体" w:hAnsi="宋体"/>
          <w:szCs w:val="21"/>
        </w:rPr>
      </w:pPr>
      <w:r>
        <w:rPr>
          <w:rFonts w:hint="eastAsia" w:ascii="宋体" w:hAnsi="宋体"/>
          <w:szCs w:val="21"/>
        </w:rPr>
        <w:t>（3）临时基金管理人：新任基金管理人产生之前，由中国证监会指定临时基金管理人；</w:t>
      </w:r>
    </w:p>
    <w:p>
      <w:pPr>
        <w:spacing w:line="360" w:lineRule="auto"/>
        <w:ind w:firstLine="420" w:firstLineChars="200"/>
        <w:rPr>
          <w:rFonts w:ascii="宋体" w:hAnsi="宋体"/>
          <w:szCs w:val="21"/>
        </w:rPr>
      </w:pPr>
      <w:r>
        <w:rPr>
          <w:rFonts w:hint="eastAsia" w:ascii="宋体" w:hAnsi="宋体"/>
          <w:szCs w:val="21"/>
        </w:rPr>
        <w:t>（4）备案：基金份额持有人大会更换基金管理人的决议须报中国证监会备案；</w:t>
      </w:r>
    </w:p>
    <w:p>
      <w:pPr>
        <w:spacing w:line="360" w:lineRule="auto"/>
        <w:ind w:firstLine="420" w:firstLineChars="200"/>
        <w:rPr>
          <w:rFonts w:ascii="宋体" w:hAnsi="宋体"/>
          <w:szCs w:val="21"/>
        </w:rPr>
      </w:pPr>
      <w:r>
        <w:rPr>
          <w:rFonts w:hint="eastAsia" w:ascii="宋体" w:hAnsi="宋体"/>
          <w:szCs w:val="21"/>
        </w:rPr>
        <w:t>（5）公告：基金管理人更换后，由基金托管人在更换基金管理人的基金份额持有人大会决议生效后2日内在规定媒介公告；</w:t>
      </w:r>
    </w:p>
    <w:p>
      <w:pPr>
        <w:spacing w:line="360" w:lineRule="auto"/>
        <w:ind w:firstLine="420" w:firstLineChars="200"/>
        <w:rPr>
          <w:rFonts w:ascii="宋体" w:hAnsi="宋体"/>
          <w:szCs w:val="21"/>
        </w:rPr>
      </w:pPr>
      <w:r>
        <w:rPr>
          <w:rFonts w:hint="eastAsia" w:ascii="宋体" w:hAnsi="宋体"/>
          <w:szCs w:val="21"/>
        </w:rPr>
        <w:t>（6）交接：原任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pPr>
        <w:spacing w:line="360" w:lineRule="auto"/>
        <w:ind w:firstLine="420" w:firstLineChars="200"/>
        <w:rPr>
          <w:rFonts w:ascii="宋体" w:hAnsi="宋体"/>
          <w:szCs w:val="21"/>
        </w:rPr>
      </w:pPr>
      <w:r>
        <w:rPr>
          <w:rFonts w:hint="eastAsia" w:ascii="宋体" w:hAnsi="宋体"/>
          <w:szCs w:val="21"/>
        </w:rPr>
        <w:t>（7）审计：原任基金管理人职责终止的，应当按照法律法规规定聘请会计师事务所对基金财产进行审计，并将审计结果予以公告，同时报中国证监会备案，审计费用从基金财产中列支；</w:t>
      </w:r>
    </w:p>
    <w:p>
      <w:pPr>
        <w:spacing w:line="360" w:lineRule="auto"/>
        <w:ind w:firstLine="420" w:firstLineChars="200"/>
        <w:rPr>
          <w:rFonts w:ascii="宋体" w:hAnsi="宋体"/>
          <w:szCs w:val="21"/>
        </w:rPr>
      </w:pPr>
      <w:r>
        <w:rPr>
          <w:rFonts w:hint="eastAsia" w:ascii="宋体" w:hAnsi="宋体"/>
          <w:szCs w:val="21"/>
        </w:rPr>
        <w:t>（8）基金名称变更：基金管理人更换后，如果原任或新任基金管理人要求，应按其要求替换或删除基金名称中与原基金管理人有关的名称字样。</w:t>
      </w:r>
    </w:p>
    <w:p>
      <w:pPr>
        <w:spacing w:line="360" w:lineRule="auto"/>
        <w:ind w:firstLine="420" w:firstLineChars="200"/>
        <w:textAlignment w:val="baseline"/>
        <w:rPr>
          <w:rFonts w:ascii="宋体" w:hAnsi="宋体"/>
          <w:szCs w:val="21"/>
        </w:rPr>
      </w:pPr>
      <w:bookmarkStart w:id="71" w:name="_Toc382819130"/>
      <w:r>
        <w:rPr>
          <w:rFonts w:hint="eastAsia" w:ascii="宋体" w:hAnsi="宋体"/>
          <w:szCs w:val="21"/>
        </w:rPr>
        <w:t>（二）基金托管人的更换</w:t>
      </w:r>
      <w:bookmarkEnd w:id="71"/>
    </w:p>
    <w:p>
      <w:pPr>
        <w:spacing w:line="360" w:lineRule="auto"/>
        <w:ind w:firstLine="420" w:firstLineChars="200"/>
        <w:rPr>
          <w:rFonts w:ascii="宋体" w:hAnsi="宋体"/>
          <w:szCs w:val="21"/>
        </w:rPr>
      </w:pPr>
      <w:r>
        <w:rPr>
          <w:rFonts w:hint="eastAsia" w:ascii="宋体" w:hAnsi="宋体"/>
          <w:szCs w:val="21"/>
        </w:rPr>
        <w:t>1.基金托管人的更换条件</w:t>
      </w:r>
    </w:p>
    <w:p>
      <w:pPr>
        <w:spacing w:line="360" w:lineRule="auto"/>
        <w:ind w:firstLine="420" w:firstLineChars="200"/>
        <w:rPr>
          <w:rFonts w:ascii="宋体" w:hAnsi="宋体"/>
          <w:szCs w:val="21"/>
        </w:rPr>
      </w:pPr>
      <w:r>
        <w:rPr>
          <w:rFonts w:hint="eastAsia" w:ascii="宋体" w:hAnsi="宋体"/>
          <w:szCs w:val="21"/>
        </w:rPr>
        <w:t>有下列情形之一的，基金托管人职责终止：</w:t>
      </w:r>
    </w:p>
    <w:p>
      <w:pPr>
        <w:spacing w:line="360" w:lineRule="auto"/>
        <w:ind w:firstLine="420" w:firstLineChars="200"/>
        <w:rPr>
          <w:rFonts w:ascii="宋体" w:hAnsi="宋体"/>
          <w:szCs w:val="21"/>
        </w:rPr>
      </w:pPr>
      <w:r>
        <w:rPr>
          <w:rFonts w:hint="eastAsia" w:ascii="宋体" w:hAnsi="宋体"/>
          <w:szCs w:val="21"/>
        </w:rPr>
        <w:t>（1）被依法取消基金托管资格；</w:t>
      </w:r>
    </w:p>
    <w:p>
      <w:pPr>
        <w:spacing w:line="360" w:lineRule="auto"/>
        <w:ind w:firstLine="420" w:firstLineChars="200"/>
        <w:rPr>
          <w:rFonts w:ascii="宋体" w:hAnsi="宋体"/>
          <w:szCs w:val="21"/>
        </w:rPr>
      </w:pPr>
      <w:r>
        <w:rPr>
          <w:rFonts w:hint="eastAsia" w:ascii="宋体" w:hAnsi="宋体"/>
          <w:szCs w:val="21"/>
        </w:rPr>
        <w:t>（2）被基金份额持有人大会解任；</w:t>
      </w:r>
    </w:p>
    <w:p>
      <w:pPr>
        <w:spacing w:line="360" w:lineRule="auto"/>
        <w:ind w:firstLine="420" w:firstLineChars="200"/>
        <w:rPr>
          <w:rFonts w:ascii="宋体" w:hAnsi="宋体"/>
          <w:szCs w:val="21"/>
        </w:rPr>
      </w:pPr>
      <w:r>
        <w:rPr>
          <w:rFonts w:hint="eastAsia" w:ascii="宋体" w:hAnsi="宋体"/>
          <w:szCs w:val="21"/>
        </w:rPr>
        <w:t>（3）依法解散、被依法撤销或被依法宣告破产；</w:t>
      </w:r>
    </w:p>
    <w:p>
      <w:pPr>
        <w:spacing w:line="360" w:lineRule="auto"/>
        <w:ind w:firstLine="420" w:firstLineChars="200"/>
        <w:rPr>
          <w:rFonts w:ascii="宋体" w:hAnsi="宋体"/>
          <w:szCs w:val="21"/>
        </w:rPr>
      </w:pPr>
      <w:r>
        <w:rPr>
          <w:rFonts w:hint="eastAsia" w:ascii="宋体" w:hAnsi="宋体"/>
          <w:szCs w:val="21"/>
        </w:rPr>
        <w:t>（4）法律法规及中国证监会规定的和《基金合同》约定的其他情形。</w:t>
      </w:r>
    </w:p>
    <w:p>
      <w:pPr>
        <w:spacing w:line="360" w:lineRule="auto"/>
        <w:ind w:firstLine="420" w:firstLineChars="200"/>
        <w:rPr>
          <w:rFonts w:ascii="宋体" w:hAnsi="宋体"/>
          <w:szCs w:val="21"/>
        </w:rPr>
      </w:pPr>
      <w:r>
        <w:rPr>
          <w:rFonts w:hint="eastAsia" w:ascii="宋体" w:hAnsi="宋体"/>
          <w:szCs w:val="21"/>
        </w:rPr>
        <w:t>2.更换基金托管人的程序</w:t>
      </w:r>
    </w:p>
    <w:p>
      <w:pPr>
        <w:spacing w:line="360" w:lineRule="auto"/>
        <w:ind w:firstLine="420" w:firstLineChars="200"/>
        <w:rPr>
          <w:rFonts w:ascii="宋体" w:hAnsi="宋体"/>
          <w:szCs w:val="21"/>
        </w:rPr>
      </w:pPr>
      <w:r>
        <w:rPr>
          <w:rFonts w:hint="eastAsia" w:ascii="宋体" w:hAnsi="宋体"/>
          <w:szCs w:val="21"/>
        </w:rPr>
        <w:t>（1）提名：新任基金托管人由基金管理人或由单独或合计持有10%以上（含10%）基金份额的基金份额持有人提名；</w:t>
      </w:r>
    </w:p>
    <w:p>
      <w:pPr>
        <w:spacing w:line="360" w:lineRule="auto"/>
        <w:ind w:firstLine="420" w:firstLineChars="200"/>
        <w:rPr>
          <w:rFonts w:ascii="宋体" w:hAnsi="宋体"/>
          <w:szCs w:val="21"/>
        </w:rPr>
      </w:pPr>
      <w:r>
        <w:rPr>
          <w:rFonts w:hint="eastAsia" w:ascii="宋体" w:hAnsi="宋体"/>
          <w:szCs w:val="21"/>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pPr>
        <w:spacing w:line="360" w:lineRule="auto"/>
        <w:ind w:firstLine="420" w:firstLineChars="200"/>
        <w:rPr>
          <w:rFonts w:ascii="宋体" w:hAnsi="宋体"/>
          <w:szCs w:val="21"/>
        </w:rPr>
      </w:pPr>
      <w:r>
        <w:rPr>
          <w:rFonts w:hint="eastAsia" w:ascii="宋体" w:hAnsi="宋体"/>
          <w:szCs w:val="21"/>
        </w:rPr>
        <w:t>（3）临时基金托管人：新任基金托管人产生之前，由中国证监会指定临时基金托管人；</w:t>
      </w:r>
    </w:p>
    <w:p>
      <w:pPr>
        <w:spacing w:line="360" w:lineRule="auto"/>
        <w:ind w:firstLine="420" w:firstLineChars="200"/>
        <w:rPr>
          <w:rFonts w:ascii="宋体" w:hAnsi="宋体"/>
          <w:szCs w:val="21"/>
        </w:rPr>
      </w:pPr>
      <w:r>
        <w:rPr>
          <w:rFonts w:hint="eastAsia" w:ascii="宋体" w:hAnsi="宋体"/>
          <w:szCs w:val="21"/>
        </w:rPr>
        <w:t>（4）备案：基金份额持有人大会更换基金托管人的决议须报中国证监会备案；</w:t>
      </w:r>
    </w:p>
    <w:p>
      <w:pPr>
        <w:spacing w:line="360" w:lineRule="auto"/>
        <w:ind w:firstLine="420" w:firstLineChars="200"/>
        <w:rPr>
          <w:rFonts w:ascii="宋体" w:hAnsi="宋体"/>
          <w:szCs w:val="21"/>
        </w:rPr>
      </w:pPr>
      <w:r>
        <w:rPr>
          <w:rFonts w:hint="eastAsia" w:ascii="宋体" w:hAnsi="宋体"/>
          <w:szCs w:val="21"/>
        </w:rPr>
        <w:t>（5）公告：基金托管人更换后，由基金管理人在更换基金托管人的基金份额持有人大会决议生效后2日内在规定媒介公告；</w:t>
      </w:r>
    </w:p>
    <w:p>
      <w:pPr>
        <w:spacing w:line="360" w:lineRule="auto"/>
        <w:ind w:firstLine="420" w:firstLineChars="200"/>
        <w:rPr>
          <w:rFonts w:ascii="宋体" w:hAnsi="宋体"/>
          <w:szCs w:val="21"/>
        </w:rPr>
      </w:pPr>
      <w:r>
        <w:rPr>
          <w:rFonts w:hint="eastAsia" w:ascii="宋体" w:hAnsi="宋体"/>
          <w:szCs w:val="21"/>
        </w:rPr>
        <w:t>（6）交接：原任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pPr>
        <w:spacing w:line="360" w:lineRule="auto"/>
        <w:ind w:firstLine="420" w:firstLineChars="200"/>
        <w:rPr>
          <w:rFonts w:ascii="宋体" w:hAnsi="宋体"/>
          <w:szCs w:val="21"/>
        </w:rPr>
      </w:pPr>
      <w:r>
        <w:rPr>
          <w:rFonts w:hint="eastAsia" w:ascii="宋体" w:hAnsi="宋体"/>
          <w:szCs w:val="21"/>
        </w:rPr>
        <w:t>（7）审计：原任基金托管人职责终止的，应当按照法律法规规定聘请会计师事务所对基金财产进行审计，并将审计结果予以公告，同时报中国证监会备案，审计费用在基金财产中列支。</w:t>
      </w:r>
    </w:p>
    <w:p>
      <w:pPr>
        <w:spacing w:line="360" w:lineRule="auto"/>
        <w:ind w:firstLine="420" w:firstLineChars="200"/>
        <w:rPr>
          <w:rFonts w:ascii="宋体" w:hAnsi="宋体"/>
          <w:szCs w:val="21"/>
        </w:rPr>
      </w:pPr>
      <w:r>
        <w:rPr>
          <w:rFonts w:hint="eastAsia" w:ascii="宋体" w:hAnsi="宋体"/>
          <w:szCs w:val="21"/>
        </w:rPr>
        <w:t>（三）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基金合同》的规定收取基金管理费或基金托管费。</w:t>
      </w:r>
    </w:p>
    <w:p>
      <w:pPr>
        <w:spacing w:line="360" w:lineRule="auto"/>
        <w:ind w:firstLine="420" w:firstLineChars="200"/>
        <w:textAlignment w:val="baseline"/>
        <w:rPr>
          <w:rFonts w:ascii="宋体" w:hAnsi="宋体"/>
          <w:szCs w:val="21"/>
        </w:rPr>
      </w:pPr>
      <w:r>
        <w:rPr>
          <w:rFonts w:hint="eastAsia" w:ascii="宋体" w:hAnsi="宋体"/>
          <w:szCs w:val="21"/>
        </w:rPr>
        <w:t>（四）基金管理人与基金托管人同时更换的条件和程序</w:t>
      </w:r>
    </w:p>
    <w:p>
      <w:pPr>
        <w:spacing w:line="360" w:lineRule="auto"/>
        <w:ind w:firstLine="420" w:firstLineChars="200"/>
        <w:rPr>
          <w:rFonts w:ascii="宋体" w:hAnsi="宋体"/>
          <w:szCs w:val="21"/>
        </w:rPr>
      </w:pPr>
      <w:r>
        <w:rPr>
          <w:rFonts w:hint="eastAsia" w:ascii="宋体" w:hAnsi="宋体"/>
          <w:szCs w:val="21"/>
        </w:rPr>
        <w:t>1.提名：如果基金管理人和基金托管人同时更换，由单独或合计持有基金总份额10%以上（含10%）的基金份额持有人提名新的基金管理人和基金托管人；</w:t>
      </w:r>
    </w:p>
    <w:p>
      <w:pPr>
        <w:spacing w:line="360" w:lineRule="auto"/>
        <w:ind w:firstLine="420" w:firstLineChars="200"/>
        <w:rPr>
          <w:rFonts w:ascii="宋体" w:hAnsi="宋体"/>
          <w:szCs w:val="21"/>
        </w:rPr>
      </w:pPr>
      <w:r>
        <w:rPr>
          <w:rFonts w:hint="eastAsia" w:ascii="宋体" w:hAnsi="宋体"/>
          <w:szCs w:val="21"/>
        </w:rPr>
        <w:t>2.基金管理人和基金托管人的更换分别按上述程序进行；</w:t>
      </w:r>
    </w:p>
    <w:p>
      <w:pPr>
        <w:spacing w:line="360" w:lineRule="auto"/>
        <w:ind w:firstLine="420" w:firstLineChars="200"/>
        <w:rPr>
          <w:rFonts w:ascii="宋体" w:hAnsi="宋体"/>
          <w:bCs/>
          <w:szCs w:val="21"/>
        </w:rPr>
      </w:pPr>
      <w:r>
        <w:rPr>
          <w:rFonts w:hint="eastAsia" w:ascii="宋体" w:hAnsi="宋体"/>
          <w:szCs w:val="21"/>
        </w:rPr>
        <w:t>3.公告：新任基金管理人和新任基金托管人应在更换基金管理人和基金托管人的基金份额持有人大会决议生效后2日内在规定媒介上联合公告。</w:t>
      </w:r>
    </w:p>
    <w:p>
      <w:pPr>
        <w:spacing w:line="360" w:lineRule="auto"/>
        <w:ind w:firstLine="472" w:firstLineChars="225"/>
        <w:rPr>
          <w:rFonts w:ascii="宋体" w:hAnsi="宋体"/>
          <w:bCs/>
          <w:szCs w:val="21"/>
        </w:rPr>
      </w:pPr>
    </w:p>
    <w:p>
      <w:pPr>
        <w:jc w:val="left"/>
        <w:rPr>
          <w:rFonts w:ascii="宋体" w:hAnsi="宋体"/>
          <w:b/>
          <w:sz w:val="24"/>
        </w:rPr>
      </w:pPr>
      <w:bookmarkStart w:id="72" w:name="_Toc382819131"/>
      <w:r>
        <w:rPr>
          <w:rFonts w:hint="eastAsia" w:ascii="宋体" w:hAnsi="宋体"/>
          <w:b/>
          <w:sz w:val="24"/>
        </w:rPr>
        <w:br w:type="page"/>
      </w:r>
    </w:p>
    <w:p>
      <w:pPr>
        <w:spacing w:before="312" w:beforeLines="100" w:after="312" w:afterLines="100" w:line="500" w:lineRule="atLeast"/>
        <w:jc w:val="center"/>
        <w:outlineLvl w:val="0"/>
        <w:rPr>
          <w:rFonts w:ascii="宋体" w:hAnsi="宋体"/>
        </w:rPr>
      </w:pPr>
      <w:r>
        <w:rPr>
          <w:rFonts w:hint="eastAsia" w:ascii="宋体" w:hAnsi="宋体"/>
          <w:b/>
          <w:sz w:val="24"/>
        </w:rPr>
        <w:t>十四、禁止行为</w:t>
      </w:r>
      <w:bookmarkEnd w:id="72"/>
    </w:p>
    <w:p>
      <w:pPr>
        <w:spacing w:line="360" w:lineRule="auto"/>
        <w:ind w:firstLine="420" w:firstLineChars="200"/>
        <w:rPr>
          <w:rFonts w:ascii="宋体" w:hAnsi="宋体"/>
          <w:szCs w:val="21"/>
        </w:rPr>
      </w:pPr>
      <w:r>
        <w:rPr>
          <w:rFonts w:hint="eastAsia" w:ascii="宋体" w:hAnsi="宋体"/>
          <w:szCs w:val="21"/>
        </w:rPr>
        <w:t>托管协议当事人禁止从事的行为，包括但不限于：</w:t>
      </w:r>
    </w:p>
    <w:p>
      <w:pPr>
        <w:spacing w:line="360" w:lineRule="auto"/>
        <w:ind w:firstLine="420" w:firstLineChars="200"/>
        <w:rPr>
          <w:rFonts w:ascii="宋体" w:hAnsi="宋体"/>
          <w:szCs w:val="21"/>
        </w:rPr>
      </w:pPr>
      <w:r>
        <w:rPr>
          <w:rFonts w:hint="eastAsia" w:ascii="宋体" w:hAnsi="宋体"/>
          <w:szCs w:val="21"/>
        </w:rPr>
        <w:t>（一）基金管理人、基金托管人将其固有财产或者他人财产混同于基金财产从事证券投资。</w:t>
      </w:r>
    </w:p>
    <w:p>
      <w:pPr>
        <w:spacing w:line="360" w:lineRule="auto"/>
        <w:ind w:firstLine="420" w:firstLineChars="200"/>
        <w:rPr>
          <w:rFonts w:ascii="宋体" w:hAnsi="宋体"/>
          <w:szCs w:val="21"/>
        </w:rPr>
      </w:pPr>
      <w:r>
        <w:rPr>
          <w:rFonts w:hint="eastAsia" w:ascii="宋体" w:hAnsi="宋体"/>
          <w:szCs w:val="21"/>
        </w:rPr>
        <w:t>（二）基金管理人、基金托管人不公平地对待其管理或托管的不同基金财产。</w:t>
      </w:r>
    </w:p>
    <w:p>
      <w:pPr>
        <w:spacing w:line="360" w:lineRule="auto"/>
        <w:ind w:firstLine="420" w:firstLineChars="200"/>
        <w:rPr>
          <w:rFonts w:ascii="宋体" w:hAnsi="宋体"/>
          <w:szCs w:val="21"/>
        </w:rPr>
      </w:pPr>
      <w:r>
        <w:rPr>
          <w:rFonts w:hint="eastAsia" w:ascii="宋体" w:hAnsi="宋体"/>
          <w:szCs w:val="21"/>
        </w:rPr>
        <w:t>（三）基金管理人、基金托管人利用基金财产为基金份额持有人以外的第三人牟取利益。</w:t>
      </w:r>
    </w:p>
    <w:p>
      <w:pPr>
        <w:spacing w:line="360" w:lineRule="auto"/>
        <w:ind w:firstLine="420" w:firstLineChars="200"/>
        <w:rPr>
          <w:rFonts w:ascii="宋体" w:hAnsi="宋体"/>
          <w:szCs w:val="21"/>
        </w:rPr>
      </w:pPr>
      <w:r>
        <w:rPr>
          <w:rFonts w:hint="eastAsia" w:ascii="宋体" w:hAnsi="宋体"/>
          <w:szCs w:val="21"/>
        </w:rPr>
        <w:t>（四）基金管理人、基金托管人向基金份额持有人违规承诺收益或者承担损失。</w:t>
      </w:r>
    </w:p>
    <w:p>
      <w:pPr>
        <w:spacing w:line="360" w:lineRule="auto"/>
        <w:ind w:firstLine="420" w:firstLineChars="200"/>
        <w:rPr>
          <w:rFonts w:ascii="宋体" w:hAnsi="宋体"/>
          <w:szCs w:val="21"/>
        </w:rPr>
      </w:pPr>
      <w:r>
        <w:rPr>
          <w:rFonts w:hint="eastAsia" w:ascii="宋体" w:hAnsi="宋体"/>
          <w:szCs w:val="21"/>
        </w:rPr>
        <w:t>（五）基金管理人、基金托管人对他人泄漏基金经营过程中任何尚未按法律法规规定的方式公开披露的信息。</w:t>
      </w:r>
    </w:p>
    <w:p>
      <w:pPr>
        <w:spacing w:line="360" w:lineRule="auto"/>
        <w:ind w:firstLine="420" w:firstLineChars="200"/>
        <w:rPr>
          <w:rFonts w:ascii="宋体" w:hAnsi="宋体"/>
          <w:szCs w:val="21"/>
        </w:rPr>
      </w:pPr>
      <w:r>
        <w:rPr>
          <w:rFonts w:hint="eastAsia" w:ascii="宋体" w:hAnsi="宋体"/>
          <w:szCs w:val="21"/>
        </w:rPr>
        <w:t>（六）基金管理人在没有充足资金的情况下向基金托管人发出投资指令和赎回、分红资金的划拨指令，或违规向基金托管人发出指令。</w:t>
      </w:r>
    </w:p>
    <w:p>
      <w:pPr>
        <w:spacing w:line="360" w:lineRule="auto"/>
        <w:ind w:firstLine="420" w:firstLineChars="200"/>
        <w:rPr>
          <w:rFonts w:ascii="宋体" w:hAnsi="宋体"/>
          <w:szCs w:val="21"/>
        </w:rPr>
      </w:pPr>
      <w:r>
        <w:rPr>
          <w:rFonts w:hint="eastAsia" w:ascii="宋体" w:hAnsi="宋体"/>
          <w:szCs w:val="21"/>
        </w:rPr>
        <w:t>（七）基金托管人对基金管理人的符合本协议约定的有效指令拖延或拒绝执行。</w:t>
      </w:r>
    </w:p>
    <w:p>
      <w:pPr>
        <w:spacing w:line="360" w:lineRule="auto"/>
        <w:ind w:firstLine="420" w:firstLineChars="200"/>
        <w:rPr>
          <w:rFonts w:ascii="宋体" w:hAnsi="宋体"/>
          <w:szCs w:val="21"/>
        </w:rPr>
      </w:pPr>
      <w:r>
        <w:rPr>
          <w:rFonts w:hint="eastAsia" w:ascii="宋体" w:hAnsi="宋体"/>
          <w:szCs w:val="21"/>
        </w:rPr>
        <w:t xml:space="preserve">（八）基金管理人、基金托管人在行政上、财务上不独立，其高级基金管理人员相互兼职。 </w:t>
      </w:r>
    </w:p>
    <w:p>
      <w:pPr>
        <w:spacing w:line="360" w:lineRule="auto"/>
        <w:ind w:firstLine="420" w:firstLineChars="200"/>
        <w:rPr>
          <w:rFonts w:ascii="宋体" w:hAnsi="宋体"/>
          <w:szCs w:val="21"/>
        </w:rPr>
      </w:pPr>
      <w:r>
        <w:rPr>
          <w:rFonts w:hint="eastAsia" w:ascii="宋体" w:hAnsi="宋体"/>
          <w:szCs w:val="21"/>
        </w:rPr>
        <w:t xml:space="preserve">（九）基金托管人私自动用或处分基金资产，根据基金管理人的合法指令、基金合同或托管协议的规定进行处分的除外。 </w:t>
      </w:r>
    </w:p>
    <w:p>
      <w:pPr>
        <w:spacing w:line="360" w:lineRule="auto"/>
        <w:ind w:firstLine="420" w:firstLineChars="200"/>
        <w:rPr>
          <w:rFonts w:ascii="宋体" w:hAnsi="宋体"/>
          <w:szCs w:val="21"/>
        </w:rPr>
      </w:pPr>
      <w:r>
        <w:rPr>
          <w:rFonts w:hint="eastAsia" w:ascii="宋体" w:hAnsi="宋体"/>
          <w:szCs w:val="21"/>
        </w:rPr>
        <w:t>（十）基金管理人、基金托管人不得利用基金财产用于下列投资或者活动：</w:t>
      </w:r>
    </w:p>
    <w:p>
      <w:pPr>
        <w:spacing w:line="360" w:lineRule="auto"/>
        <w:ind w:firstLine="420" w:firstLineChars="200"/>
        <w:rPr>
          <w:rFonts w:ascii="宋体" w:hAnsi="宋体"/>
          <w:szCs w:val="21"/>
        </w:rPr>
      </w:pPr>
      <w:r>
        <w:rPr>
          <w:rFonts w:hint="eastAsia" w:ascii="宋体" w:hAnsi="宋体"/>
          <w:szCs w:val="21"/>
        </w:rPr>
        <w:t>（1）承销证券；</w:t>
      </w:r>
    </w:p>
    <w:p>
      <w:pPr>
        <w:spacing w:line="360" w:lineRule="auto"/>
        <w:ind w:firstLine="420" w:firstLineChars="200"/>
        <w:rPr>
          <w:rFonts w:ascii="宋体" w:hAnsi="宋体"/>
          <w:szCs w:val="21"/>
        </w:rPr>
      </w:pPr>
      <w:r>
        <w:rPr>
          <w:rFonts w:hint="eastAsia" w:ascii="宋体" w:hAnsi="宋体"/>
          <w:szCs w:val="21"/>
        </w:rPr>
        <w:t>（2）违反规定向他人贷款或者提供担保；</w:t>
      </w:r>
    </w:p>
    <w:p>
      <w:pPr>
        <w:spacing w:line="360" w:lineRule="auto"/>
        <w:ind w:firstLine="420" w:firstLineChars="200"/>
        <w:rPr>
          <w:rFonts w:ascii="宋体" w:hAnsi="宋体"/>
          <w:szCs w:val="21"/>
        </w:rPr>
      </w:pPr>
      <w:r>
        <w:rPr>
          <w:rFonts w:hint="eastAsia" w:ascii="宋体" w:hAnsi="宋体"/>
          <w:szCs w:val="21"/>
        </w:rPr>
        <w:t>（3）从事承担无限责任的投资；</w:t>
      </w:r>
    </w:p>
    <w:p>
      <w:pPr>
        <w:spacing w:line="360" w:lineRule="auto"/>
        <w:ind w:firstLine="420" w:firstLineChars="200"/>
        <w:rPr>
          <w:rFonts w:ascii="宋体" w:hAnsi="宋体"/>
          <w:szCs w:val="21"/>
        </w:rPr>
      </w:pPr>
      <w:r>
        <w:rPr>
          <w:rFonts w:hint="eastAsia" w:ascii="宋体" w:hAnsi="宋体"/>
          <w:szCs w:val="21"/>
        </w:rPr>
        <w:t>（4）向其基金管理人、基金托管人出资；</w:t>
      </w:r>
    </w:p>
    <w:p>
      <w:pPr>
        <w:spacing w:line="360" w:lineRule="auto"/>
        <w:ind w:firstLine="420" w:firstLineChars="200"/>
        <w:rPr>
          <w:rFonts w:ascii="宋体" w:hAnsi="宋体"/>
          <w:szCs w:val="21"/>
        </w:rPr>
      </w:pPr>
      <w:r>
        <w:rPr>
          <w:rFonts w:hint="eastAsia" w:ascii="宋体" w:hAnsi="宋体"/>
          <w:szCs w:val="21"/>
        </w:rPr>
        <w:t>（5）从事内幕交易、操纵证券交易价格及其他不正当的证券交易活动；</w:t>
      </w:r>
    </w:p>
    <w:p>
      <w:pPr>
        <w:spacing w:line="360" w:lineRule="auto"/>
        <w:ind w:firstLine="420" w:firstLineChars="200"/>
        <w:rPr>
          <w:rFonts w:ascii="宋体" w:hAnsi="宋体"/>
          <w:szCs w:val="21"/>
        </w:rPr>
      </w:pPr>
      <w:r>
        <w:rPr>
          <w:rFonts w:hint="eastAsia" w:ascii="宋体" w:hAnsi="宋体"/>
          <w:szCs w:val="21"/>
        </w:rPr>
        <w:t>（6）法律、行政法规和中国证监会规定禁止的其他活动。</w:t>
      </w:r>
    </w:p>
    <w:p>
      <w:pPr>
        <w:spacing w:line="360" w:lineRule="auto"/>
        <w:ind w:firstLine="420" w:firstLineChars="200"/>
        <w:rPr>
          <w:rFonts w:ascii="宋体" w:hAnsi="宋体"/>
          <w:szCs w:val="21"/>
        </w:rPr>
      </w:pPr>
      <w:r>
        <w:rPr>
          <w:rFonts w:hint="eastAsia" w:ascii="宋体" w:hAnsi="宋体"/>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20" w:firstLineChars="200"/>
        <w:rPr>
          <w:rFonts w:ascii="宋体" w:hAnsi="宋体"/>
          <w:szCs w:val="21"/>
        </w:rPr>
      </w:pPr>
      <w:r>
        <w:rPr>
          <w:rFonts w:hint="eastAsia" w:ascii="宋体" w:hAnsi="宋体"/>
          <w:szCs w:val="21"/>
        </w:rPr>
        <w:t>法律、行政法规或监管部门取消或调整上述限制，如适用于本基金，基金管理人在履行适当程序后，则本基金投资不受上述限制或按调整后的规定执行。</w:t>
      </w:r>
    </w:p>
    <w:p>
      <w:pPr>
        <w:spacing w:line="360" w:lineRule="auto"/>
        <w:ind w:firstLine="420" w:firstLineChars="200"/>
        <w:rPr>
          <w:rFonts w:ascii="宋体" w:hAnsi="宋体"/>
          <w:szCs w:val="21"/>
        </w:rPr>
      </w:pPr>
      <w:r>
        <w:rPr>
          <w:rFonts w:hint="eastAsia" w:ascii="宋体" w:hAnsi="宋体"/>
          <w:szCs w:val="21"/>
        </w:rPr>
        <w:t>（十一）法律法规和基金合同禁止的其他行为，以及依照法律法规有关规定，由中国证监会规定禁止基金管理人、基金托管人从事的其他行为。法律、行政法规或监管部门取消或变更上述禁止性规定，如适用于本基金，基金管理人有权在履行适当程序后按照法律法规或监管部门调整或修改后的规定执行，并应向投资者履行信息披露义务。</w:t>
      </w:r>
    </w:p>
    <w:p>
      <w:pPr>
        <w:rPr>
          <w:rFonts w:ascii="宋体" w:hAnsi="宋体"/>
          <w:szCs w:val="21"/>
        </w:rPr>
      </w:pPr>
      <w:r>
        <w:rPr>
          <w:rFonts w:hint="eastAsia" w:ascii="宋体" w:hAnsi="宋体"/>
          <w:szCs w:val="21"/>
        </w:rPr>
        <w:br w:type="page"/>
      </w:r>
    </w:p>
    <w:p>
      <w:pPr>
        <w:spacing w:before="312" w:beforeLines="100" w:after="312" w:afterLines="100" w:line="500" w:lineRule="atLeast"/>
        <w:jc w:val="center"/>
        <w:outlineLvl w:val="0"/>
        <w:rPr>
          <w:rFonts w:ascii="宋体" w:hAnsi="宋体"/>
        </w:rPr>
      </w:pPr>
      <w:bookmarkStart w:id="73" w:name="_Toc382819132"/>
      <w:r>
        <w:rPr>
          <w:rFonts w:hint="eastAsia" w:ascii="宋体" w:hAnsi="宋体"/>
          <w:b/>
          <w:sz w:val="24"/>
        </w:rPr>
        <w:t>十五、基金托管协议的变更、终止与基金财产的清算</w:t>
      </w:r>
      <w:bookmarkEnd w:id="73"/>
    </w:p>
    <w:p>
      <w:pPr>
        <w:spacing w:line="360" w:lineRule="auto"/>
        <w:ind w:firstLine="420" w:firstLineChars="200"/>
        <w:textAlignment w:val="baseline"/>
        <w:rPr>
          <w:rFonts w:ascii="宋体" w:hAnsi="宋体"/>
          <w:szCs w:val="21"/>
        </w:rPr>
      </w:pPr>
      <w:r>
        <w:rPr>
          <w:rFonts w:hint="eastAsia" w:ascii="宋体" w:hAnsi="宋体"/>
          <w:szCs w:val="21"/>
        </w:rPr>
        <w:t>（一）托管协议的变更与终止</w:t>
      </w:r>
    </w:p>
    <w:p>
      <w:pPr>
        <w:spacing w:line="360" w:lineRule="auto"/>
        <w:ind w:firstLine="420" w:firstLineChars="200"/>
        <w:rPr>
          <w:rFonts w:ascii="宋体" w:hAnsi="宋体"/>
          <w:szCs w:val="21"/>
        </w:rPr>
      </w:pPr>
      <w:r>
        <w:rPr>
          <w:rFonts w:hint="eastAsia" w:ascii="宋体" w:hAnsi="宋体"/>
          <w:szCs w:val="21"/>
        </w:rPr>
        <w:t>1.托管协议的变更程序</w:t>
      </w:r>
    </w:p>
    <w:p>
      <w:pPr>
        <w:spacing w:line="360" w:lineRule="auto"/>
        <w:ind w:firstLine="444" w:firstLineChars="200"/>
        <w:rPr>
          <w:rFonts w:ascii="宋体" w:hAnsi="宋体"/>
          <w:spacing w:val="6"/>
          <w:szCs w:val="21"/>
        </w:rPr>
      </w:pPr>
      <w:r>
        <w:rPr>
          <w:rFonts w:hint="eastAsia" w:ascii="宋体" w:hAnsi="宋体"/>
          <w:spacing w:val="6"/>
          <w:szCs w:val="21"/>
        </w:rPr>
        <w:t>本协议双方当事人经协商一致，可以对协议的内容进行变更。变更后的托管协议，其内容不得与《基金合同》的规定有任何冲突，并需</w:t>
      </w:r>
      <w:r>
        <w:rPr>
          <w:rFonts w:hint="eastAsia" w:ascii="宋体" w:hAnsi="宋体"/>
          <w:szCs w:val="21"/>
        </w:rPr>
        <w:t>经基金管理人、基金托管人加盖公章或合同专用章以及双方法定代表人或授权代理人签字（或盖章）确认</w:t>
      </w:r>
      <w:r>
        <w:rPr>
          <w:rFonts w:hint="eastAsia" w:ascii="宋体" w:hAnsi="宋体"/>
          <w:spacing w:val="6"/>
          <w:szCs w:val="21"/>
        </w:rPr>
        <w:t>。基金托管协议的变更报中国证监会备案。</w:t>
      </w:r>
    </w:p>
    <w:p>
      <w:pPr>
        <w:spacing w:line="360" w:lineRule="auto"/>
        <w:ind w:firstLine="420" w:firstLineChars="200"/>
        <w:rPr>
          <w:rFonts w:ascii="宋体" w:hAnsi="宋体"/>
          <w:szCs w:val="21"/>
        </w:rPr>
      </w:pPr>
      <w:r>
        <w:rPr>
          <w:rFonts w:hint="eastAsia" w:ascii="宋体" w:hAnsi="宋体"/>
          <w:szCs w:val="21"/>
        </w:rPr>
        <w:t>2.基金托管协议终止的情形</w:t>
      </w:r>
    </w:p>
    <w:p>
      <w:pPr>
        <w:spacing w:line="360" w:lineRule="auto"/>
        <w:ind w:firstLine="444" w:firstLineChars="200"/>
        <w:rPr>
          <w:rFonts w:ascii="宋体" w:hAnsi="宋体"/>
          <w:spacing w:val="6"/>
          <w:szCs w:val="21"/>
        </w:rPr>
      </w:pPr>
      <w:r>
        <w:rPr>
          <w:rFonts w:hint="eastAsia" w:ascii="宋体" w:hAnsi="宋体"/>
          <w:spacing w:val="6"/>
          <w:szCs w:val="21"/>
        </w:rPr>
        <w:t>发生以下情况，本托管协议终止：</w:t>
      </w:r>
    </w:p>
    <w:p>
      <w:pPr>
        <w:spacing w:line="360" w:lineRule="auto"/>
        <w:ind w:firstLine="444" w:firstLineChars="200"/>
        <w:rPr>
          <w:rFonts w:ascii="宋体" w:hAnsi="宋体"/>
          <w:spacing w:val="6"/>
          <w:szCs w:val="21"/>
        </w:rPr>
      </w:pPr>
      <w:r>
        <w:rPr>
          <w:rFonts w:hint="eastAsia" w:ascii="宋体" w:hAnsi="宋体"/>
          <w:spacing w:val="6"/>
          <w:szCs w:val="21"/>
        </w:rPr>
        <w:t>（1）《基金合同》终止；</w:t>
      </w:r>
    </w:p>
    <w:p>
      <w:pPr>
        <w:spacing w:line="360" w:lineRule="auto"/>
        <w:ind w:firstLine="444" w:firstLineChars="200"/>
        <w:rPr>
          <w:rFonts w:ascii="宋体" w:hAnsi="宋体"/>
          <w:spacing w:val="6"/>
          <w:szCs w:val="21"/>
        </w:rPr>
      </w:pPr>
      <w:r>
        <w:rPr>
          <w:rFonts w:hint="eastAsia" w:ascii="宋体" w:hAnsi="宋体"/>
          <w:spacing w:val="6"/>
          <w:szCs w:val="21"/>
        </w:rPr>
        <w:t>（2）基金托管人解散、依法被撤销、破产或有其他基金托管人接管基金资产；</w:t>
      </w:r>
    </w:p>
    <w:p>
      <w:pPr>
        <w:spacing w:line="360" w:lineRule="auto"/>
        <w:ind w:firstLine="444" w:firstLineChars="200"/>
        <w:rPr>
          <w:rFonts w:ascii="宋体" w:hAnsi="宋体"/>
          <w:spacing w:val="6"/>
          <w:szCs w:val="21"/>
        </w:rPr>
      </w:pPr>
      <w:r>
        <w:rPr>
          <w:rFonts w:hint="eastAsia" w:ascii="宋体" w:hAnsi="宋体"/>
          <w:spacing w:val="6"/>
          <w:szCs w:val="21"/>
        </w:rPr>
        <w:t>（3）基金管理人解散、依法被撤销、破产或有其他基金管理人接管基金管理权；</w:t>
      </w:r>
    </w:p>
    <w:p>
      <w:pPr>
        <w:spacing w:line="360" w:lineRule="auto"/>
        <w:ind w:firstLine="444" w:firstLineChars="200"/>
        <w:rPr>
          <w:rFonts w:ascii="宋体" w:hAnsi="宋体"/>
          <w:spacing w:val="6"/>
          <w:szCs w:val="21"/>
        </w:rPr>
      </w:pPr>
      <w:r>
        <w:rPr>
          <w:rFonts w:hint="eastAsia" w:ascii="宋体" w:hAnsi="宋体"/>
          <w:spacing w:val="6"/>
          <w:szCs w:val="21"/>
        </w:rPr>
        <w:t>（4）发生法律法规或《基金合同》规定的终止事项。</w:t>
      </w:r>
    </w:p>
    <w:p>
      <w:pPr>
        <w:spacing w:line="360" w:lineRule="auto"/>
        <w:ind w:firstLine="420" w:firstLineChars="200"/>
        <w:textAlignment w:val="baseline"/>
        <w:rPr>
          <w:rFonts w:ascii="宋体" w:hAnsi="宋体"/>
          <w:szCs w:val="21"/>
        </w:rPr>
      </w:pPr>
      <w:r>
        <w:rPr>
          <w:rFonts w:hint="eastAsia" w:ascii="宋体" w:hAnsi="宋体"/>
          <w:szCs w:val="21"/>
        </w:rPr>
        <w:t>（二）基金财产的清算</w:t>
      </w:r>
    </w:p>
    <w:p>
      <w:pPr>
        <w:spacing w:line="360" w:lineRule="auto"/>
        <w:ind w:firstLine="420" w:firstLineChars="200"/>
        <w:rPr>
          <w:rFonts w:ascii="宋体" w:hAnsi="宋体"/>
          <w:szCs w:val="21"/>
        </w:rPr>
      </w:pPr>
      <w:r>
        <w:rPr>
          <w:rFonts w:hint="eastAsia" w:ascii="宋体" w:hAnsi="宋体"/>
          <w:szCs w:val="21"/>
        </w:rPr>
        <w:t>1.基金财产清算小组：自出现《基金合同》终止事由之日起30个工作日内成立清算小组，基金管理人组织基金财产清算小组并在中国证监会的监督下进行基金清算。</w:t>
      </w:r>
    </w:p>
    <w:p>
      <w:pPr>
        <w:spacing w:line="360" w:lineRule="auto"/>
        <w:ind w:firstLine="420" w:firstLineChars="200"/>
        <w:rPr>
          <w:rFonts w:ascii="宋体" w:hAnsi="宋体"/>
          <w:szCs w:val="21"/>
        </w:rPr>
      </w:pPr>
      <w:r>
        <w:rPr>
          <w:rFonts w:hint="eastAsia" w:ascii="宋体" w:hAnsi="宋体"/>
          <w:szCs w:val="21"/>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spacing w:line="360" w:lineRule="auto"/>
        <w:ind w:firstLine="420" w:firstLineChars="200"/>
        <w:rPr>
          <w:rFonts w:ascii="宋体" w:hAnsi="宋体"/>
          <w:szCs w:val="21"/>
        </w:rPr>
      </w:pPr>
      <w:r>
        <w:rPr>
          <w:rFonts w:hint="eastAsia" w:ascii="宋体" w:hAnsi="宋体"/>
          <w:szCs w:val="21"/>
        </w:rPr>
        <w:t>3.基金财产清算小组职责：基金财产清算小组负责基金财产的保管、清理、估价、变现和分配。基金财产清算小组可以依法进行必要的民事活动。</w:t>
      </w:r>
    </w:p>
    <w:p>
      <w:pPr>
        <w:tabs>
          <w:tab w:val="left" w:pos="6435"/>
        </w:tabs>
        <w:spacing w:line="360" w:lineRule="auto"/>
        <w:ind w:firstLine="420" w:firstLineChars="200"/>
        <w:rPr>
          <w:rFonts w:ascii="宋体" w:hAnsi="宋体"/>
          <w:szCs w:val="21"/>
        </w:rPr>
      </w:pPr>
      <w:r>
        <w:rPr>
          <w:rFonts w:hint="eastAsia" w:ascii="宋体" w:hAnsi="宋体"/>
          <w:szCs w:val="21"/>
        </w:rPr>
        <w:t>5.基金财产清算程序：</w:t>
      </w:r>
      <w:r>
        <w:rPr>
          <w:rFonts w:hint="eastAsia" w:ascii="宋体" w:hAnsi="宋体"/>
          <w:szCs w:val="21"/>
        </w:rPr>
        <w:tab/>
      </w:r>
    </w:p>
    <w:p>
      <w:pPr>
        <w:spacing w:line="360" w:lineRule="auto"/>
        <w:ind w:firstLine="420" w:firstLineChars="200"/>
        <w:rPr>
          <w:rFonts w:ascii="宋体" w:hAnsi="宋体"/>
          <w:szCs w:val="21"/>
        </w:rPr>
      </w:pPr>
      <w:r>
        <w:rPr>
          <w:rFonts w:hint="eastAsia" w:ascii="宋体" w:hAnsi="宋体"/>
          <w:szCs w:val="21"/>
        </w:rPr>
        <w:t>（1）《基金合同》终止情形出现时，由基金财产清算小组统一接管基金；</w:t>
      </w:r>
    </w:p>
    <w:p>
      <w:pPr>
        <w:spacing w:line="360" w:lineRule="auto"/>
        <w:ind w:firstLine="420" w:firstLineChars="200"/>
        <w:rPr>
          <w:rFonts w:ascii="宋体" w:hAnsi="宋体"/>
          <w:szCs w:val="21"/>
        </w:rPr>
      </w:pPr>
      <w:r>
        <w:rPr>
          <w:rFonts w:hint="eastAsia" w:ascii="宋体" w:hAnsi="宋体"/>
          <w:szCs w:val="21"/>
        </w:rPr>
        <w:t>（2）对基金财产和债权债务进行清理和确认；</w:t>
      </w:r>
    </w:p>
    <w:p>
      <w:pPr>
        <w:spacing w:line="360" w:lineRule="auto"/>
        <w:ind w:firstLine="420" w:firstLineChars="200"/>
        <w:rPr>
          <w:rFonts w:ascii="宋体" w:hAnsi="宋体"/>
          <w:szCs w:val="21"/>
        </w:rPr>
      </w:pPr>
      <w:r>
        <w:rPr>
          <w:rFonts w:hint="eastAsia" w:ascii="宋体" w:hAnsi="宋体"/>
          <w:szCs w:val="21"/>
        </w:rPr>
        <w:t>（3）对基金财产进行估值和变现；</w:t>
      </w:r>
    </w:p>
    <w:p>
      <w:pPr>
        <w:spacing w:line="360" w:lineRule="auto"/>
        <w:ind w:firstLine="420" w:firstLineChars="200"/>
        <w:rPr>
          <w:rFonts w:ascii="宋体" w:hAnsi="宋体"/>
          <w:szCs w:val="21"/>
        </w:rPr>
      </w:pPr>
      <w:r>
        <w:rPr>
          <w:rFonts w:hint="eastAsia" w:ascii="宋体" w:hAnsi="宋体"/>
          <w:szCs w:val="21"/>
        </w:rPr>
        <w:t>（4）制作清算报告；</w:t>
      </w:r>
    </w:p>
    <w:p>
      <w:pPr>
        <w:spacing w:line="360" w:lineRule="auto"/>
        <w:ind w:firstLine="420" w:firstLineChars="200"/>
        <w:rPr>
          <w:rFonts w:ascii="宋体" w:hAnsi="宋体"/>
          <w:szCs w:val="21"/>
        </w:rPr>
      </w:pPr>
      <w:r>
        <w:rPr>
          <w:rFonts w:hint="eastAsia" w:ascii="宋体" w:hAnsi="宋体"/>
          <w:szCs w:val="21"/>
        </w:rPr>
        <w:t>（5）聘请符合《中华人民共和国证券法》规定的会计师事务所对清算报告进行外部审计，聘请律师事务所对清算报告出具法律意见书；</w:t>
      </w:r>
    </w:p>
    <w:p>
      <w:pPr>
        <w:spacing w:line="360" w:lineRule="auto"/>
        <w:ind w:firstLine="420" w:firstLineChars="200"/>
        <w:rPr>
          <w:rFonts w:ascii="宋体" w:hAnsi="宋体"/>
          <w:szCs w:val="21"/>
        </w:rPr>
      </w:pPr>
      <w:r>
        <w:rPr>
          <w:rFonts w:hint="eastAsia" w:ascii="宋体" w:hAnsi="宋体"/>
          <w:szCs w:val="21"/>
        </w:rPr>
        <w:t>（6）将清算报告报中国证监会备案并公告；</w:t>
      </w:r>
    </w:p>
    <w:p>
      <w:pPr>
        <w:spacing w:line="360" w:lineRule="auto"/>
        <w:ind w:firstLine="420" w:firstLineChars="200"/>
        <w:rPr>
          <w:rFonts w:ascii="宋体" w:hAnsi="宋体"/>
          <w:szCs w:val="21"/>
        </w:rPr>
      </w:pPr>
      <w:r>
        <w:rPr>
          <w:rFonts w:hint="eastAsia" w:ascii="宋体" w:hAnsi="宋体"/>
          <w:szCs w:val="21"/>
        </w:rPr>
        <w:t>（7）对基金剩余财产进行分配。</w:t>
      </w:r>
    </w:p>
    <w:p>
      <w:pPr>
        <w:spacing w:line="360" w:lineRule="auto"/>
        <w:ind w:firstLine="420" w:firstLineChars="200"/>
        <w:rPr>
          <w:rFonts w:ascii="宋体" w:hAnsi="宋体" w:cs="Arial"/>
          <w:szCs w:val="21"/>
        </w:rPr>
      </w:pPr>
      <w:r>
        <w:rPr>
          <w:rFonts w:hint="eastAsia" w:ascii="宋体" w:hAnsi="宋体" w:cs="Arial"/>
          <w:szCs w:val="21"/>
        </w:rPr>
        <w:t>6.清算费用</w:t>
      </w:r>
    </w:p>
    <w:p>
      <w:pPr>
        <w:spacing w:line="360" w:lineRule="auto"/>
        <w:ind w:firstLine="420" w:firstLineChars="200"/>
        <w:rPr>
          <w:rFonts w:ascii="宋体" w:hAnsi="宋体" w:cs="Arial"/>
          <w:szCs w:val="21"/>
        </w:rPr>
      </w:pPr>
      <w:r>
        <w:rPr>
          <w:rFonts w:hint="eastAsia" w:ascii="宋体" w:hAnsi="宋体" w:cs="Arial"/>
          <w:szCs w:val="21"/>
        </w:rPr>
        <w:t>清算费用是指基金财产清算小组在进行基金清算过程中发生的所有合理费用，清算费用由基金财产清算小组优先从基金剩余财产中支付。</w:t>
      </w:r>
    </w:p>
    <w:p>
      <w:pPr>
        <w:spacing w:line="360" w:lineRule="auto"/>
        <w:ind w:firstLine="420" w:firstLineChars="200"/>
        <w:rPr>
          <w:rFonts w:ascii="宋体" w:hAnsi="宋体" w:cs="Arial"/>
          <w:szCs w:val="21"/>
        </w:rPr>
      </w:pPr>
      <w:r>
        <w:rPr>
          <w:rFonts w:hint="eastAsia" w:ascii="宋体" w:hAnsi="宋体" w:cs="Arial"/>
          <w:szCs w:val="21"/>
        </w:rPr>
        <w:t>7.基金财产清算剩余资产的分配</w:t>
      </w:r>
    </w:p>
    <w:p>
      <w:pPr>
        <w:spacing w:line="360" w:lineRule="auto"/>
        <w:ind w:firstLine="420" w:firstLineChars="200"/>
        <w:rPr>
          <w:rFonts w:ascii="宋体" w:hAnsi="宋体" w:cs="Arial"/>
          <w:szCs w:val="21"/>
        </w:rPr>
      </w:pPr>
      <w:r>
        <w:rPr>
          <w:rFonts w:hint="eastAsia" w:ascii="宋体" w:hAnsi="宋体" w:cs="Arial"/>
          <w:szCs w:val="21"/>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20" w:firstLineChars="200"/>
        <w:textAlignment w:val="baseline"/>
        <w:rPr>
          <w:rFonts w:ascii="宋体" w:hAnsi="宋体"/>
          <w:szCs w:val="21"/>
        </w:rPr>
      </w:pPr>
      <w:r>
        <w:rPr>
          <w:rFonts w:hint="eastAsia" w:ascii="宋体" w:hAnsi="宋体"/>
          <w:szCs w:val="21"/>
        </w:rPr>
        <w:t>（三）基金财产清算的公告</w:t>
      </w:r>
    </w:p>
    <w:p>
      <w:pPr>
        <w:spacing w:line="360" w:lineRule="auto"/>
        <w:ind w:firstLine="420" w:firstLineChars="200"/>
        <w:rPr>
          <w:rFonts w:ascii="宋体" w:hAnsi="宋体"/>
          <w:szCs w:val="21"/>
        </w:rPr>
      </w:pPr>
      <w:r>
        <w:rPr>
          <w:rFonts w:hint="eastAsia" w:ascii="宋体" w:hAnsi="宋体"/>
          <w:szCs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spacing w:line="360" w:lineRule="auto"/>
        <w:ind w:firstLine="420" w:firstLineChars="200"/>
        <w:textAlignment w:val="baseline"/>
        <w:rPr>
          <w:rFonts w:ascii="宋体" w:hAnsi="宋体"/>
          <w:szCs w:val="21"/>
        </w:rPr>
      </w:pPr>
      <w:r>
        <w:rPr>
          <w:rFonts w:hint="eastAsia" w:ascii="宋体" w:hAnsi="宋体"/>
          <w:szCs w:val="21"/>
        </w:rPr>
        <w:t>（四）基金财产清算账册及文件的保存</w:t>
      </w:r>
    </w:p>
    <w:p>
      <w:pPr>
        <w:spacing w:line="360" w:lineRule="auto"/>
        <w:ind w:firstLine="420" w:firstLineChars="200"/>
        <w:rPr>
          <w:rFonts w:ascii="宋体" w:hAnsi="宋体"/>
          <w:szCs w:val="21"/>
        </w:rPr>
      </w:pPr>
      <w:r>
        <w:rPr>
          <w:rFonts w:hint="eastAsia" w:ascii="宋体" w:hAnsi="宋体"/>
          <w:szCs w:val="21"/>
        </w:rPr>
        <w:t>基金财产清算账册及有关文件由基金托管人保存，保存时间不低于法律法规规定的最低期限。</w:t>
      </w:r>
    </w:p>
    <w:p>
      <w:pPr>
        <w:spacing w:line="360" w:lineRule="auto"/>
        <w:ind w:firstLine="420" w:firstLineChars="200"/>
        <w:rPr>
          <w:rFonts w:ascii="宋体" w:hAnsi="宋体"/>
          <w:szCs w:val="21"/>
        </w:rPr>
      </w:pPr>
    </w:p>
    <w:p>
      <w:pPr>
        <w:jc w:val="left"/>
        <w:rPr>
          <w:rFonts w:ascii="宋体" w:hAnsi="宋体"/>
          <w:b/>
          <w:sz w:val="24"/>
        </w:rPr>
      </w:pPr>
      <w:bookmarkStart w:id="74" w:name="_Toc382819133"/>
      <w:r>
        <w:rPr>
          <w:rFonts w:hint="eastAsia" w:ascii="宋体" w:hAnsi="宋体"/>
          <w:b/>
          <w:sz w:val="24"/>
        </w:rPr>
        <w:br w:type="page"/>
      </w:r>
    </w:p>
    <w:p>
      <w:pPr>
        <w:spacing w:before="312" w:beforeLines="100" w:after="312" w:afterLines="100" w:line="500" w:lineRule="atLeast"/>
        <w:jc w:val="center"/>
        <w:outlineLvl w:val="0"/>
        <w:rPr>
          <w:rFonts w:ascii="宋体" w:hAnsi="宋体"/>
        </w:rPr>
      </w:pPr>
      <w:r>
        <w:rPr>
          <w:rFonts w:hint="eastAsia" w:ascii="宋体" w:hAnsi="宋体"/>
          <w:b/>
          <w:sz w:val="24"/>
        </w:rPr>
        <w:t>十六、违约责任</w:t>
      </w:r>
      <w:bookmarkEnd w:id="74"/>
    </w:p>
    <w:p>
      <w:pPr>
        <w:spacing w:line="360" w:lineRule="auto"/>
        <w:ind w:firstLine="420" w:firstLineChars="200"/>
        <w:rPr>
          <w:bCs/>
          <w:szCs w:val="21"/>
        </w:rPr>
      </w:pPr>
      <w:r>
        <w:rPr>
          <w:rFonts w:hint="eastAsia" w:ascii="宋体" w:hAnsi="宋体"/>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ascii="宋体" w:hAnsi="宋体"/>
          <w:szCs w:val="21"/>
        </w:rPr>
        <w:t>但是发生下列情况，当事人免责：</w:t>
      </w:r>
    </w:p>
    <w:p>
      <w:pPr>
        <w:spacing w:line="360" w:lineRule="auto"/>
        <w:ind w:firstLine="420" w:firstLineChars="200"/>
        <w:rPr>
          <w:rFonts w:ascii="宋体" w:hAnsi="宋体"/>
          <w:szCs w:val="21"/>
        </w:rPr>
      </w:pPr>
      <w:r>
        <w:rPr>
          <w:rFonts w:hint="eastAsia" w:ascii="宋体" w:hAnsi="宋体"/>
          <w:szCs w:val="21"/>
        </w:rPr>
        <w:t>1、不可抗力；</w:t>
      </w:r>
    </w:p>
    <w:p>
      <w:pPr>
        <w:spacing w:line="360" w:lineRule="auto"/>
        <w:ind w:firstLine="420" w:firstLineChars="200"/>
        <w:rPr>
          <w:rFonts w:ascii="宋体" w:hAnsi="宋体"/>
          <w:szCs w:val="21"/>
        </w:rPr>
      </w:pPr>
      <w:r>
        <w:rPr>
          <w:rFonts w:hint="eastAsia" w:ascii="宋体" w:hAnsi="宋体"/>
          <w:szCs w:val="21"/>
        </w:rPr>
        <w:t>2、基金管理人和/或基金托管人按照当时有效的法律法规或中国证监会的规定作为或不作为而造成的损失等；</w:t>
      </w:r>
    </w:p>
    <w:p>
      <w:pPr>
        <w:spacing w:line="360" w:lineRule="auto"/>
        <w:ind w:firstLine="420" w:firstLineChars="200"/>
        <w:rPr>
          <w:rFonts w:ascii="宋体" w:hAnsi="宋体"/>
          <w:szCs w:val="21"/>
        </w:rPr>
      </w:pPr>
      <w:r>
        <w:rPr>
          <w:rFonts w:hint="eastAsia" w:ascii="宋体" w:hAnsi="宋体"/>
          <w:szCs w:val="21"/>
        </w:rPr>
        <w:t>3、基金管理人由于按照基金合同规定的投资原则行使或不行使其投资权而造成的损失等。</w:t>
      </w:r>
    </w:p>
    <w:p>
      <w:pPr>
        <w:spacing w:line="360" w:lineRule="auto"/>
        <w:ind w:firstLine="420" w:firstLineChars="200"/>
        <w:rPr>
          <w:bCs/>
          <w:szCs w:val="21"/>
        </w:rPr>
      </w:pPr>
      <w:r>
        <w:rPr>
          <w:rFonts w:hint="eastAsia" w:ascii="宋体" w:hAnsi="宋体"/>
          <w:szCs w:val="21"/>
        </w:rPr>
        <w:t>（二）</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20" w:firstLineChars="200"/>
        <w:rPr>
          <w:rFonts w:ascii="宋体" w:hAnsi="宋体"/>
          <w:szCs w:val="21"/>
          <w:lang w:val="zh-CN"/>
        </w:rPr>
      </w:pPr>
      <w:r>
        <w:rPr>
          <w:rFonts w:hint="eastAsia" w:ascii="宋体" w:hAnsi="宋体"/>
          <w:szCs w:val="21"/>
          <w:lang w:val="zh-CN"/>
        </w:rPr>
        <w:t>（</w:t>
      </w:r>
      <w:r>
        <w:rPr>
          <w:rFonts w:hint="eastAsia" w:ascii="宋体" w:hAnsi="宋体"/>
          <w:szCs w:val="21"/>
        </w:rPr>
        <w:t>三</w:t>
      </w:r>
      <w:r>
        <w:rPr>
          <w:rFonts w:hint="eastAsia" w:ascii="宋体" w:hAnsi="宋体"/>
          <w:szCs w:val="21"/>
          <w:lang w:val="zh-CN"/>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由此造成的影响。</w:t>
      </w:r>
    </w:p>
    <w:p>
      <w:pPr>
        <w:spacing w:line="360" w:lineRule="auto"/>
        <w:ind w:firstLine="420" w:firstLineChars="200"/>
        <w:rPr>
          <w:rFonts w:ascii="宋体" w:hAnsi="宋体"/>
          <w:szCs w:val="21"/>
          <w:lang w:val="zh-CN"/>
        </w:rPr>
      </w:pPr>
    </w:p>
    <w:p>
      <w:pPr>
        <w:jc w:val="left"/>
        <w:rPr>
          <w:rFonts w:ascii="宋体" w:hAnsi="宋体"/>
          <w:b/>
          <w:sz w:val="24"/>
        </w:rPr>
      </w:pPr>
      <w:bookmarkStart w:id="75" w:name="_Toc382819134"/>
      <w:r>
        <w:rPr>
          <w:rFonts w:hint="eastAsia" w:ascii="宋体" w:hAnsi="宋体"/>
          <w:b/>
          <w:sz w:val="24"/>
        </w:rPr>
        <w:br w:type="page"/>
      </w:r>
    </w:p>
    <w:p>
      <w:pPr>
        <w:spacing w:before="312" w:beforeLines="100" w:after="312" w:afterLines="100" w:line="500" w:lineRule="atLeast"/>
        <w:jc w:val="center"/>
        <w:outlineLvl w:val="0"/>
        <w:rPr>
          <w:rFonts w:ascii="宋体" w:hAnsi="宋体"/>
        </w:rPr>
      </w:pPr>
      <w:r>
        <w:rPr>
          <w:rFonts w:hint="eastAsia" w:ascii="宋体" w:hAnsi="宋体"/>
          <w:b/>
          <w:sz w:val="24"/>
        </w:rPr>
        <w:t>十七、适用法律及争议解决方式</w:t>
      </w:r>
      <w:bookmarkEnd w:id="75"/>
    </w:p>
    <w:p>
      <w:pPr>
        <w:spacing w:line="360" w:lineRule="auto"/>
        <w:ind w:firstLine="420" w:firstLineChars="200"/>
        <w:rPr>
          <w:rFonts w:ascii="宋体" w:hAnsi="宋体"/>
          <w:szCs w:val="21"/>
          <w:lang w:val="zh-CN"/>
        </w:rPr>
      </w:pPr>
      <w:r>
        <w:rPr>
          <w:rFonts w:hint="eastAsia" w:ascii="宋体" w:hAnsi="宋体"/>
          <w:szCs w:val="21"/>
          <w:lang w:val="zh-CN"/>
        </w:rPr>
        <w:t>（一）</w:t>
      </w:r>
      <w:r>
        <w:rPr>
          <w:rFonts w:hint="eastAsia" w:ascii="宋体" w:hAnsi="宋体"/>
          <w:szCs w:val="21"/>
        </w:rPr>
        <w:t>本协议适用中华人民共和国法律（为本协议之目的，在此不包括中国香港、澳门特别行政区和台湾地区法律），并从其解释。</w:t>
      </w:r>
    </w:p>
    <w:p>
      <w:pPr>
        <w:spacing w:line="360" w:lineRule="auto"/>
        <w:ind w:firstLine="420" w:firstLineChars="200"/>
        <w:rPr>
          <w:rFonts w:ascii="宋体" w:hAnsi="宋体"/>
          <w:szCs w:val="21"/>
        </w:rPr>
      </w:pPr>
      <w:r>
        <w:rPr>
          <w:rFonts w:hint="eastAsia" w:ascii="宋体" w:hAnsi="宋体"/>
          <w:szCs w:val="21"/>
        </w:rPr>
        <w:t>（二）双方当事人同意，因本协议而产生的或与本协议有关的一切争议，各方当事人应通过协商解决，协商不能解决的，任何一方均有权将争议提交中国国际经济贸易仲裁委员会，仲裁地点为北京市，按照中国国际经济贸易仲裁委员会届时有效的仲裁规则进行仲裁。仲裁裁决是终局的，对仲裁各方当事人均有约束力。除非仲裁裁决另有裁定，仲裁费用和律师费用由败诉方承担。</w:t>
      </w:r>
    </w:p>
    <w:p>
      <w:pPr>
        <w:spacing w:line="360" w:lineRule="auto"/>
        <w:ind w:firstLine="420" w:firstLineChars="200"/>
        <w:rPr>
          <w:rFonts w:ascii="宋体" w:hAnsi="宋体"/>
          <w:szCs w:val="21"/>
        </w:rPr>
      </w:pPr>
      <w:r>
        <w:rPr>
          <w:rFonts w:hint="eastAsia" w:ascii="宋体" w:hAnsi="宋体"/>
          <w:szCs w:val="21"/>
        </w:rPr>
        <w:t>争议处理期间，双方当事人应恪守基金管理人和基金托管人职责，各自继续忠实、勤勉、尽责地履行《基金合同》和托管协议约定的义务，维护基金份额持有人的合法权益。</w:t>
      </w:r>
    </w:p>
    <w:p>
      <w:pPr>
        <w:spacing w:line="360" w:lineRule="auto"/>
        <w:ind w:firstLine="420" w:firstLineChars="200"/>
        <w:rPr>
          <w:rFonts w:ascii="宋体" w:hAnsi="宋体"/>
          <w:szCs w:val="21"/>
        </w:rPr>
      </w:pPr>
    </w:p>
    <w:p>
      <w:pPr>
        <w:jc w:val="left"/>
        <w:rPr>
          <w:rFonts w:ascii="宋体" w:hAnsi="宋体"/>
          <w:b/>
          <w:sz w:val="24"/>
        </w:rPr>
      </w:pPr>
      <w:bookmarkStart w:id="76" w:name="_Toc382819135"/>
      <w:r>
        <w:rPr>
          <w:rFonts w:hint="eastAsia" w:ascii="宋体" w:hAnsi="宋体"/>
          <w:b/>
          <w:sz w:val="24"/>
        </w:rPr>
        <w:br w:type="page"/>
      </w:r>
    </w:p>
    <w:p>
      <w:pPr>
        <w:spacing w:before="312" w:beforeLines="100" w:after="312" w:afterLines="100" w:line="500" w:lineRule="atLeast"/>
        <w:jc w:val="center"/>
        <w:outlineLvl w:val="0"/>
        <w:rPr>
          <w:rFonts w:ascii="宋体" w:hAnsi="宋体"/>
        </w:rPr>
      </w:pPr>
      <w:r>
        <w:rPr>
          <w:rFonts w:hint="eastAsia" w:ascii="宋体" w:hAnsi="宋体"/>
          <w:b/>
          <w:sz w:val="24"/>
        </w:rPr>
        <w:t>十八、基金托管协议的效力和文本</w:t>
      </w:r>
      <w:bookmarkEnd w:id="76"/>
    </w:p>
    <w:p>
      <w:pPr>
        <w:pStyle w:val="12"/>
        <w:ind w:firstLine="420" w:firstLineChars="200"/>
        <w:rPr>
          <w:rFonts w:ascii="宋体" w:hAnsi="宋体"/>
          <w:szCs w:val="21"/>
        </w:rPr>
      </w:pPr>
      <w:r>
        <w:rPr>
          <w:rFonts w:hint="eastAsia" w:ascii="宋体" w:hAnsi="宋体"/>
          <w:szCs w:val="21"/>
        </w:rPr>
        <w:t>（一）</w:t>
      </w:r>
      <w:r>
        <w:rPr>
          <w:rFonts w:hint="eastAsia" w:ascii="宋体" w:hAnsi="宋体" w:cs="Arial"/>
          <w:kern w:val="44"/>
          <w:szCs w:val="21"/>
        </w:rPr>
        <w:t>本协议经基金管理人、基金托管人双方加盖公章或合同专用章以及双方法定代表人或授权代表签字或盖章后成立</w:t>
      </w:r>
      <w:r>
        <w:rPr>
          <w:rFonts w:hint="eastAsia" w:ascii="宋体" w:hAnsi="宋体"/>
          <w:szCs w:val="21"/>
        </w:rPr>
        <w:t>。本协议以中国证监会注册的文本为正式文本。基金管理人应确保报送证监会注册/备案的文本与双方签署的文本一致</w:t>
      </w:r>
    </w:p>
    <w:p>
      <w:pPr>
        <w:pStyle w:val="12"/>
        <w:ind w:firstLine="420" w:firstLineChars="200"/>
        <w:rPr>
          <w:rFonts w:ascii="宋体" w:hAnsi="宋体"/>
          <w:szCs w:val="21"/>
        </w:rPr>
      </w:pPr>
      <w:r>
        <w:rPr>
          <w:rFonts w:hint="eastAsia" w:ascii="宋体" w:hAnsi="宋体"/>
          <w:szCs w:val="21"/>
        </w:rPr>
        <w:t>（二）本协议自本协议成立且《基金合同》生效之日起生效，有效期自其生效之日起至该基金财产清算结果报中国证监会备案并公告之日止。如发生第十五条约定的其他情形的，则自相应情形发生时终止。本协议约定与《基金合同》不一致的，以本协议为准。</w:t>
      </w:r>
    </w:p>
    <w:p>
      <w:pPr>
        <w:spacing w:line="360" w:lineRule="auto"/>
        <w:ind w:firstLine="420" w:firstLineChars="200"/>
        <w:rPr>
          <w:rFonts w:ascii="宋体" w:hAnsi="宋体"/>
          <w:szCs w:val="21"/>
        </w:rPr>
      </w:pPr>
      <w:r>
        <w:rPr>
          <w:rFonts w:hint="eastAsia" w:ascii="宋体" w:hAnsi="宋体"/>
          <w:szCs w:val="21"/>
        </w:rPr>
        <w:t>（三）本协议自生效之日起对各当事人具有同等的法律约束力。</w:t>
      </w:r>
    </w:p>
    <w:p>
      <w:pPr>
        <w:spacing w:line="360" w:lineRule="auto"/>
        <w:ind w:firstLine="420" w:firstLineChars="200"/>
        <w:rPr>
          <w:rFonts w:ascii="宋体" w:hAnsi="宋体"/>
          <w:szCs w:val="21"/>
        </w:rPr>
      </w:pPr>
      <w:r>
        <w:rPr>
          <w:rFonts w:hint="eastAsia" w:ascii="宋体" w:hAnsi="宋体"/>
          <w:szCs w:val="21"/>
        </w:rPr>
        <w:t>（四）本协议正本一式六份，除上报有关监管机构一式二份外，基金管理人、基金托管人各持有二份，每份具有同等的法律效力。</w:t>
      </w:r>
    </w:p>
    <w:p>
      <w:pPr>
        <w:spacing w:line="360" w:lineRule="auto"/>
        <w:ind w:firstLine="420" w:firstLineChars="200"/>
        <w:rPr>
          <w:rFonts w:ascii="宋体" w:hAnsi="宋体"/>
          <w:szCs w:val="21"/>
        </w:rPr>
      </w:pPr>
    </w:p>
    <w:p>
      <w:pPr>
        <w:jc w:val="left"/>
        <w:rPr>
          <w:rFonts w:ascii="宋体" w:hAnsi="宋体"/>
          <w:b/>
          <w:sz w:val="24"/>
        </w:rPr>
      </w:pPr>
      <w:r>
        <w:rPr>
          <w:rFonts w:ascii="宋体" w:hAnsi="宋体"/>
          <w:b/>
          <w:sz w:val="24"/>
        </w:rPr>
        <w:br w:type="page"/>
      </w:r>
    </w:p>
    <w:p>
      <w:pPr>
        <w:spacing w:before="312" w:beforeLines="100" w:after="312" w:afterLines="100" w:line="500" w:lineRule="atLeast"/>
        <w:jc w:val="center"/>
        <w:outlineLvl w:val="0"/>
        <w:rPr>
          <w:rFonts w:ascii="宋体" w:hAnsi="宋体"/>
        </w:rPr>
      </w:pPr>
      <w:bookmarkStart w:id="77" w:name="_Toc382819136"/>
      <w:bookmarkStart w:id="78" w:name="_GoBack"/>
      <w:bookmarkEnd w:id="78"/>
      <w:r>
        <w:rPr>
          <w:rFonts w:hint="eastAsia" w:ascii="宋体" w:hAnsi="宋体"/>
          <w:b/>
          <w:sz w:val="24"/>
        </w:rPr>
        <w:t>十九、其他事项</w:t>
      </w:r>
      <w:bookmarkEnd w:id="77"/>
    </w:p>
    <w:p>
      <w:pPr>
        <w:pStyle w:val="12"/>
        <w:ind w:firstLine="420" w:firstLineChars="200"/>
        <w:rPr>
          <w:rFonts w:ascii="宋体" w:hAnsi="宋体"/>
          <w:szCs w:val="21"/>
        </w:rPr>
      </w:pPr>
      <w:r>
        <w:rPr>
          <w:rFonts w:hint="eastAsia" w:ascii="宋体" w:hAnsi="宋体"/>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pPr>
        <w:pStyle w:val="12"/>
        <w:ind w:firstLine="420" w:firstLineChars="200"/>
        <w:rPr>
          <w:rFonts w:ascii="宋体" w:hAnsi="宋体"/>
          <w:szCs w:val="21"/>
        </w:rPr>
      </w:pPr>
      <w:r>
        <w:rPr>
          <w:rFonts w:hint="eastAsia" w:ascii="宋体" w:hAnsi="宋体"/>
          <w:szCs w:val="21"/>
        </w:rPr>
        <w:t>（二）反洗钱义务</w:t>
      </w:r>
    </w:p>
    <w:p>
      <w:pPr>
        <w:pStyle w:val="12"/>
        <w:ind w:firstLine="420" w:firstLineChars="200"/>
        <w:rPr>
          <w:rFonts w:hint="eastAsia" w:ascii="宋体" w:hAnsi="宋体" w:eastAsia="宋体"/>
          <w:szCs w:val="21"/>
          <w:lang w:eastAsia="zh-CN"/>
        </w:rPr>
      </w:pPr>
      <w:r>
        <w:rPr>
          <w:rFonts w:hint="eastAsia" w:ascii="宋体" w:hAnsi="宋体"/>
          <w:szCs w:val="21"/>
        </w:rPr>
        <w:t>本协议项下业务存续期内，本协议双方应依据法律法规履行相应反洗钱义务，并主动配合对方根据监管部门有关反洗钱要求开展客户身份识别工作，提供真实、准确、完整的资料，遵守各方反洗钱与反恐怖融资相关管理规定。基金托管人具备合理理由怀疑基金管理人在本协议项下的业务涉嫌参与联合国安理会、反洗钱金融行动特别工作组、中国、美国、欧盟、英国、新加坡等国际组织或国家认定的洗钱、恐怖融资或（大规模杀伤性武器）融资活动、或逃税等违法违规行为的，基金托管人有权按照中国人民银行反洗钱监管规定等规定及内部管理规定等采取必要的管控措施。同时，基金托管人有权不经通知基金管理人，直接限制、暂停本协议项下全部或部分业务，有权终止本协议，并有权要求基金管理人承担因此给基金托管人造成的全部损失</w:t>
      </w:r>
      <w:r>
        <w:rPr>
          <w:rFonts w:hint="eastAsia" w:ascii="宋体" w:hAnsi="宋体"/>
          <w:szCs w:val="21"/>
          <w:lang w:eastAsia="zh-CN"/>
        </w:rPr>
        <w:t>。</w:t>
      </w:r>
    </w:p>
    <w:p>
      <w:pPr>
        <w:pStyle w:val="12"/>
        <w:ind w:firstLine="420" w:firstLineChars="200"/>
        <w:rPr>
          <w:rFonts w:ascii="宋体" w:hAnsi="宋体"/>
          <w:szCs w:val="21"/>
        </w:rPr>
      </w:pPr>
      <w:r>
        <w:rPr>
          <w:rFonts w:hint="eastAsia" w:ascii="宋体" w:hAnsi="宋体"/>
          <w:szCs w:val="21"/>
        </w:rPr>
        <w:t>（三）通知</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除本协议另有约定外，其他与本协议有关的通知应以书面形式作出，并送达至协议约定的地址，如果相关信息发生变动，变动的一方应当在变动发生之日起五（5）日书面通知其他各方。</w:t>
      </w:r>
    </w:p>
    <w:p>
      <w:pPr>
        <w:spacing w:line="360" w:lineRule="auto"/>
        <w:ind w:firstLine="420" w:firstLineChars="200"/>
        <w:rPr>
          <w:rFonts w:ascii="宋体" w:hAnsi="宋体"/>
          <w:szCs w:val="21"/>
        </w:rPr>
      </w:pPr>
      <w:r>
        <w:rPr>
          <w:rFonts w:hint="eastAsia" w:ascii="宋体" w:hAnsi="宋体"/>
          <w:szCs w:val="21"/>
        </w:rPr>
        <w:t>2由本协议一方以专人递送给另一方，或以传真、邮递方式发出。该等通知以专人递送，于递交时视为送达；以传真方式发出，于发件人传真机显示传真业已发出时视为送达；以邮递方式发出，于收件人签收时视为送达；以电子邮件方式发出，收件方服务器接收视为送达。</w:t>
      </w:r>
    </w:p>
    <w:p>
      <w:pPr>
        <w:spacing w:line="360" w:lineRule="auto"/>
        <w:ind w:firstLine="420" w:firstLineChars="200"/>
        <w:rPr>
          <w:rFonts w:ascii="宋体" w:hAnsi="宋体"/>
          <w:szCs w:val="21"/>
        </w:rPr>
      </w:pPr>
      <w:r>
        <w:rPr>
          <w:rFonts w:hint="eastAsia" w:ascii="宋体" w:hAnsi="宋体"/>
          <w:szCs w:val="21"/>
        </w:rPr>
        <w:t>3任何一方在任何时间改变接收通知所用的地址、邮箱、传真号码或电话号码都应立即将该变更通过本协议约定的邮箱或各方认可的方式通知另一方；如果该变更通知未能送达，递交给上述收件人或地址的通知或联络应视为被正常发送和接收。</w:t>
      </w:r>
    </w:p>
    <w:p>
      <w:pPr>
        <w:spacing w:line="360" w:lineRule="auto"/>
        <w:ind w:firstLine="420" w:firstLineChars="200"/>
        <w:rPr>
          <w:rFonts w:ascii="宋体" w:hAnsi="宋体"/>
          <w:szCs w:val="21"/>
        </w:rPr>
      </w:pPr>
      <w:r>
        <w:rPr>
          <w:rFonts w:hint="eastAsia" w:ascii="宋体" w:hAnsi="宋体"/>
          <w:szCs w:val="21"/>
        </w:rPr>
        <w:t>4各方确认，本协议首页列明的各方地址及联系电话、电子邮箱等送达信息为其有效的邮寄或电子送达地址。对本协议项下所发生的任何诉讼或仲裁（包括一审、二审和再审等任何诉讼程序和执行程序、仲裁程序等）过程中对其发出的函件、传票、通知等法律文书，只要以邮寄或以传真、电子邮件等电子送达方式发送至本协议首页列明的邮寄或电子送达地址即视为送达，具体送达日期适用《民事诉讼法》或《仲裁法》中关于送达日期的规定。上述邮寄或电子送达地址的变更非经提前通知另一方，不发生法律效力，本协议中确认的送达地址仍然视为有效的送达地址。</w:t>
      </w:r>
    </w:p>
    <w:p>
      <w:pPr>
        <w:pStyle w:val="12"/>
        <w:ind w:firstLine="420" w:firstLineChars="200"/>
        <w:rPr>
          <w:rFonts w:ascii="宋体" w:hAnsi="宋体"/>
          <w:szCs w:val="21"/>
        </w:rPr>
      </w:pPr>
      <w:r>
        <w:rPr>
          <w:rFonts w:hint="eastAsia" w:ascii="宋体" w:hAnsi="宋体"/>
          <w:szCs w:val="21"/>
        </w:rPr>
        <w:t>（四）本协议未尽事宜，当事人依据《基金合同》以及有关法律、法规和规定协商办理。</w:t>
      </w:r>
    </w:p>
    <w:p>
      <w:pPr>
        <w:pStyle w:val="12"/>
        <w:rPr>
          <w:rFonts w:hint="eastAsia" w:eastAsia="宋体"/>
          <w:lang w:eastAsia="zh-CN"/>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jc w:val="both"/>
    </w:pPr>
    <w:r>
      <w:rPr>
        <w:rFonts w:hint="eastAsia" w:ascii="宋体" w:hAnsi="宋体" w:cs="宋体"/>
        <w:color w:val="000000"/>
      </w:rPr>
      <w:t>英大</w:t>
    </w:r>
    <w:r>
      <w:rPr>
        <w:rFonts w:hint="eastAsia" w:ascii="宋体" w:hAnsi="宋体" w:cs="宋体"/>
        <w:color w:val="000000"/>
        <w:lang w:eastAsia="zh-CN"/>
      </w:rPr>
      <w:t>延福</w:t>
    </w:r>
    <w:r>
      <w:rPr>
        <w:rFonts w:hint="eastAsia" w:ascii="宋体" w:hAnsi="宋体" w:cs="宋体"/>
        <w:color w:val="000000"/>
      </w:rPr>
      <w:t>养老目标日期</w:t>
    </w:r>
    <w:r>
      <w:rPr>
        <w:rFonts w:hint="eastAsia" w:ascii="宋体" w:hAnsi="宋体" w:cs="宋体"/>
        <w:color w:val="000000"/>
        <w:lang w:eastAsia="zh-CN"/>
      </w:rPr>
      <w:t>2060</w:t>
    </w:r>
    <w:r>
      <w:rPr>
        <w:rFonts w:hint="eastAsia" w:ascii="宋体" w:hAnsi="宋体" w:cs="宋体"/>
        <w:color w:val="000000"/>
      </w:rPr>
      <w:t>三年持有期混合型发起式基金中基金（FOF）</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托管协议</w:t>
    </w:r>
    <w:r>
      <w:rPr>
        <w:rFonts w:hint="eastAsia" w:ascii="宋体" w:hAnsi="宋体" w:cs="宋体"/>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538E2"/>
    <w:multiLevelType w:val="multilevel"/>
    <w:tmpl w:val="266538E2"/>
    <w:lvl w:ilvl="0" w:tentative="0">
      <w:start w:val="1"/>
      <w:numFmt w:val="chineseCountingThousand"/>
      <w:pStyle w:val="2"/>
      <w:lvlText w:val="第%1章  "/>
      <w:lvlJc w:val="left"/>
      <w:pPr>
        <w:tabs>
          <w:tab w:val="left" w:pos="1922"/>
        </w:tabs>
        <w:ind w:left="0" w:firstLine="482"/>
      </w:pPr>
      <w:rPr>
        <w:rFonts w:hint="eastAsia"/>
      </w:rPr>
    </w:lvl>
    <w:lvl w:ilvl="1" w:tentative="0">
      <w:start w:val="1"/>
      <w:numFmt w:val="chineseCountingThousand"/>
      <w:lvlText w:val="第%2节  "/>
      <w:lvlJc w:val="left"/>
      <w:pPr>
        <w:tabs>
          <w:tab w:val="left" w:pos="1922"/>
        </w:tabs>
        <w:ind w:left="0" w:firstLine="482"/>
      </w:pPr>
      <w:rPr>
        <w:rFonts w:hint="eastAsia"/>
      </w:rPr>
    </w:lvl>
    <w:lvl w:ilvl="2" w:tentative="0">
      <w:start w:val="1"/>
      <w:numFmt w:val="chineseCountingThousand"/>
      <w:pStyle w:val="4"/>
      <w:suff w:val="nothing"/>
      <w:lvlText w:val="%3、"/>
      <w:lvlJc w:val="left"/>
      <w:pPr>
        <w:ind w:left="0" w:firstLine="482"/>
      </w:pPr>
      <w:rPr>
        <w:rFonts w:hint="eastAsia" w:ascii="黑体" w:eastAsia="黑体"/>
        <w:b/>
        <w:i w:val="0"/>
        <w:sz w:val="24"/>
      </w:rPr>
    </w:lvl>
    <w:lvl w:ilvl="3" w:tentative="0">
      <w:start w:val="1"/>
      <w:numFmt w:val="chineseCountingThousand"/>
      <w:pStyle w:val="5"/>
      <w:suff w:val="nothing"/>
      <w:lvlText w:val="(%4)"/>
      <w:lvlJc w:val="left"/>
      <w:pPr>
        <w:ind w:left="0" w:firstLine="482"/>
      </w:pPr>
      <w:rPr>
        <w:rFonts w:hint="eastAsia" w:ascii="仿宋_GB2312" w:eastAsia="仿宋_GB2312"/>
        <w:b w:val="0"/>
        <w:i w:val="0"/>
        <w:sz w:val="24"/>
      </w:rPr>
    </w:lvl>
    <w:lvl w:ilvl="4" w:tentative="0">
      <w:start w:val="1"/>
      <w:numFmt w:val="decimal"/>
      <w:pStyle w:val="6"/>
      <w:suff w:val="nothing"/>
      <w:lvlText w:val="%5."/>
      <w:lvlJc w:val="left"/>
      <w:pPr>
        <w:ind w:left="0" w:firstLine="527"/>
      </w:pPr>
      <w:rPr>
        <w:rFonts w:hint="eastAsia" w:ascii="仿宋_GB2312" w:eastAsia="仿宋_GB2312"/>
        <w:b w:val="0"/>
        <w:i w:val="0"/>
        <w:sz w:val="24"/>
      </w:rPr>
    </w:lvl>
    <w:lvl w:ilvl="5" w:tentative="0">
      <w:start w:val="1"/>
      <w:numFmt w:val="decimal"/>
      <w:pStyle w:val="7"/>
      <w:suff w:val="nothing"/>
      <w:lvlText w:val="(%6)"/>
      <w:lvlJc w:val="left"/>
      <w:pPr>
        <w:ind w:left="0" w:firstLine="482"/>
      </w:pPr>
      <w:rPr>
        <w:rFonts w:hint="eastAsia" w:ascii="仿宋_GB2312" w:eastAsia="仿宋_GB2312"/>
        <w:b w:val="0"/>
        <w:i w:val="0"/>
        <w:sz w:val="24"/>
      </w:rPr>
    </w:lvl>
    <w:lvl w:ilvl="6" w:tentative="0">
      <w:start w:val="1"/>
      <w:numFmt w:val="bullet"/>
      <w:pStyle w:val="8"/>
      <w:lvlText w:val="①"/>
      <w:lvlJc w:val="left"/>
      <w:pPr>
        <w:tabs>
          <w:tab w:val="left" w:pos="2835"/>
        </w:tabs>
        <w:ind w:left="2835" w:hanging="426"/>
      </w:pPr>
      <w:rPr>
        <w:rFonts w:hint="eastAsia" w:ascii="宋体" w:eastAsia="宋体"/>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mY2I1M2ZkNTE4ZmY1NDNjZDYyNzJjMGUyMTA1ZjYifQ=="/>
    <w:docVar w:name="KSO_WPS_MARK_KEY" w:val="bf85aa8a-d41c-47d9-a43b-71af9ec34b06"/>
  </w:docVars>
  <w:rsids>
    <w:rsidRoot w:val="003A2B06"/>
    <w:rsid w:val="00014998"/>
    <w:rsid w:val="000246AC"/>
    <w:rsid w:val="00024DDA"/>
    <w:rsid w:val="00050C79"/>
    <w:rsid w:val="00053197"/>
    <w:rsid w:val="0006509E"/>
    <w:rsid w:val="00070C46"/>
    <w:rsid w:val="00080622"/>
    <w:rsid w:val="0008166B"/>
    <w:rsid w:val="00090B2E"/>
    <w:rsid w:val="00093F00"/>
    <w:rsid w:val="0009788B"/>
    <w:rsid w:val="000A061E"/>
    <w:rsid w:val="000E7AE1"/>
    <w:rsid w:val="000F1EB1"/>
    <w:rsid w:val="000F581B"/>
    <w:rsid w:val="00106548"/>
    <w:rsid w:val="001142CF"/>
    <w:rsid w:val="00126AE4"/>
    <w:rsid w:val="00135B9F"/>
    <w:rsid w:val="0014246D"/>
    <w:rsid w:val="00162C4A"/>
    <w:rsid w:val="0016302A"/>
    <w:rsid w:val="00170D13"/>
    <w:rsid w:val="00177C69"/>
    <w:rsid w:val="00190962"/>
    <w:rsid w:val="001A1969"/>
    <w:rsid w:val="001B5B01"/>
    <w:rsid w:val="001C483E"/>
    <w:rsid w:val="001C5433"/>
    <w:rsid w:val="001E0A82"/>
    <w:rsid w:val="001F013E"/>
    <w:rsid w:val="001F5830"/>
    <w:rsid w:val="001F7684"/>
    <w:rsid w:val="00203F42"/>
    <w:rsid w:val="00221B2B"/>
    <w:rsid w:val="00230CA9"/>
    <w:rsid w:val="002571C9"/>
    <w:rsid w:val="002618B2"/>
    <w:rsid w:val="002755B8"/>
    <w:rsid w:val="00276C95"/>
    <w:rsid w:val="002947E2"/>
    <w:rsid w:val="00296AF1"/>
    <w:rsid w:val="00296F60"/>
    <w:rsid w:val="002C1EAB"/>
    <w:rsid w:val="002C7C71"/>
    <w:rsid w:val="002F42EB"/>
    <w:rsid w:val="003033B4"/>
    <w:rsid w:val="00325B47"/>
    <w:rsid w:val="00327DA9"/>
    <w:rsid w:val="0036635C"/>
    <w:rsid w:val="00370195"/>
    <w:rsid w:val="00382975"/>
    <w:rsid w:val="00396181"/>
    <w:rsid w:val="003A2B06"/>
    <w:rsid w:val="003B7EFD"/>
    <w:rsid w:val="003C0C16"/>
    <w:rsid w:val="003C3043"/>
    <w:rsid w:val="003C79A0"/>
    <w:rsid w:val="003E1C92"/>
    <w:rsid w:val="00411554"/>
    <w:rsid w:val="00420F01"/>
    <w:rsid w:val="004315E0"/>
    <w:rsid w:val="00472874"/>
    <w:rsid w:val="00485F0F"/>
    <w:rsid w:val="004863D2"/>
    <w:rsid w:val="004B443C"/>
    <w:rsid w:val="004C3AF6"/>
    <w:rsid w:val="004C5AC8"/>
    <w:rsid w:val="004E4CB4"/>
    <w:rsid w:val="004E6AE3"/>
    <w:rsid w:val="004F1E31"/>
    <w:rsid w:val="004F25BD"/>
    <w:rsid w:val="004F5CDF"/>
    <w:rsid w:val="00505A18"/>
    <w:rsid w:val="00512CAB"/>
    <w:rsid w:val="005134AB"/>
    <w:rsid w:val="00525E69"/>
    <w:rsid w:val="00526218"/>
    <w:rsid w:val="00542EBE"/>
    <w:rsid w:val="00546A35"/>
    <w:rsid w:val="0056355B"/>
    <w:rsid w:val="00567448"/>
    <w:rsid w:val="005771A4"/>
    <w:rsid w:val="00587F80"/>
    <w:rsid w:val="005A24B0"/>
    <w:rsid w:val="005A4382"/>
    <w:rsid w:val="005B5D51"/>
    <w:rsid w:val="005D72AE"/>
    <w:rsid w:val="005E0FA7"/>
    <w:rsid w:val="005F229E"/>
    <w:rsid w:val="005F314E"/>
    <w:rsid w:val="00606F78"/>
    <w:rsid w:val="00611313"/>
    <w:rsid w:val="00616AE9"/>
    <w:rsid w:val="006208B9"/>
    <w:rsid w:val="0062565D"/>
    <w:rsid w:val="00641021"/>
    <w:rsid w:val="006442DD"/>
    <w:rsid w:val="00651247"/>
    <w:rsid w:val="00656926"/>
    <w:rsid w:val="00674801"/>
    <w:rsid w:val="00674863"/>
    <w:rsid w:val="006835B2"/>
    <w:rsid w:val="0069592C"/>
    <w:rsid w:val="006B1820"/>
    <w:rsid w:val="006D1965"/>
    <w:rsid w:val="006E5EB7"/>
    <w:rsid w:val="006F70AF"/>
    <w:rsid w:val="007005FB"/>
    <w:rsid w:val="007034DC"/>
    <w:rsid w:val="0070524E"/>
    <w:rsid w:val="00755FC5"/>
    <w:rsid w:val="00775D65"/>
    <w:rsid w:val="007903A2"/>
    <w:rsid w:val="007926B2"/>
    <w:rsid w:val="00796B7F"/>
    <w:rsid w:val="007A2B83"/>
    <w:rsid w:val="007A362D"/>
    <w:rsid w:val="007B0332"/>
    <w:rsid w:val="007D5F9E"/>
    <w:rsid w:val="007E28AE"/>
    <w:rsid w:val="008050F2"/>
    <w:rsid w:val="00826455"/>
    <w:rsid w:val="0082736C"/>
    <w:rsid w:val="00831362"/>
    <w:rsid w:val="00836247"/>
    <w:rsid w:val="008434C1"/>
    <w:rsid w:val="008450D5"/>
    <w:rsid w:val="0087186C"/>
    <w:rsid w:val="008923C7"/>
    <w:rsid w:val="008928A1"/>
    <w:rsid w:val="00894054"/>
    <w:rsid w:val="008C1C0E"/>
    <w:rsid w:val="008D4C0E"/>
    <w:rsid w:val="008D5899"/>
    <w:rsid w:val="008E5DC6"/>
    <w:rsid w:val="008F0CBE"/>
    <w:rsid w:val="008F1D70"/>
    <w:rsid w:val="008F6BF4"/>
    <w:rsid w:val="00900C4A"/>
    <w:rsid w:val="009342DB"/>
    <w:rsid w:val="009656CC"/>
    <w:rsid w:val="0097139B"/>
    <w:rsid w:val="00972139"/>
    <w:rsid w:val="00977A77"/>
    <w:rsid w:val="00980631"/>
    <w:rsid w:val="0098487C"/>
    <w:rsid w:val="00990CB5"/>
    <w:rsid w:val="0099659A"/>
    <w:rsid w:val="009A402C"/>
    <w:rsid w:val="009C08CC"/>
    <w:rsid w:val="009D2D46"/>
    <w:rsid w:val="00A01962"/>
    <w:rsid w:val="00A040BD"/>
    <w:rsid w:val="00A04D17"/>
    <w:rsid w:val="00A131DE"/>
    <w:rsid w:val="00A16100"/>
    <w:rsid w:val="00A16F02"/>
    <w:rsid w:val="00A265EC"/>
    <w:rsid w:val="00A42ED5"/>
    <w:rsid w:val="00A436B5"/>
    <w:rsid w:val="00A44596"/>
    <w:rsid w:val="00A45E01"/>
    <w:rsid w:val="00A53663"/>
    <w:rsid w:val="00A64890"/>
    <w:rsid w:val="00A72A03"/>
    <w:rsid w:val="00A84C96"/>
    <w:rsid w:val="00A85CB5"/>
    <w:rsid w:val="00A90925"/>
    <w:rsid w:val="00A916A3"/>
    <w:rsid w:val="00A96512"/>
    <w:rsid w:val="00AA13D2"/>
    <w:rsid w:val="00AB0AD2"/>
    <w:rsid w:val="00AB6852"/>
    <w:rsid w:val="00AD6C2F"/>
    <w:rsid w:val="00AE6166"/>
    <w:rsid w:val="00AF5BE0"/>
    <w:rsid w:val="00AF7082"/>
    <w:rsid w:val="00B03E07"/>
    <w:rsid w:val="00B05A74"/>
    <w:rsid w:val="00B16C4A"/>
    <w:rsid w:val="00B44094"/>
    <w:rsid w:val="00B513AA"/>
    <w:rsid w:val="00B82081"/>
    <w:rsid w:val="00B91981"/>
    <w:rsid w:val="00B935B0"/>
    <w:rsid w:val="00B972AD"/>
    <w:rsid w:val="00BA076E"/>
    <w:rsid w:val="00BB171D"/>
    <w:rsid w:val="00BC37EA"/>
    <w:rsid w:val="00BD0108"/>
    <w:rsid w:val="00BD1528"/>
    <w:rsid w:val="00BD2902"/>
    <w:rsid w:val="00C36C35"/>
    <w:rsid w:val="00C41C25"/>
    <w:rsid w:val="00C543EC"/>
    <w:rsid w:val="00C5461D"/>
    <w:rsid w:val="00C61BA6"/>
    <w:rsid w:val="00C62ACD"/>
    <w:rsid w:val="00C66FF3"/>
    <w:rsid w:val="00C70DAB"/>
    <w:rsid w:val="00C7684F"/>
    <w:rsid w:val="00C820A3"/>
    <w:rsid w:val="00C8335D"/>
    <w:rsid w:val="00C838D1"/>
    <w:rsid w:val="00CA1B32"/>
    <w:rsid w:val="00CA22EF"/>
    <w:rsid w:val="00CB50D4"/>
    <w:rsid w:val="00CB77FA"/>
    <w:rsid w:val="00CC1BDA"/>
    <w:rsid w:val="00CE27A6"/>
    <w:rsid w:val="00CE6F27"/>
    <w:rsid w:val="00CF371D"/>
    <w:rsid w:val="00CF6712"/>
    <w:rsid w:val="00D14F24"/>
    <w:rsid w:val="00D2332F"/>
    <w:rsid w:val="00D30E3A"/>
    <w:rsid w:val="00D32C3A"/>
    <w:rsid w:val="00D3667B"/>
    <w:rsid w:val="00D47104"/>
    <w:rsid w:val="00D50B05"/>
    <w:rsid w:val="00D57194"/>
    <w:rsid w:val="00D606A2"/>
    <w:rsid w:val="00D83120"/>
    <w:rsid w:val="00D85EAE"/>
    <w:rsid w:val="00D8649A"/>
    <w:rsid w:val="00DB17EC"/>
    <w:rsid w:val="00DD330D"/>
    <w:rsid w:val="00DD4D55"/>
    <w:rsid w:val="00E13468"/>
    <w:rsid w:val="00E13A3C"/>
    <w:rsid w:val="00E3001C"/>
    <w:rsid w:val="00E44CB0"/>
    <w:rsid w:val="00E47959"/>
    <w:rsid w:val="00E64669"/>
    <w:rsid w:val="00E65EC9"/>
    <w:rsid w:val="00E710CD"/>
    <w:rsid w:val="00E72BEB"/>
    <w:rsid w:val="00E851A7"/>
    <w:rsid w:val="00E86DC0"/>
    <w:rsid w:val="00EA2610"/>
    <w:rsid w:val="00ED47D6"/>
    <w:rsid w:val="00EE757F"/>
    <w:rsid w:val="00EF244B"/>
    <w:rsid w:val="00F12D7B"/>
    <w:rsid w:val="00F17853"/>
    <w:rsid w:val="00F17C77"/>
    <w:rsid w:val="00F20269"/>
    <w:rsid w:val="00F2548E"/>
    <w:rsid w:val="00F27F0F"/>
    <w:rsid w:val="00F53039"/>
    <w:rsid w:val="00F557EF"/>
    <w:rsid w:val="00F66F31"/>
    <w:rsid w:val="00F67EC7"/>
    <w:rsid w:val="00F97575"/>
    <w:rsid w:val="00FA55E5"/>
    <w:rsid w:val="00FA77A2"/>
    <w:rsid w:val="00FC0797"/>
    <w:rsid w:val="00FC708A"/>
    <w:rsid w:val="00FD3C76"/>
    <w:rsid w:val="00FE3FE0"/>
    <w:rsid w:val="00FF4C78"/>
    <w:rsid w:val="01153CF0"/>
    <w:rsid w:val="02631864"/>
    <w:rsid w:val="03A94469"/>
    <w:rsid w:val="046876B9"/>
    <w:rsid w:val="04AD6A40"/>
    <w:rsid w:val="04C258E0"/>
    <w:rsid w:val="053E6F81"/>
    <w:rsid w:val="05A55CEF"/>
    <w:rsid w:val="05EC3F11"/>
    <w:rsid w:val="06166914"/>
    <w:rsid w:val="062F5AD5"/>
    <w:rsid w:val="066D4395"/>
    <w:rsid w:val="07076FC6"/>
    <w:rsid w:val="071B29DC"/>
    <w:rsid w:val="07252E41"/>
    <w:rsid w:val="07703B00"/>
    <w:rsid w:val="0AF838A6"/>
    <w:rsid w:val="0B5A7120"/>
    <w:rsid w:val="0B5E5CA2"/>
    <w:rsid w:val="0B6030E1"/>
    <w:rsid w:val="0B626F71"/>
    <w:rsid w:val="0BCC7BED"/>
    <w:rsid w:val="0C180D2C"/>
    <w:rsid w:val="0C455E6C"/>
    <w:rsid w:val="0F366CB4"/>
    <w:rsid w:val="0FCC59F7"/>
    <w:rsid w:val="101B0CB1"/>
    <w:rsid w:val="103A226A"/>
    <w:rsid w:val="111E6E6E"/>
    <w:rsid w:val="129364DF"/>
    <w:rsid w:val="12C80001"/>
    <w:rsid w:val="12E564CD"/>
    <w:rsid w:val="138026F1"/>
    <w:rsid w:val="13991D52"/>
    <w:rsid w:val="13B7779F"/>
    <w:rsid w:val="14611E59"/>
    <w:rsid w:val="14AF714D"/>
    <w:rsid w:val="153C25E9"/>
    <w:rsid w:val="159C229A"/>
    <w:rsid w:val="170C0F26"/>
    <w:rsid w:val="1716261E"/>
    <w:rsid w:val="174F484D"/>
    <w:rsid w:val="177E094E"/>
    <w:rsid w:val="17C00A52"/>
    <w:rsid w:val="189F06E5"/>
    <w:rsid w:val="190B0240"/>
    <w:rsid w:val="190E54B3"/>
    <w:rsid w:val="19787521"/>
    <w:rsid w:val="1A3178CD"/>
    <w:rsid w:val="1CB110F6"/>
    <w:rsid w:val="1CB66ECD"/>
    <w:rsid w:val="1CD65DD8"/>
    <w:rsid w:val="1D060AE2"/>
    <w:rsid w:val="1DD57E54"/>
    <w:rsid w:val="1E6B3906"/>
    <w:rsid w:val="1F8E7D0E"/>
    <w:rsid w:val="2063661A"/>
    <w:rsid w:val="20A5587E"/>
    <w:rsid w:val="20AF4960"/>
    <w:rsid w:val="20F43E87"/>
    <w:rsid w:val="212C4897"/>
    <w:rsid w:val="21CB41AD"/>
    <w:rsid w:val="22225EA8"/>
    <w:rsid w:val="2282417B"/>
    <w:rsid w:val="23035E3A"/>
    <w:rsid w:val="23646460"/>
    <w:rsid w:val="236E679B"/>
    <w:rsid w:val="24116026"/>
    <w:rsid w:val="25366217"/>
    <w:rsid w:val="253D1132"/>
    <w:rsid w:val="261C6242"/>
    <w:rsid w:val="26AE05B8"/>
    <w:rsid w:val="276551ED"/>
    <w:rsid w:val="27A72418"/>
    <w:rsid w:val="28241950"/>
    <w:rsid w:val="286A6E79"/>
    <w:rsid w:val="287D49DD"/>
    <w:rsid w:val="28852F84"/>
    <w:rsid w:val="28D27D14"/>
    <w:rsid w:val="2A6E24E9"/>
    <w:rsid w:val="2A7F35E0"/>
    <w:rsid w:val="2AAD494A"/>
    <w:rsid w:val="2AC37B47"/>
    <w:rsid w:val="2B857BE3"/>
    <w:rsid w:val="2BF11F1F"/>
    <w:rsid w:val="2C3C6F7C"/>
    <w:rsid w:val="2CD44B67"/>
    <w:rsid w:val="2DA62265"/>
    <w:rsid w:val="2DE872AA"/>
    <w:rsid w:val="2E357012"/>
    <w:rsid w:val="2EB73C0F"/>
    <w:rsid w:val="2EB844F3"/>
    <w:rsid w:val="2F215380"/>
    <w:rsid w:val="2F263BB2"/>
    <w:rsid w:val="2F74551C"/>
    <w:rsid w:val="316246EF"/>
    <w:rsid w:val="31643191"/>
    <w:rsid w:val="318D67B9"/>
    <w:rsid w:val="319C66A9"/>
    <w:rsid w:val="31AD68E8"/>
    <w:rsid w:val="3263768E"/>
    <w:rsid w:val="328C02BB"/>
    <w:rsid w:val="32C161D0"/>
    <w:rsid w:val="32F609E3"/>
    <w:rsid w:val="32FF1FD1"/>
    <w:rsid w:val="33044F78"/>
    <w:rsid w:val="335D62A4"/>
    <w:rsid w:val="33705E1F"/>
    <w:rsid w:val="33CB7111"/>
    <w:rsid w:val="34190265"/>
    <w:rsid w:val="34400DA6"/>
    <w:rsid w:val="347D6549"/>
    <w:rsid w:val="352E2873"/>
    <w:rsid w:val="35402891"/>
    <w:rsid w:val="358557DC"/>
    <w:rsid w:val="366D4898"/>
    <w:rsid w:val="369B23F5"/>
    <w:rsid w:val="38313843"/>
    <w:rsid w:val="38947980"/>
    <w:rsid w:val="38AA04EE"/>
    <w:rsid w:val="39095A48"/>
    <w:rsid w:val="39203BCE"/>
    <w:rsid w:val="395042C2"/>
    <w:rsid w:val="39641F82"/>
    <w:rsid w:val="397E15BD"/>
    <w:rsid w:val="3A6215C5"/>
    <w:rsid w:val="3AC723B7"/>
    <w:rsid w:val="3B7556B6"/>
    <w:rsid w:val="3C4433F8"/>
    <w:rsid w:val="3C4A4CF3"/>
    <w:rsid w:val="3C596D5B"/>
    <w:rsid w:val="3C955B22"/>
    <w:rsid w:val="3C993E47"/>
    <w:rsid w:val="3D8F1B9A"/>
    <w:rsid w:val="3DCD32D6"/>
    <w:rsid w:val="3EC07597"/>
    <w:rsid w:val="3ED356FF"/>
    <w:rsid w:val="3ED94E3F"/>
    <w:rsid w:val="3F304919"/>
    <w:rsid w:val="3F77287E"/>
    <w:rsid w:val="4021297B"/>
    <w:rsid w:val="40AB320C"/>
    <w:rsid w:val="428D6E25"/>
    <w:rsid w:val="4423305E"/>
    <w:rsid w:val="449A0E35"/>
    <w:rsid w:val="44AD42A6"/>
    <w:rsid w:val="452D7E40"/>
    <w:rsid w:val="458504BA"/>
    <w:rsid w:val="45867823"/>
    <w:rsid w:val="459531CF"/>
    <w:rsid w:val="46A92C30"/>
    <w:rsid w:val="476846C2"/>
    <w:rsid w:val="47FF21F3"/>
    <w:rsid w:val="48780A99"/>
    <w:rsid w:val="48A73C3A"/>
    <w:rsid w:val="493442A3"/>
    <w:rsid w:val="493C7E91"/>
    <w:rsid w:val="49C3581F"/>
    <w:rsid w:val="4A0F7D32"/>
    <w:rsid w:val="4A6A47BC"/>
    <w:rsid w:val="4A835FE1"/>
    <w:rsid w:val="4BFA4A45"/>
    <w:rsid w:val="4C8C5797"/>
    <w:rsid w:val="4C952DB1"/>
    <w:rsid w:val="4CBB26FF"/>
    <w:rsid w:val="4CBD528E"/>
    <w:rsid w:val="4CFE65E4"/>
    <w:rsid w:val="4D2D2AF2"/>
    <w:rsid w:val="4D6C1DE9"/>
    <w:rsid w:val="4D8C28C1"/>
    <w:rsid w:val="4E09495E"/>
    <w:rsid w:val="4E612F90"/>
    <w:rsid w:val="4EA07161"/>
    <w:rsid w:val="50037165"/>
    <w:rsid w:val="50296FA2"/>
    <w:rsid w:val="50354221"/>
    <w:rsid w:val="507E7A34"/>
    <w:rsid w:val="51384096"/>
    <w:rsid w:val="521050EF"/>
    <w:rsid w:val="52137726"/>
    <w:rsid w:val="536661C9"/>
    <w:rsid w:val="542165D5"/>
    <w:rsid w:val="547133A2"/>
    <w:rsid w:val="54A35451"/>
    <w:rsid w:val="54ED6E78"/>
    <w:rsid w:val="54F5511D"/>
    <w:rsid w:val="55B81D40"/>
    <w:rsid w:val="55F946C4"/>
    <w:rsid w:val="56E52EDC"/>
    <w:rsid w:val="56FE55EA"/>
    <w:rsid w:val="58B724F9"/>
    <w:rsid w:val="58C26C87"/>
    <w:rsid w:val="58D718AD"/>
    <w:rsid w:val="59595C0E"/>
    <w:rsid w:val="5A3660C5"/>
    <w:rsid w:val="5A4E61DD"/>
    <w:rsid w:val="5B5A0AB8"/>
    <w:rsid w:val="5B710C5E"/>
    <w:rsid w:val="5BC319FB"/>
    <w:rsid w:val="5BF115E2"/>
    <w:rsid w:val="5C110BD5"/>
    <w:rsid w:val="5C461861"/>
    <w:rsid w:val="5C6347C7"/>
    <w:rsid w:val="5C806E93"/>
    <w:rsid w:val="5D99194B"/>
    <w:rsid w:val="5DB53C62"/>
    <w:rsid w:val="5E43128A"/>
    <w:rsid w:val="5E7829F7"/>
    <w:rsid w:val="5E9A5477"/>
    <w:rsid w:val="5EF658DB"/>
    <w:rsid w:val="5F057738"/>
    <w:rsid w:val="5F061262"/>
    <w:rsid w:val="5FB179AF"/>
    <w:rsid w:val="60211C29"/>
    <w:rsid w:val="604D1427"/>
    <w:rsid w:val="604F6E0D"/>
    <w:rsid w:val="60BA222E"/>
    <w:rsid w:val="60FE35FD"/>
    <w:rsid w:val="613073CC"/>
    <w:rsid w:val="627424D2"/>
    <w:rsid w:val="635C58C0"/>
    <w:rsid w:val="63915F2D"/>
    <w:rsid w:val="63BF0EA6"/>
    <w:rsid w:val="64CE07DE"/>
    <w:rsid w:val="65064C74"/>
    <w:rsid w:val="650C02F9"/>
    <w:rsid w:val="653E6768"/>
    <w:rsid w:val="65B846E6"/>
    <w:rsid w:val="65E248BB"/>
    <w:rsid w:val="65F57301"/>
    <w:rsid w:val="66E7095A"/>
    <w:rsid w:val="66FC0535"/>
    <w:rsid w:val="67BF0756"/>
    <w:rsid w:val="67D4141B"/>
    <w:rsid w:val="67D967F5"/>
    <w:rsid w:val="68264628"/>
    <w:rsid w:val="68354966"/>
    <w:rsid w:val="68997A14"/>
    <w:rsid w:val="68AE0BAE"/>
    <w:rsid w:val="68CE500B"/>
    <w:rsid w:val="69340157"/>
    <w:rsid w:val="6A1A15AA"/>
    <w:rsid w:val="6AF33365"/>
    <w:rsid w:val="6B0327C6"/>
    <w:rsid w:val="6B2D56C7"/>
    <w:rsid w:val="6CC03E08"/>
    <w:rsid w:val="6CC87DD4"/>
    <w:rsid w:val="6D577344"/>
    <w:rsid w:val="6D5E495F"/>
    <w:rsid w:val="6D9408B1"/>
    <w:rsid w:val="6D985CB7"/>
    <w:rsid w:val="6DC93312"/>
    <w:rsid w:val="6DD7406A"/>
    <w:rsid w:val="6DF21AF5"/>
    <w:rsid w:val="6E0406E9"/>
    <w:rsid w:val="6E2D4647"/>
    <w:rsid w:val="6E634567"/>
    <w:rsid w:val="6EC17438"/>
    <w:rsid w:val="6FF270D2"/>
    <w:rsid w:val="704C098C"/>
    <w:rsid w:val="71786337"/>
    <w:rsid w:val="718C649A"/>
    <w:rsid w:val="71FC163D"/>
    <w:rsid w:val="7216699D"/>
    <w:rsid w:val="723724B1"/>
    <w:rsid w:val="72AF2672"/>
    <w:rsid w:val="72F00BD2"/>
    <w:rsid w:val="730A2D42"/>
    <w:rsid w:val="73B554EE"/>
    <w:rsid w:val="74FD56F8"/>
    <w:rsid w:val="751B1D25"/>
    <w:rsid w:val="751C1E61"/>
    <w:rsid w:val="752D31DE"/>
    <w:rsid w:val="754B1049"/>
    <w:rsid w:val="76D349E0"/>
    <w:rsid w:val="775F524F"/>
    <w:rsid w:val="79B707E7"/>
    <w:rsid w:val="7A351D7A"/>
    <w:rsid w:val="7B135971"/>
    <w:rsid w:val="7B7B3048"/>
    <w:rsid w:val="7C0F109F"/>
    <w:rsid w:val="7CA839BE"/>
    <w:rsid w:val="7CC876FF"/>
    <w:rsid w:val="7D494CE4"/>
    <w:rsid w:val="7D600F5E"/>
    <w:rsid w:val="7DA235FF"/>
    <w:rsid w:val="7E2923C9"/>
    <w:rsid w:val="7E4F35E7"/>
    <w:rsid w:val="7F211A02"/>
    <w:rsid w:val="7F77031B"/>
    <w:rsid w:val="7F875650"/>
    <w:rsid w:val="7FF71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numPr>
        <w:ilvl w:val="0"/>
        <w:numId w:val="1"/>
      </w:numPr>
      <w:spacing w:before="120" w:after="120" w:line="360" w:lineRule="auto"/>
      <w:jc w:val="center"/>
      <w:outlineLvl w:val="0"/>
    </w:pPr>
    <w:rPr>
      <w:rFonts w:ascii="黑体" w:eastAsia="黑体"/>
      <w:b/>
      <w:kern w:val="44"/>
      <w:sz w:val="32"/>
      <w:szCs w:val="20"/>
      <w:lang w:val="zh-CN"/>
    </w:rPr>
  </w:style>
  <w:style w:type="paragraph" w:styleId="3">
    <w:name w:val="heading 2"/>
    <w:basedOn w:val="1"/>
    <w:next w:val="1"/>
    <w:link w:val="2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9"/>
    <w:qFormat/>
    <w:uiPriority w:val="0"/>
    <w:pPr>
      <w:numPr>
        <w:ilvl w:val="2"/>
        <w:numId w:val="1"/>
      </w:numPr>
      <w:spacing w:before="240" w:after="240" w:line="360" w:lineRule="auto"/>
      <w:jc w:val="center"/>
      <w:outlineLvl w:val="2"/>
    </w:pPr>
    <w:rPr>
      <w:rFonts w:ascii="Arial" w:hAnsi="Arial" w:eastAsia="仿宋_GB2312"/>
      <w:b/>
      <w:sz w:val="24"/>
      <w:szCs w:val="20"/>
      <w:lang w:val="zh-CN"/>
    </w:rPr>
  </w:style>
  <w:style w:type="paragraph" w:styleId="5">
    <w:name w:val="heading 4"/>
    <w:basedOn w:val="1"/>
    <w:next w:val="1"/>
    <w:link w:val="30"/>
    <w:qFormat/>
    <w:uiPriority w:val="0"/>
    <w:pPr>
      <w:keepNext/>
      <w:keepLines/>
      <w:numPr>
        <w:ilvl w:val="3"/>
        <w:numId w:val="1"/>
      </w:numPr>
      <w:spacing w:line="360" w:lineRule="auto"/>
      <w:outlineLvl w:val="3"/>
    </w:pPr>
    <w:rPr>
      <w:rFonts w:ascii="Arial" w:hAnsi="Arial" w:eastAsia="仿宋_GB2312"/>
      <w:sz w:val="24"/>
      <w:szCs w:val="20"/>
      <w:lang w:val="zh-CN"/>
    </w:rPr>
  </w:style>
  <w:style w:type="paragraph" w:styleId="6">
    <w:name w:val="heading 5"/>
    <w:basedOn w:val="1"/>
    <w:next w:val="1"/>
    <w:link w:val="31"/>
    <w:qFormat/>
    <w:uiPriority w:val="0"/>
    <w:pPr>
      <w:numPr>
        <w:ilvl w:val="4"/>
        <w:numId w:val="1"/>
      </w:numPr>
      <w:spacing w:line="360" w:lineRule="auto"/>
      <w:outlineLvl w:val="4"/>
    </w:pPr>
    <w:rPr>
      <w:rFonts w:ascii="Arial" w:hAnsi="Arial" w:eastAsia="仿宋_GB2312"/>
      <w:sz w:val="24"/>
      <w:szCs w:val="20"/>
      <w:lang w:val="zh-CN"/>
    </w:rPr>
  </w:style>
  <w:style w:type="paragraph" w:styleId="7">
    <w:name w:val="heading 6"/>
    <w:basedOn w:val="1"/>
    <w:next w:val="1"/>
    <w:link w:val="32"/>
    <w:qFormat/>
    <w:uiPriority w:val="0"/>
    <w:pPr>
      <w:numPr>
        <w:ilvl w:val="5"/>
        <w:numId w:val="1"/>
      </w:numPr>
      <w:spacing w:line="300" w:lineRule="auto"/>
      <w:outlineLvl w:val="5"/>
    </w:pPr>
    <w:rPr>
      <w:rFonts w:ascii="Arial" w:hAnsi="Arial" w:eastAsia="仿宋_GB2312"/>
      <w:sz w:val="24"/>
      <w:szCs w:val="20"/>
      <w:lang w:val="zh-CN"/>
    </w:rPr>
  </w:style>
  <w:style w:type="paragraph" w:styleId="8">
    <w:name w:val="heading 7"/>
    <w:basedOn w:val="1"/>
    <w:next w:val="9"/>
    <w:link w:val="33"/>
    <w:qFormat/>
    <w:uiPriority w:val="0"/>
    <w:pPr>
      <w:keepNext/>
      <w:keepLines/>
      <w:numPr>
        <w:ilvl w:val="6"/>
        <w:numId w:val="1"/>
      </w:numPr>
      <w:spacing w:line="360" w:lineRule="auto"/>
      <w:outlineLvl w:val="6"/>
    </w:pPr>
    <w:rPr>
      <w:rFonts w:ascii="仿宋_GB2312" w:eastAsia="仿宋_GB2312"/>
      <w:sz w:val="24"/>
      <w:szCs w:val="20"/>
      <w:lang w:val="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9">
    <w:name w:val="Normal Indent"/>
    <w:basedOn w:val="1"/>
    <w:link w:val="36"/>
    <w:qFormat/>
    <w:uiPriority w:val="99"/>
    <w:pPr>
      <w:ind w:firstLine="420" w:firstLineChars="200"/>
    </w:pPr>
    <w:rPr>
      <w:rFonts w:ascii="Calibri" w:hAnsi="Calibri"/>
    </w:rPr>
  </w:style>
  <w:style w:type="paragraph" w:styleId="10">
    <w:name w:val="Document Map"/>
    <w:basedOn w:val="1"/>
    <w:link w:val="43"/>
    <w:qFormat/>
    <w:uiPriority w:val="0"/>
    <w:pPr>
      <w:shd w:val="clear" w:color="auto" w:fill="000080"/>
    </w:pPr>
    <w:rPr>
      <w:szCs w:val="20"/>
    </w:rPr>
  </w:style>
  <w:style w:type="paragraph" w:styleId="11">
    <w:name w:val="annotation text"/>
    <w:basedOn w:val="1"/>
    <w:link w:val="39"/>
    <w:unhideWhenUsed/>
    <w:qFormat/>
    <w:uiPriority w:val="0"/>
    <w:pPr>
      <w:jc w:val="left"/>
    </w:pPr>
  </w:style>
  <w:style w:type="paragraph" w:styleId="12">
    <w:name w:val="Body Text Indent"/>
    <w:basedOn w:val="1"/>
    <w:link w:val="35"/>
    <w:qFormat/>
    <w:uiPriority w:val="0"/>
    <w:pPr>
      <w:spacing w:line="360" w:lineRule="auto"/>
      <w:ind w:firstLine="359" w:firstLineChars="171"/>
    </w:pPr>
    <w:rPr>
      <w:lang w:val="zh-CN"/>
    </w:rPr>
  </w:style>
  <w:style w:type="paragraph" w:styleId="13">
    <w:name w:val="Body Text Indent 2"/>
    <w:basedOn w:val="1"/>
    <w:link w:val="34"/>
    <w:qFormat/>
    <w:uiPriority w:val="0"/>
    <w:pPr>
      <w:spacing w:line="360" w:lineRule="auto"/>
      <w:ind w:firstLine="480"/>
      <w:outlineLvl w:val="0"/>
    </w:pPr>
    <w:rPr>
      <w:rFonts w:ascii="仿宋_GB2312" w:hAnsi="Calibri" w:eastAsia="仿宋_GB2312"/>
      <w:sz w:val="24"/>
      <w:szCs w:val="20"/>
    </w:rPr>
  </w:style>
  <w:style w:type="paragraph" w:styleId="14">
    <w:name w:val="Balloon Text"/>
    <w:basedOn w:val="1"/>
    <w:link w:val="38"/>
    <w:semiHidden/>
    <w:unhideWhenUsed/>
    <w:qFormat/>
    <w:uiPriority w:val="99"/>
    <w:rPr>
      <w:sz w:val="18"/>
      <w:szCs w:val="18"/>
    </w:rPr>
  </w:style>
  <w:style w:type="paragraph" w:styleId="15">
    <w:name w:val="footer"/>
    <w:basedOn w:val="1"/>
    <w:link w:val="26"/>
    <w:unhideWhenUsed/>
    <w:qFormat/>
    <w:uiPriority w:val="99"/>
    <w:pPr>
      <w:tabs>
        <w:tab w:val="center" w:pos="4153"/>
        <w:tab w:val="right" w:pos="8306"/>
      </w:tabs>
      <w:snapToGrid w:val="0"/>
      <w:jc w:val="left"/>
    </w:pPr>
    <w:rPr>
      <w:sz w:val="18"/>
      <w:szCs w:val="18"/>
    </w:rPr>
  </w:style>
  <w:style w:type="paragraph" w:styleId="1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annotation subject"/>
    <w:basedOn w:val="11"/>
    <w:next w:val="11"/>
    <w:link w:val="40"/>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Hyperlink"/>
    <w:qFormat/>
    <w:uiPriority w:val="99"/>
    <w:rPr>
      <w:color w:val="0000FF"/>
      <w:u w:val="single"/>
    </w:rPr>
  </w:style>
  <w:style w:type="character" w:styleId="24">
    <w:name w:val="annotation reference"/>
    <w:basedOn w:val="22"/>
    <w:semiHidden/>
    <w:unhideWhenUsed/>
    <w:qFormat/>
    <w:uiPriority w:val="99"/>
    <w:rPr>
      <w:sz w:val="21"/>
      <w:szCs w:val="21"/>
    </w:rPr>
  </w:style>
  <w:style w:type="character" w:customStyle="1" w:styleId="25">
    <w:name w:val="页眉 字符"/>
    <w:basedOn w:val="22"/>
    <w:link w:val="16"/>
    <w:qFormat/>
    <w:uiPriority w:val="99"/>
    <w:rPr>
      <w:sz w:val="18"/>
      <w:szCs w:val="18"/>
    </w:rPr>
  </w:style>
  <w:style w:type="character" w:customStyle="1" w:styleId="26">
    <w:name w:val="页脚 字符"/>
    <w:basedOn w:val="22"/>
    <w:link w:val="15"/>
    <w:qFormat/>
    <w:uiPriority w:val="99"/>
    <w:rPr>
      <w:sz w:val="18"/>
      <w:szCs w:val="18"/>
    </w:rPr>
  </w:style>
  <w:style w:type="character" w:customStyle="1" w:styleId="27">
    <w:name w:val="标题 1 字符"/>
    <w:basedOn w:val="22"/>
    <w:link w:val="2"/>
    <w:qFormat/>
    <w:uiPriority w:val="0"/>
    <w:rPr>
      <w:rFonts w:ascii="黑体" w:hAnsi="Times New Roman" w:eastAsia="黑体" w:cs="Times New Roman"/>
      <w:b/>
      <w:kern w:val="44"/>
      <w:sz w:val="32"/>
      <w:szCs w:val="20"/>
      <w:lang w:val="zh-CN" w:eastAsia="zh-CN"/>
    </w:rPr>
  </w:style>
  <w:style w:type="character" w:customStyle="1" w:styleId="28">
    <w:name w:val="标题 2 字符"/>
    <w:basedOn w:val="22"/>
    <w:link w:val="3"/>
    <w:qFormat/>
    <w:uiPriority w:val="0"/>
    <w:rPr>
      <w:rFonts w:ascii="Arial" w:hAnsi="Arial" w:eastAsia="黑体" w:cs="Times New Roman"/>
      <w:b/>
      <w:bCs/>
      <w:sz w:val="32"/>
      <w:szCs w:val="32"/>
    </w:rPr>
  </w:style>
  <w:style w:type="character" w:customStyle="1" w:styleId="29">
    <w:name w:val="标题 3 字符"/>
    <w:basedOn w:val="22"/>
    <w:link w:val="4"/>
    <w:qFormat/>
    <w:uiPriority w:val="0"/>
    <w:rPr>
      <w:rFonts w:ascii="Arial" w:hAnsi="Arial" w:eastAsia="仿宋_GB2312" w:cs="Times New Roman"/>
      <w:b/>
      <w:sz w:val="24"/>
      <w:szCs w:val="20"/>
      <w:lang w:val="zh-CN" w:eastAsia="zh-CN"/>
    </w:rPr>
  </w:style>
  <w:style w:type="character" w:customStyle="1" w:styleId="30">
    <w:name w:val="标题 4 字符"/>
    <w:basedOn w:val="22"/>
    <w:link w:val="5"/>
    <w:qFormat/>
    <w:uiPriority w:val="0"/>
    <w:rPr>
      <w:rFonts w:ascii="Arial" w:hAnsi="Arial" w:eastAsia="仿宋_GB2312" w:cs="Times New Roman"/>
      <w:sz w:val="24"/>
      <w:szCs w:val="20"/>
      <w:lang w:val="zh-CN" w:eastAsia="zh-CN"/>
    </w:rPr>
  </w:style>
  <w:style w:type="character" w:customStyle="1" w:styleId="31">
    <w:name w:val="标题 5 字符"/>
    <w:basedOn w:val="22"/>
    <w:link w:val="6"/>
    <w:qFormat/>
    <w:uiPriority w:val="0"/>
    <w:rPr>
      <w:rFonts w:ascii="Arial" w:hAnsi="Arial" w:eastAsia="仿宋_GB2312" w:cs="Times New Roman"/>
      <w:sz w:val="24"/>
      <w:szCs w:val="20"/>
      <w:lang w:val="zh-CN" w:eastAsia="zh-CN"/>
    </w:rPr>
  </w:style>
  <w:style w:type="character" w:customStyle="1" w:styleId="32">
    <w:name w:val="标题 6 字符"/>
    <w:basedOn w:val="22"/>
    <w:link w:val="7"/>
    <w:qFormat/>
    <w:uiPriority w:val="0"/>
    <w:rPr>
      <w:rFonts w:ascii="Arial" w:hAnsi="Arial" w:eastAsia="仿宋_GB2312" w:cs="Times New Roman"/>
      <w:sz w:val="24"/>
      <w:szCs w:val="20"/>
      <w:lang w:val="zh-CN" w:eastAsia="zh-CN"/>
    </w:rPr>
  </w:style>
  <w:style w:type="character" w:customStyle="1" w:styleId="33">
    <w:name w:val="标题 7 字符"/>
    <w:basedOn w:val="22"/>
    <w:link w:val="8"/>
    <w:qFormat/>
    <w:uiPriority w:val="0"/>
    <w:rPr>
      <w:rFonts w:ascii="仿宋_GB2312" w:hAnsi="Times New Roman" w:eastAsia="仿宋_GB2312" w:cs="Times New Roman"/>
      <w:sz w:val="24"/>
      <w:szCs w:val="20"/>
      <w:lang w:val="zh-CN" w:eastAsia="zh-CN"/>
    </w:rPr>
  </w:style>
  <w:style w:type="character" w:customStyle="1" w:styleId="34">
    <w:name w:val="正文文本缩进 2 字符"/>
    <w:basedOn w:val="22"/>
    <w:link w:val="13"/>
    <w:qFormat/>
    <w:uiPriority w:val="0"/>
    <w:rPr>
      <w:rFonts w:ascii="仿宋_GB2312" w:hAnsi="Calibri" w:eastAsia="仿宋_GB2312" w:cs="Times New Roman"/>
      <w:sz w:val="24"/>
      <w:szCs w:val="20"/>
    </w:rPr>
  </w:style>
  <w:style w:type="character" w:customStyle="1" w:styleId="35">
    <w:name w:val="正文文本缩进 字符"/>
    <w:basedOn w:val="22"/>
    <w:link w:val="12"/>
    <w:qFormat/>
    <w:uiPriority w:val="0"/>
    <w:rPr>
      <w:rFonts w:ascii="Times New Roman" w:hAnsi="Times New Roman" w:eastAsia="宋体" w:cs="Times New Roman"/>
      <w:szCs w:val="24"/>
      <w:lang w:val="zh-CN" w:eastAsia="zh-CN"/>
    </w:rPr>
  </w:style>
  <w:style w:type="character" w:customStyle="1" w:styleId="36">
    <w:name w:val="正文缩进 字符"/>
    <w:link w:val="9"/>
    <w:qFormat/>
    <w:uiPriority w:val="99"/>
    <w:rPr>
      <w:rFonts w:ascii="Calibri" w:hAnsi="Calibri" w:eastAsia="宋体" w:cs="Times New Roman"/>
      <w:szCs w:val="24"/>
    </w:rPr>
  </w:style>
  <w:style w:type="paragraph" w:customStyle="1" w:styleId="37">
    <w:name w:val="正文正文"/>
    <w:basedOn w:val="1"/>
    <w:qFormat/>
    <w:uiPriority w:val="99"/>
    <w:pPr>
      <w:spacing w:after="25" w:afterLines="25" w:line="360" w:lineRule="auto"/>
      <w:ind w:firstLine="200" w:firstLineChars="200"/>
    </w:pPr>
    <w:rPr>
      <w:sz w:val="24"/>
    </w:rPr>
  </w:style>
  <w:style w:type="character" w:customStyle="1" w:styleId="38">
    <w:name w:val="批注框文本 字符"/>
    <w:basedOn w:val="22"/>
    <w:link w:val="14"/>
    <w:semiHidden/>
    <w:qFormat/>
    <w:uiPriority w:val="99"/>
    <w:rPr>
      <w:rFonts w:ascii="Times New Roman" w:hAnsi="Times New Roman" w:eastAsia="宋体" w:cs="Times New Roman"/>
      <w:sz w:val="18"/>
      <w:szCs w:val="18"/>
    </w:rPr>
  </w:style>
  <w:style w:type="character" w:customStyle="1" w:styleId="39">
    <w:name w:val="批注文字 字符"/>
    <w:basedOn w:val="22"/>
    <w:link w:val="11"/>
    <w:qFormat/>
    <w:uiPriority w:val="0"/>
    <w:rPr>
      <w:rFonts w:ascii="Times New Roman" w:hAnsi="Times New Roman" w:eastAsia="宋体" w:cs="Times New Roman"/>
      <w:szCs w:val="24"/>
    </w:rPr>
  </w:style>
  <w:style w:type="character" w:customStyle="1" w:styleId="40">
    <w:name w:val="批注主题 字符"/>
    <w:basedOn w:val="39"/>
    <w:link w:val="19"/>
    <w:semiHidden/>
    <w:qFormat/>
    <w:uiPriority w:val="99"/>
    <w:rPr>
      <w:rFonts w:ascii="Times New Roman" w:hAnsi="Times New Roman" w:eastAsia="宋体" w:cs="Times New Roman"/>
      <w:b/>
      <w:bCs/>
      <w:szCs w:val="24"/>
    </w:rPr>
  </w:style>
  <w:style w:type="paragraph" w:customStyle="1" w:styleId="41">
    <w:name w:val="修订1"/>
    <w:hidden/>
    <w:semiHidden/>
    <w:qFormat/>
    <w:uiPriority w:val="99"/>
    <w:rPr>
      <w:rFonts w:ascii="Times New Roman" w:hAnsi="Times New Roman" w:eastAsia="宋体" w:cs="Times New Roman"/>
      <w:kern w:val="2"/>
      <w:sz w:val="21"/>
      <w:szCs w:val="24"/>
      <w:lang w:val="en-US" w:eastAsia="zh-CN" w:bidi="ar-SA"/>
    </w:rPr>
  </w:style>
  <w:style w:type="paragraph" w:styleId="42">
    <w:name w:val="List Paragraph"/>
    <w:basedOn w:val="1"/>
    <w:qFormat/>
    <w:uiPriority w:val="34"/>
    <w:pPr>
      <w:ind w:firstLine="420" w:firstLineChars="200"/>
    </w:pPr>
  </w:style>
  <w:style w:type="character" w:customStyle="1" w:styleId="43">
    <w:name w:val="文档结构图 字符"/>
    <w:basedOn w:val="22"/>
    <w:link w:val="10"/>
    <w:qFormat/>
    <w:uiPriority w:val="0"/>
    <w:rPr>
      <w:kern w:val="2"/>
      <w:sz w:val="21"/>
      <w:shd w:val="clear" w:color="auto" w:fill="000080"/>
    </w:rPr>
  </w:style>
  <w:style w:type="paragraph" w:customStyle="1" w:styleId="4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EB754-21A3-48F7-BEDE-40C59A05B683}">
  <ds:schemaRefs/>
</ds:datastoreItem>
</file>

<file path=docProps/app.xml><?xml version="1.0" encoding="utf-8"?>
<Properties xmlns="http://schemas.openxmlformats.org/officeDocument/2006/extended-properties" xmlns:vt="http://schemas.openxmlformats.org/officeDocument/2006/docPropsVTypes">
  <Template>Normal.dotm</Template>
  <Pages>51</Pages>
  <Words>35020</Words>
  <Characters>35517</Characters>
  <Lines>271</Lines>
  <Paragraphs>76</Paragraphs>
  <TotalTime>0</TotalTime>
  <ScaleCrop>false</ScaleCrop>
  <LinksUpToDate>false</LinksUpToDate>
  <CharactersWithSpaces>35547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2022-06-20T08:55:00Z</dcterms:created>
  <dcterms:modified xsi:type="dcterms:W3CDTF">2022-11-25T06:23:48Z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3C1A76F2BFEB4D0FB424A06BCDFEEBD2</vt:lpwstr>
  </property>
</Properties>
</file>