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djustRightInd w:val="0"/>
        <w:snapToGrid w:val="0"/>
        <w:spacing w:line="360" w:lineRule="auto"/>
        <w:jc w:val="center"/>
        <w:rPr>
          <w:b/>
          <w:color w:val="000000" w:themeColor="text1"/>
          <w:sz w:val="48"/>
          <w14:textFill>
            <w14:solidFill>
              <w14:schemeClr w14:val="tx1"/>
            </w14:solidFill>
          </w14:textFill>
        </w:rPr>
      </w:pPr>
      <w:bookmarkStart w:id="463" w:name="_GoBack"/>
      <w:bookmarkEnd w:id="463"/>
    </w:p>
    <w:p>
      <w:pPr>
        <w:adjustRightInd w:val="0"/>
        <w:snapToGrid w:val="0"/>
        <w:spacing w:line="360" w:lineRule="auto"/>
        <w:jc w:val="center"/>
        <w:rPr>
          <w:b/>
          <w:color w:val="000000" w:themeColor="text1"/>
          <w:sz w:val="48"/>
          <w14:textFill>
            <w14:solidFill>
              <w14:schemeClr w14:val="tx1"/>
            </w14:solidFill>
          </w14:textFill>
        </w:rPr>
      </w:pPr>
    </w:p>
    <w:p>
      <w:pPr>
        <w:adjustRightInd w:val="0"/>
        <w:snapToGrid w:val="0"/>
        <w:spacing w:line="360" w:lineRule="auto"/>
        <w:jc w:val="center"/>
        <w:rPr>
          <w:b/>
          <w:color w:val="000000" w:themeColor="text1"/>
          <w:sz w:val="48"/>
          <w14:textFill>
            <w14:solidFill>
              <w14:schemeClr w14:val="tx1"/>
            </w14:solidFill>
          </w14:textFill>
        </w:rPr>
      </w:pPr>
      <w:r>
        <w:rPr>
          <w:rFonts w:hint="eastAsia"/>
          <w:b/>
          <w:color w:val="000000" w:themeColor="text1"/>
          <w:sz w:val="48"/>
          <w:lang w:eastAsia="zh-CN"/>
          <w14:textFill>
            <w14:solidFill>
              <w14:schemeClr w14:val="tx1"/>
            </w14:solidFill>
          </w14:textFill>
        </w:rPr>
        <w:t>国新国证</w:t>
      </w:r>
      <w:r>
        <w:rPr>
          <w:rFonts w:hint="eastAsia"/>
          <w:b/>
          <w:color w:val="000000" w:themeColor="text1"/>
          <w:sz w:val="48"/>
          <w14:textFill>
            <w14:solidFill>
              <w14:schemeClr w14:val="tx1"/>
            </w14:solidFill>
          </w14:textFill>
        </w:rPr>
        <w:t>基金管理有限</w:t>
      </w:r>
      <w:r>
        <w:rPr>
          <w:b/>
          <w:color w:val="000000" w:themeColor="text1"/>
          <w:sz w:val="48"/>
          <w14:textFill>
            <w14:solidFill>
              <w14:schemeClr w14:val="tx1"/>
            </w14:solidFill>
          </w14:textFill>
        </w:rPr>
        <w:t>公司</w:t>
      </w:r>
    </w:p>
    <w:p>
      <w:pPr>
        <w:adjustRightInd w:val="0"/>
        <w:snapToGrid w:val="0"/>
        <w:spacing w:line="360" w:lineRule="auto"/>
        <w:jc w:val="center"/>
        <w:rPr>
          <w:b/>
          <w:color w:val="000000" w:themeColor="text1"/>
          <w:sz w:val="48"/>
          <w14:textFill>
            <w14:solidFill>
              <w14:schemeClr w14:val="tx1"/>
            </w14:solidFill>
          </w14:textFill>
        </w:rPr>
      </w:pPr>
    </w:p>
    <w:p>
      <w:pPr>
        <w:adjustRightInd w:val="0"/>
        <w:snapToGrid w:val="0"/>
        <w:spacing w:line="360" w:lineRule="auto"/>
        <w:jc w:val="center"/>
        <w:rPr>
          <w:b/>
          <w:color w:val="000000" w:themeColor="text1"/>
          <w:sz w:val="48"/>
          <w14:textFill>
            <w14:solidFill>
              <w14:schemeClr w14:val="tx1"/>
            </w14:solidFill>
          </w14:textFill>
        </w:rPr>
      </w:pPr>
    </w:p>
    <w:p>
      <w:pPr>
        <w:adjustRightInd w:val="0"/>
        <w:snapToGrid w:val="0"/>
        <w:spacing w:line="360" w:lineRule="auto"/>
        <w:jc w:val="center"/>
        <w:rPr>
          <w:rFonts w:hint="eastAsia"/>
          <w:b/>
          <w:color w:val="000000" w:themeColor="text1"/>
          <w:sz w:val="48"/>
          <w14:textFill>
            <w14:solidFill>
              <w14:schemeClr w14:val="tx1"/>
            </w14:solidFill>
          </w14:textFill>
        </w:rPr>
      </w:pPr>
      <w:bookmarkStart w:id="0" w:name="_Toc139992299"/>
      <w:bookmarkStart w:id="1" w:name="_Toc123112222"/>
      <w:bookmarkStart w:id="2" w:name="_Toc123112261"/>
      <w:bookmarkStart w:id="3" w:name="_Toc123701381"/>
      <w:bookmarkStart w:id="4" w:name="_Toc139991724"/>
      <w:r>
        <w:rPr>
          <w:rFonts w:hint="eastAsia"/>
          <w:b/>
          <w:color w:val="000000" w:themeColor="text1"/>
          <w:sz w:val="48"/>
          <w:lang w:eastAsia="zh-CN"/>
          <w14:textFill>
            <w14:solidFill>
              <w14:schemeClr w14:val="tx1"/>
            </w14:solidFill>
          </w14:textFill>
        </w:rPr>
        <w:t>国新国证</w:t>
      </w:r>
      <w:r>
        <w:rPr>
          <w:rFonts w:hint="eastAsia"/>
          <w:b/>
          <w:color w:val="000000" w:themeColor="text1"/>
          <w:sz w:val="48"/>
          <w14:textFill>
            <w14:solidFill>
              <w14:schemeClr w14:val="tx1"/>
            </w14:solidFill>
          </w14:textFill>
        </w:rPr>
        <w:t>鑫裕央企债六个月定期开放</w:t>
      </w:r>
    </w:p>
    <w:p>
      <w:pPr>
        <w:adjustRightInd w:val="0"/>
        <w:snapToGrid w:val="0"/>
        <w:spacing w:line="360" w:lineRule="auto"/>
        <w:jc w:val="center"/>
        <w:rPr>
          <w:b/>
          <w:color w:val="000000" w:themeColor="text1"/>
          <w:sz w:val="48"/>
          <w14:textFill>
            <w14:solidFill>
              <w14:schemeClr w14:val="tx1"/>
            </w14:solidFill>
          </w14:textFill>
        </w:rPr>
      </w:pPr>
      <w:r>
        <w:rPr>
          <w:rFonts w:hint="eastAsia"/>
          <w:b/>
          <w:color w:val="000000" w:themeColor="text1"/>
          <w:sz w:val="48"/>
          <w14:textFill>
            <w14:solidFill>
              <w14:schemeClr w14:val="tx1"/>
            </w14:solidFill>
          </w14:textFill>
        </w:rPr>
        <w:t>债券型</w:t>
      </w:r>
      <w:r>
        <w:rPr>
          <w:b/>
          <w:color w:val="000000" w:themeColor="text1"/>
          <w:sz w:val="48"/>
          <w14:textFill>
            <w14:solidFill>
              <w14:schemeClr w14:val="tx1"/>
            </w14:solidFill>
          </w14:textFill>
        </w:rPr>
        <w:t>证券投资基金</w:t>
      </w:r>
      <w:bookmarkEnd w:id="0"/>
      <w:bookmarkEnd w:id="1"/>
      <w:bookmarkEnd w:id="2"/>
      <w:bookmarkEnd w:id="3"/>
      <w:bookmarkEnd w:id="4"/>
      <w:bookmarkStart w:id="5" w:name="_Toc139992300"/>
      <w:bookmarkStart w:id="6" w:name="_Toc123112223"/>
      <w:bookmarkStart w:id="7" w:name="_Toc123701382"/>
      <w:bookmarkStart w:id="8" w:name="_Toc123112262"/>
      <w:bookmarkStart w:id="9" w:name="_Toc139991725"/>
      <w:r>
        <w:rPr>
          <w:b/>
          <w:color w:val="000000" w:themeColor="text1"/>
          <w:sz w:val="48"/>
          <w14:textFill>
            <w14:solidFill>
              <w14:schemeClr w14:val="tx1"/>
            </w14:solidFill>
          </w14:textFill>
        </w:rPr>
        <w:t>基金合同</w:t>
      </w:r>
      <w:bookmarkEnd w:id="5"/>
      <w:bookmarkEnd w:id="6"/>
      <w:bookmarkEnd w:id="7"/>
      <w:bookmarkEnd w:id="8"/>
      <w:bookmarkEnd w:id="9"/>
    </w:p>
    <w:p>
      <w:pPr>
        <w:adjustRightInd w:val="0"/>
        <w:snapToGrid w:val="0"/>
        <w:spacing w:line="360" w:lineRule="auto"/>
        <w:jc w:val="center"/>
        <w:rPr>
          <w:b/>
          <w:color w:val="000000" w:themeColor="text1"/>
          <w:sz w:val="48"/>
          <w14:textFill>
            <w14:solidFill>
              <w14:schemeClr w14:val="tx1"/>
            </w14:solidFill>
          </w14:textFill>
        </w:rPr>
      </w:pPr>
    </w:p>
    <w:p>
      <w:pPr>
        <w:adjustRightInd w:val="0"/>
        <w:snapToGrid w:val="0"/>
        <w:spacing w:line="360" w:lineRule="auto"/>
        <w:jc w:val="center"/>
        <w:rPr>
          <w:b/>
          <w:color w:val="000000" w:themeColor="text1"/>
          <w:sz w:val="48"/>
          <w14:textFill>
            <w14:solidFill>
              <w14:schemeClr w14:val="tx1"/>
            </w14:solidFill>
          </w14:textFill>
        </w:rPr>
      </w:pPr>
    </w:p>
    <w:p>
      <w:pPr>
        <w:adjustRightInd w:val="0"/>
        <w:snapToGrid w:val="0"/>
        <w:spacing w:line="360" w:lineRule="auto"/>
        <w:jc w:val="center"/>
        <w:rPr>
          <w:b/>
          <w:color w:val="000000" w:themeColor="text1"/>
          <w:sz w:val="48"/>
          <w14:textFill>
            <w14:solidFill>
              <w14:schemeClr w14:val="tx1"/>
            </w14:solidFill>
          </w14:textFill>
        </w:rPr>
      </w:pPr>
    </w:p>
    <w:p>
      <w:pPr>
        <w:adjustRightInd w:val="0"/>
        <w:snapToGrid w:val="0"/>
        <w:spacing w:line="360" w:lineRule="auto"/>
        <w:jc w:val="center"/>
        <w:rPr>
          <w:b/>
          <w:color w:val="000000" w:themeColor="text1"/>
          <w:sz w:val="48"/>
          <w14:textFill>
            <w14:solidFill>
              <w14:schemeClr w14:val="tx1"/>
            </w14:solidFill>
          </w14:textFill>
        </w:rPr>
      </w:pPr>
    </w:p>
    <w:p>
      <w:pPr>
        <w:adjustRightInd w:val="0"/>
        <w:snapToGrid w:val="0"/>
        <w:spacing w:line="360" w:lineRule="auto"/>
        <w:ind w:firstLine="723" w:firstLineChars="200"/>
        <w:jc w:val="left"/>
        <w:rPr>
          <w:b/>
          <w:color w:val="000000" w:themeColor="text1"/>
          <w:sz w:val="36"/>
          <w14:textFill>
            <w14:solidFill>
              <w14:schemeClr w14:val="tx1"/>
            </w14:solidFill>
          </w14:textFill>
        </w:rPr>
      </w:pPr>
      <w:bookmarkStart w:id="10" w:name="_Toc123112224"/>
      <w:bookmarkStart w:id="11" w:name="_Toc139992301"/>
      <w:bookmarkStart w:id="12" w:name="_Toc139991726"/>
      <w:bookmarkStart w:id="13" w:name="_Toc123701383"/>
      <w:bookmarkStart w:id="14" w:name="_Toc123112263"/>
      <w:r>
        <w:rPr>
          <w:b/>
          <w:color w:val="000000" w:themeColor="text1"/>
          <w:sz w:val="36"/>
          <w14:textFill>
            <w14:solidFill>
              <w14:schemeClr w14:val="tx1"/>
            </w14:solidFill>
          </w14:textFill>
        </w:rPr>
        <w:t>基金管理人：</w:t>
      </w:r>
      <w:bookmarkEnd w:id="10"/>
      <w:bookmarkEnd w:id="11"/>
      <w:bookmarkEnd w:id="12"/>
      <w:bookmarkEnd w:id="13"/>
      <w:bookmarkEnd w:id="14"/>
      <w:r>
        <w:rPr>
          <w:rFonts w:hint="eastAsia"/>
          <w:b/>
          <w:color w:val="000000" w:themeColor="text1"/>
          <w:sz w:val="36"/>
          <w:lang w:eastAsia="zh-CN"/>
          <w14:textFill>
            <w14:solidFill>
              <w14:schemeClr w14:val="tx1"/>
            </w14:solidFill>
          </w14:textFill>
        </w:rPr>
        <w:t>国新国证</w:t>
      </w:r>
      <w:r>
        <w:rPr>
          <w:rFonts w:hint="eastAsia"/>
          <w:b/>
          <w:color w:val="000000" w:themeColor="text1"/>
          <w:sz w:val="36"/>
          <w14:textFill>
            <w14:solidFill>
              <w14:schemeClr w14:val="tx1"/>
            </w14:solidFill>
          </w14:textFill>
        </w:rPr>
        <w:t>基金管理有限公司</w:t>
      </w:r>
    </w:p>
    <w:p>
      <w:pPr>
        <w:adjustRightInd w:val="0"/>
        <w:snapToGrid w:val="0"/>
        <w:spacing w:line="360" w:lineRule="auto"/>
        <w:ind w:firstLine="723" w:firstLineChars="200"/>
        <w:jc w:val="left"/>
        <w:rPr>
          <w:b/>
          <w:color w:val="000000" w:themeColor="text1"/>
          <w:sz w:val="36"/>
          <w14:textFill>
            <w14:solidFill>
              <w14:schemeClr w14:val="tx1"/>
            </w14:solidFill>
          </w14:textFill>
        </w:rPr>
      </w:pPr>
      <w:bookmarkStart w:id="15" w:name="_Toc123112264"/>
      <w:bookmarkStart w:id="16" w:name="_Toc139991727"/>
      <w:bookmarkStart w:id="17" w:name="_Toc123112225"/>
      <w:bookmarkStart w:id="18" w:name="_Toc123701384"/>
      <w:bookmarkStart w:id="19" w:name="_Toc139992302"/>
      <w:r>
        <w:rPr>
          <w:b/>
          <w:color w:val="000000" w:themeColor="text1"/>
          <w:sz w:val="36"/>
          <w14:textFill>
            <w14:solidFill>
              <w14:schemeClr w14:val="tx1"/>
            </w14:solidFill>
          </w14:textFill>
        </w:rPr>
        <w:t>基金托管人：</w:t>
      </w:r>
      <w:r>
        <w:rPr>
          <w:rFonts w:hint="eastAsia"/>
          <w:b/>
          <w:color w:val="000000" w:themeColor="text1"/>
          <w:sz w:val="36"/>
          <w14:textFill>
            <w14:solidFill>
              <w14:schemeClr w14:val="tx1"/>
            </w14:solidFill>
          </w14:textFill>
        </w:rPr>
        <w:t>上海浦东发展银行股份有限公司</w:t>
      </w:r>
      <w:bookmarkEnd w:id="15"/>
      <w:bookmarkEnd w:id="16"/>
      <w:bookmarkEnd w:id="17"/>
      <w:bookmarkEnd w:id="18"/>
      <w:bookmarkEnd w:id="19"/>
    </w:p>
    <w:p>
      <w:pPr>
        <w:adjustRightInd w:val="0"/>
        <w:snapToGrid w:val="0"/>
        <w:spacing w:line="360" w:lineRule="auto"/>
        <w:jc w:val="center"/>
        <w:rPr>
          <w:bCs/>
          <w:color w:val="000000" w:themeColor="text1"/>
          <w:sz w:val="32"/>
          <w14:textFill>
            <w14:solidFill>
              <w14:schemeClr w14:val="tx1"/>
            </w14:solidFill>
          </w14:textFill>
        </w:rPr>
      </w:pPr>
    </w:p>
    <w:p>
      <w:pPr>
        <w:jc w:val="center"/>
        <w:rPr>
          <w:bCs/>
          <w:color w:val="000000" w:themeColor="text1"/>
          <w:sz w:val="28"/>
          <w14:textFill>
            <w14:solidFill>
              <w14:schemeClr w14:val="tx1"/>
            </w14:solidFill>
          </w14:textFill>
        </w:rPr>
      </w:pPr>
      <w:bookmarkStart w:id="20" w:name="_Toc123701386"/>
      <w:bookmarkStart w:id="21" w:name="_Toc123112227"/>
      <w:bookmarkStart w:id="22" w:name="_Toc123112266"/>
      <w:bookmarkStart w:id="23" w:name="_Toc139991729"/>
    </w:p>
    <w:p>
      <w:pPr>
        <w:jc w:val="center"/>
        <w:rPr>
          <w:rFonts w:ascii="宋体"/>
          <w:b/>
          <w:bCs/>
          <w:color w:val="000000" w:themeColor="text1"/>
          <w:sz w:val="30"/>
          <w14:textFill>
            <w14:solidFill>
              <w14:schemeClr w14:val="tx1"/>
            </w14:solidFill>
          </w14:textFill>
        </w:rPr>
      </w:pPr>
      <w:r>
        <w:rPr>
          <w:rFonts w:hint="eastAsia" w:ascii="宋体"/>
          <w:b/>
          <w:bCs/>
          <w:color w:val="000000" w:themeColor="text1"/>
          <w:sz w:val="30"/>
          <w14:textFill>
            <w14:solidFill>
              <w14:schemeClr w14:val="tx1"/>
            </w14:solidFill>
          </w14:textFill>
        </w:rPr>
        <w:t>二〇二二年</w:t>
      </w:r>
      <w:r>
        <w:rPr>
          <w:rFonts w:hint="eastAsia" w:ascii="宋体"/>
          <w:b/>
          <w:bCs/>
          <w:color w:val="000000" w:themeColor="text1"/>
          <w:sz w:val="30"/>
          <w:lang w:val="en-US" w:eastAsia="zh-CN"/>
          <w14:textFill>
            <w14:solidFill>
              <w14:schemeClr w14:val="tx1"/>
            </w14:solidFill>
          </w14:textFill>
        </w:rPr>
        <w:t>十一</w:t>
      </w:r>
      <w:r>
        <w:rPr>
          <w:rFonts w:hint="eastAsia" w:ascii="宋体"/>
          <w:b/>
          <w:bCs/>
          <w:color w:val="000000" w:themeColor="text1"/>
          <w:sz w:val="30"/>
          <w14:textFill>
            <w14:solidFill>
              <w14:schemeClr w14:val="tx1"/>
            </w14:solidFill>
          </w14:textFill>
        </w:rPr>
        <w:t>月</w:t>
      </w:r>
    </w:p>
    <w:p>
      <w:pPr>
        <w:jc w:val="center"/>
        <w:rPr>
          <w:rFonts w:ascii="宋体"/>
          <w:b/>
          <w:bCs/>
          <w:color w:val="000000" w:themeColor="text1"/>
          <w:sz w:val="30"/>
          <w14:textFill>
            <w14:solidFill>
              <w14:schemeClr w14:val="tx1"/>
            </w14:solidFill>
          </w14:textFill>
        </w:rPr>
      </w:pPr>
    </w:p>
    <w:p>
      <w:pPr>
        <w:jc w:val="center"/>
        <w:rPr>
          <w:bCs/>
          <w:color w:val="000000" w:themeColor="text1"/>
          <w:sz w:val="28"/>
          <w14:textFill>
            <w14:solidFill>
              <w14:schemeClr w14:val="tx1"/>
            </w14:solidFill>
          </w14:textFill>
        </w:rPr>
        <w:sectPr>
          <w:headerReference r:id="rId3" w:type="default"/>
          <w:footerReference r:id="rId4" w:type="default"/>
          <w:pgSz w:w="11906" w:h="16838"/>
          <w:pgMar w:top="1440" w:right="1800" w:bottom="1440" w:left="1800" w:header="851" w:footer="992" w:gutter="0"/>
          <w:pgNumType w:start="1"/>
          <w:cols w:space="720" w:num="1"/>
          <w:titlePg/>
          <w:docGrid w:type="lines" w:linePitch="312" w:charSpace="0"/>
        </w:sectPr>
      </w:pPr>
    </w:p>
    <w:p>
      <w:pPr>
        <w:spacing w:line="500" w:lineRule="atLeast"/>
        <w:jc w:val="center"/>
        <w:outlineLvl w:val="0"/>
        <w:rPr>
          <w:rFonts w:ascii="宋体" w:hAnsi="宋体"/>
          <w:b/>
          <w:color w:val="000000" w:themeColor="text1"/>
          <w:sz w:val="32"/>
          <w:szCs w:val="28"/>
          <w14:textFill>
            <w14:solidFill>
              <w14:schemeClr w14:val="tx1"/>
            </w14:solidFill>
          </w14:textFill>
        </w:rPr>
      </w:pPr>
      <w:r>
        <w:rPr>
          <w:rFonts w:ascii="宋体" w:hAnsi="宋体"/>
          <w:b/>
          <w:color w:val="000000" w:themeColor="text1"/>
          <w:sz w:val="32"/>
          <w:szCs w:val="28"/>
          <w14:textFill>
            <w14:solidFill>
              <w14:schemeClr w14:val="tx1"/>
            </w14:solidFill>
          </w14:textFill>
        </w:rPr>
        <w:t>目  录</w:t>
      </w:r>
      <w:bookmarkEnd w:id="20"/>
      <w:bookmarkEnd w:id="21"/>
      <w:bookmarkEnd w:id="22"/>
      <w:bookmarkEnd w:id="23"/>
    </w:p>
    <w:p>
      <w:pPr>
        <w:pStyle w:val="15"/>
        <w:rPr>
          <w:rFonts w:asciiTheme="minorEastAsia" w:hAnsiTheme="minorEastAsia" w:eastAsiaTheme="minorEastAsia"/>
          <w:color w:val="000000" w:themeColor="text1"/>
          <w:sz w:val="24"/>
          <w:szCs w:val="24"/>
          <w14:textFill>
            <w14:solidFill>
              <w14:schemeClr w14:val="tx1"/>
            </w14:solidFill>
          </w14:textFill>
        </w:rPr>
      </w:pPr>
      <w:r>
        <w:rPr>
          <w:bCs/>
          <w:color w:val="000000" w:themeColor="text1"/>
          <w:sz w:val="24"/>
          <w14:textFill>
            <w14:solidFill>
              <w14:schemeClr w14:val="tx1"/>
            </w14:solidFill>
          </w14:textFill>
        </w:rPr>
        <w:fldChar w:fldCharType="begin"/>
      </w:r>
      <w:r>
        <w:rPr>
          <w:bCs/>
          <w:color w:val="000000" w:themeColor="text1"/>
          <w:sz w:val="24"/>
          <w14:textFill>
            <w14:solidFill>
              <w14:schemeClr w14:val="tx1"/>
            </w14:solidFill>
          </w14:textFill>
        </w:rPr>
        <w:instrText xml:space="preserve"> TOC \o "1-1" \h \z \u </w:instrText>
      </w:r>
      <w:r>
        <w:rPr>
          <w:bCs/>
          <w:color w:val="000000" w:themeColor="text1"/>
          <w:sz w:val="24"/>
          <w14:textFill>
            <w14:solidFill>
              <w14:schemeClr w14:val="tx1"/>
            </w14:solidFill>
          </w14:textFill>
        </w:rPr>
        <w:fldChar w:fldCharType="separate"/>
      </w:r>
      <w:r>
        <w:fldChar w:fldCharType="begin"/>
      </w:r>
      <w:r>
        <w:instrText xml:space="preserve"> HYPERLINK \l "_Toc95997112" </w:instrText>
      </w:r>
      <w:r>
        <w:fldChar w:fldCharType="separate"/>
      </w:r>
      <w:r>
        <w:rPr>
          <w:rStyle w:val="23"/>
          <w:rFonts w:hint="eastAsia" w:asciiTheme="minorEastAsia" w:hAnsiTheme="minorEastAsia" w:eastAsiaTheme="minorEastAsia"/>
          <w:color w:val="000000" w:themeColor="text1"/>
          <w:sz w:val="24"/>
          <w:szCs w:val="24"/>
          <w14:textFill>
            <w14:solidFill>
              <w14:schemeClr w14:val="tx1"/>
            </w14:solidFill>
          </w14:textFill>
        </w:rPr>
        <w:t>第一部分</w:t>
      </w:r>
      <w:r>
        <w:rPr>
          <w:rStyle w:val="23"/>
          <w:rFonts w:asciiTheme="minorEastAsia" w:hAnsiTheme="minorEastAsia" w:eastAsiaTheme="minorEastAsia"/>
          <w:color w:val="000000" w:themeColor="text1"/>
          <w:sz w:val="24"/>
          <w:szCs w:val="24"/>
          <w14:textFill>
            <w14:solidFill>
              <w14:schemeClr w14:val="tx1"/>
            </w14:solidFill>
          </w14:textFill>
        </w:rPr>
        <w:t xml:space="preserve">  </w:t>
      </w:r>
      <w:r>
        <w:rPr>
          <w:rStyle w:val="23"/>
          <w:rFonts w:hint="eastAsia" w:asciiTheme="minorEastAsia" w:hAnsiTheme="minorEastAsia" w:eastAsiaTheme="minorEastAsia"/>
          <w:color w:val="000000" w:themeColor="text1"/>
          <w:sz w:val="24"/>
          <w:szCs w:val="24"/>
          <w14:textFill>
            <w14:solidFill>
              <w14:schemeClr w14:val="tx1"/>
            </w14:solidFill>
          </w14:textFill>
        </w:rPr>
        <w:t>前言</w:t>
      </w:r>
      <w:r>
        <w:rPr>
          <w:rFonts w:asciiTheme="minorEastAsia" w:hAnsiTheme="minorEastAsia" w:eastAsiaTheme="minorEastAsia"/>
          <w:color w:val="000000" w:themeColor="text1"/>
          <w:sz w:val="24"/>
          <w:szCs w:val="24"/>
          <w14:textFill>
            <w14:solidFill>
              <w14:schemeClr w14:val="tx1"/>
            </w14:solidFill>
          </w14:textFill>
        </w:rPr>
        <w:tab/>
      </w:r>
      <w:r>
        <w:rPr>
          <w:rFonts w:asciiTheme="minorEastAsia" w:hAnsiTheme="minorEastAsia" w:eastAsiaTheme="minorEastAsia"/>
          <w:color w:val="000000" w:themeColor="text1"/>
          <w:sz w:val="24"/>
          <w:szCs w:val="24"/>
          <w14:textFill>
            <w14:solidFill>
              <w14:schemeClr w14:val="tx1"/>
            </w14:solidFill>
          </w14:textFill>
        </w:rPr>
        <w:fldChar w:fldCharType="begin"/>
      </w:r>
      <w:r>
        <w:rPr>
          <w:rFonts w:asciiTheme="minorEastAsia" w:hAnsiTheme="minorEastAsia" w:eastAsiaTheme="minorEastAsia"/>
          <w:color w:val="000000" w:themeColor="text1"/>
          <w:sz w:val="24"/>
          <w:szCs w:val="24"/>
          <w14:textFill>
            <w14:solidFill>
              <w14:schemeClr w14:val="tx1"/>
            </w14:solidFill>
          </w14:textFill>
        </w:rPr>
        <w:instrText xml:space="preserve"> PAGEREF _Toc95997112 \h </w:instrText>
      </w:r>
      <w:r>
        <w:rPr>
          <w:rFonts w:asciiTheme="minorEastAsia" w:hAnsiTheme="minorEastAsia" w:eastAsiaTheme="minorEastAsia"/>
          <w:color w:val="000000" w:themeColor="text1"/>
          <w:sz w:val="24"/>
          <w:szCs w:val="24"/>
          <w14:textFill>
            <w14:solidFill>
              <w14:schemeClr w14:val="tx1"/>
            </w14:solidFill>
          </w14:textFill>
        </w:rPr>
        <w:fldChar w:fldCharType="separate"/>
      </w:r>
      <w:r>
        <w:rPr>
          <w:rFonts w:asciiTheme="minorEastAsia" w:hAnsiTheme="minorEastAsia" w:eastAsiaTheme="minorEastAsia"/>
          <w:color w:val="000000" w:themeColor="text1"/>
          <w:sz w:val="24"/>
          <w:szCs w:val="24"/>
          <w14:textFill>
            <w14:solidFill>
              <w14:schemeClr w14:val="tx1"/>
            </w14:solidFill>
          </w14:textFill>
        </w:rPr>
        <w:t>1</w:t>
      </w:r>
      <w:r>
        <w:rPr>
          <w:rFonts w:asciiTheme="minorEastAsia" w:hAnsiTheme="minorEastAsia" w:eastAsiaTheme="minorEastAsia"/>
          <w:color w:val="000000" w:themeColor="text1"/>
          <w:sz w:val="24"/>
          <w:szCs w:val="24"/>
          <w14:textFill>
            <w14:solidFill>
              <w14:schemeClr w14:val="tx1"/>
            </w14:solidFill>
          </w14:textFill>
        </w:rPr>
        <w:fldChar w:fldCharType="end"/>
      </w:r>
      <w:r>
        <w:rPr>
          <w:rFonts w:asciiTheme="minorEastAsia" w:hAnsiTheme="minorEastAsia" w:eastAsiaTheme="minorEastAsia"/>
          <w:color w:val="000000" w:themeColor="text1"/>
          <w:sz w:val="24"/>
          <w:szCs w:val="24"/>
          <w14:textFill>
            <w14:solidFill>
              <w14:schemeClr w14:val="tx1"/>
            </w14:solidFill>
          </w14:textFill>
        </w:rPr>
        <w:fldChar w:fldCharType="end"/>
      </w:r>
    </w:p>
    <w:p>
      <w:pPr>
        <w:pStyle w:val="15"/>
        <w:rPr>
          <w:rFonts w:asciiTheme="minorEastAsia" w:hAnsiTheme="minorEastAsia" w:eastAsiaTheme="minorEastAsia"/>
          <w:color w:val="000000" w:themeColor="text1"/>
          <w:sz w:val="24"/>
          <w:szCs w:val="24"/>
          <w14:textFill>
            <w14:solidFill>
              <w14:schemeClr w14:val="tx1"/>
            </w14:solidFill>
          </w14:textFill>
        </w:rPr>
      </w:pPr>
      <w:r>
        <w:fldChar w:fldCharType="begin"/>
      </w:r>
      <w:r>
        <w:instrText xml:space="preserve"> HYPERLINK \l "_Toc95997113" </w:instrText>
      </w:r>
      <w:r>
        <w:fldChar w:fldCharType="separate"/>
      </w:r>
      <w:r>
        <w:rPr>
          <w:rStyle w:val="23"/>
          <w:rFonts w:hint="eastAsia" w:asciiTheme="minorEastAsia" w:hAnsiTheme="minorEastAsia" w:eastAsiaTheme="minorEastAsia"/>
          <w:color w:val="000000" w:themeColor="text1"/>
          <w:sz w:val="24"/>
          <w:szCs w:val="24"/>
          <w14:textFill>
            <w14:solidFill>
              <w14:schemeClr w14:val="tx1"/>
            </w14:solidFill>
          </w14:textFill>
        </w:rPr>
        <w:t>第二部分</w:t>
      </w:r>
      <w:r>
        <w:rPr>
          <w:rStyle w:val="23"/>
          <w:rFonts w:asciiTheme="minorEastAsia" w:hAnsiTheme="minorEastAsia" w:eastAsiaTheme="minorEastAsia"/>
          <w:color w:val="000000" w:themeColor="text1"/>
          <w:sz w:val="24"/>
          <w:szCs w:val="24"/>
          <w14:textFill>
            <w14:solidFill>
              <w14:schemeClr w14:val="tx1"/>
            </w14:solidFill>
          </w14:textFill>
        </w:rPr>
        <w:t xml:space="preserve"> </w:t>
      </w:r>
      <w:r>
        <w:rPr>
          <w:rStyle w:val="23"/>
          <w:rFonts w:hint="eastAsia" w:asciiTheme="minorEastAsia" w:hAnsiTheme="minorEastAsia" w:eastAsiaTheme="minorEastAsia"/>
          <w:color w:val="000000" w:themeColor="text1"/>
          <w:sz w:val="24"/>
          <w:szCs w:val="24"/>
          <w14:textFill>
            <w14:solidFill>
              <w14:schemeClr w14:val="tx1"/>
            </w14:solidFill>
          </w14:textFill>
        </w:rPr>
        <w:t>释义</w:t>
      </w:r>
      <w:r>
        <w:rPr>
          <w:rFonts w:asciiTheme="minorEastAsia" w:hAnsiTheme="minorEastAsia" w:eastAsiaTheme="minorEastAsia"/>
          <w:color w:val="000000" w:themeColor="text1"/>
          <w:sz w:val="24"/>
          <w:szCs w:val="24"/>
          <w14:textFill>
            <w14:solidFill>
              <w14:schemeClr w14:val="tx1"/>
            </w14:solidFill>
          </w14:textFill>
        </w:rPr>
        <w:tab/>
      </w:r>
      <w:r>
        <w:rPr>
          <w:rFonts w:asciiTheme="minorEastAsia" w:hAnsiTheme="minorEastAsia" w:eastAsiaTheme="minorEastAsia"/>
          <w:color w:val="000000" w:themeColor="text1"/>
          <w:sz w:val="24"/>
          <w:szCs w:val="24"/>
          <w14:textFill>
            <w14:solidFill>
              <w14:schemeClr w14:val="tx1"/>
            </w14:solidFill>
          </w14:textFill>
        </w:rPr>
        <w:fldChar w:fldCharType="begin"/>
      </w:r>
      <w:r>
        <w:rPr>
          <w:rFonts w:asciiTheme="minorEastAsia" w:hAnsiTheme="minorEastAsia" w:eastAsiaTheme="minorEastAsia"/>
          <w:color w:val="000000" w:themeColor="text1"/>
          <w:sz w:val="24"/>
          <w:szCs w:val="24"/>
          <w14:textFill>
            <w14:solidFill>
              <w14:schemeClr w14:val="tx1"/>
            </w14:solidFill>
          </w14:textFill>
        </w:rPr>
        <w:instrText xml:space="preserve"> PAGEREF _Toc95997113 \h </w:instrText>
      </w:r>
      <w:r>
        <w:rPr>
          <w:rFonts w:asciiTheme="minorEastAsia" w:hAnsiTheme="minorEastAsia" w:eastAsiaTheme="minorEastAsia"/>
          <w:color w:val="000000" w:themeColor="text1"/>
          <w:sz w:val="24"/>
          <w:szCs w:val="24"/>
          <w14:textFill>
            <w14:solidFill>
              <w14:schemeClr w14:val="tx1"/>
            </w14:solidFill>
          </w14:textFill>
        </w:rPr>
        <w:fldChar w:fldCharType="separate"/>
      </w:r>
      <w:r>
        <w:rPr>
          <w:rFonts w:asciiTheme="minorEastAsia" w:hAnsiTheme="minorEastAsia" w:eastAsiaTheme="minorEastAsia"/>
          <w:color w:val="000000" w:themeColor="text1"/>
          <w:sz w:val="24"/>
          <w:szCs w:val="24"/>
          <w14:textFill>
            <w14:solidFill>
              <w14:schemeClr w14:val="tx1"/>
            </w14:solidFill>
          </w14:textFill>
        </w:rPr>
        <w:t>3</w:t>
      </w:r>
      <w:r>
        <w:rPr>
          <w:rFonts w:asciiTheme="minorEastAsia" w:hAnsiTheme="minorEastAsia" w:eastAsiaTheme="minorEastAsia"/>
          <w:color w:val="000000" w:themeColor="text1"/>
          <w:sz w:val="24"/>
          <w:szCs w:val="24"/>
          <w14:textFill>
            <w14:solidFill>
              <w14:schemeClr w14:val="tx1"/>
            </w14:solidFill>
          </w14:textFill>
        </w:rPr>
        <w:fldChar w:fldCharType="end"/>
      </w:r>
      <w:r>
        <w:rPr>
          <w:rFonts w:asciiTheme="minorEastAsia" w:hAnsiTheme="minorEastAsia" w:eastAsiaTheme="minorEastAsia"/>
          <w:color w:val="000000" w:themeColor="text1"/>
          <w:sz w:val="24"/>
          <w:szCs w:val="24"/>
          <w14:textFill>
            <w14:solidFill>
              <w14:schemeClr w14:val="tx1"/>
            </w14:solidFill>
          </w14:textFill>
        </w:rPr>
        <w:fldChar w:fldCharType="end"/>
      </w:r>
    </w:p>
    <w:p>
      <w:pPr>
        <w:pStyle w:val="15"/>
        <w:rPr>
          <w:rFonts w:asciiTheme="minorEastAsia" w:hAnsiTheme="minorEastAsia" w:eastAsiaTheme="minorEastAsia"/>
          <w:color w:val="000000" w:themeColor="text1"/>
          <w:sz w:val="24"/>
          <w:szCs w:val="24"/>
          <w14:textFill>
            <w14:solidFill>
              <w14:schemeClr w14:val="tx1"/>
            </w14:solidFill>
          </w14:textFill>
        </w:rPr>
      </w:pPr>
      <w:r>
        <w:fldChar w:fldCharType="begin"/>
      </w:r>
      <w:r>
        <w:instrText xml:space="preserve"> HYPERLINK \l "_Toc95997114" </w:instrText>
      </w:r>
      <w:r>
        <w:fldChar w:fldCharType="separate"/>
      </w:r>
      <w:r>
        <w:rPr>
          <w:rStyle w:val="23"/>
          <w:rFonts w:hint="eastAsia" w:asciiTheme="minorEastAsia" w:hAnsiTheme="minorEastAsia" w:eastAsiaTheme="minorEastAsia"/>
          <w:color w:val="000000" w:themeColor="text1"/>
          <w:sz w:val="24"/>
          <w:szCs w:val="24"/>
          <w14:textFill>
            <w14:solidFill>
              <w14:schemeClr w14:val="tx1"/>
            </w14:solidFill>
          </w14:textFill>
        </w:rPr>
        <w:t>第三部分</w:t>
      </w:r>
      <w:r>
        <w:rPr>
          <w:rStyle w:val="23"/>
          <w:rFonts w:asciiTheme="minorEastAsia" w:hAnsiTheme="minorEastAsia" w:eastAsiaTheme="minorEastAsia"/>
          <w:color w:val="000000" w:themeColor="text1"/>
          <w:sz w:val="24"/>
          <w:szCs w:val="24"/>
          <w14:textFill>
            <w14:solidFill>
              <w14:schemeClr w14:val="tx1"/>
            </w14:solidFill>
          </w14:textFill>
        </w:rPr>
        <w:t xml:space="preserve">  </w:t>
      </w:r>
      <w:r>
        <w:rPr>
          <w:rStyle w:val="23"/>
          <w:rFonts w:hint="eastAsia" w:asciiTheme="minorEastAsia" w:hAnsiTheme="minorEastAsia" w:eastAsiaTheme="minorEastAsia"/>
          <w:color w:val="000000" w:themeColor="text1"/>
          <w:sz w:val="24"/>
          <w:szCs w:val="24"/>
          <w14:textFill>
            <w14:solidFill>
              <w14:schemeClr w14:val="tx1"/>
            </w14:solidFill>
          </w14:textFill>
        </w:rPr>
        <w:t>基金的基</w:t>
      </w:r>
      <w:bookmarkStart w:id="24" w:name="_Hlt100649143"/>
      <w:bookmarkStart w:id="25" w:name="_Hlt100649142"/>
      <w:r>
        <w:rPr>
          <w:rStyle w:val="23"/>
          <w:rFonts w:hint="eastAsia" w:asciiTheme="minorEastAsia" w:hAnsiTheme="minorEastAsia" w:eastAsiaTheme="minorEastAsia"/>
          <w:color w:val="000000" w:themeColor="text1"/>
          <w:sz w:val="24"/>
          <w:szCs w:val="24"/>
          <w14:textFill>
            <w14:solidFill>
              <w14:schemeClr w14:val="tx1"/>
            </w14:solidFill>
          </w14:textFill>
        </w:rPr>
        <w:t>本</w:t>
      </w:r>
      <w:bookmarkEnd w:id="24"/>
      <w:bookmarkEnd w:id="25"/>
      <w:r>
        <w:rPr>
          <w:rStyle w:val="23"/>
          <w:rFonts w:hint="eastAsia" w:asciiTheme="minorEastAsia" w:hAnsiTheme="minorEastAsia" w:eastAsiaTheme="minorEastAsia"/>
          <w:color w:val="000000" w:themeColor="text1"/>
          <w:sz w:val="24"/>
          <w:szCs w:val="24"/>
          <w14:textFill>
            <w14:solidFill>
              <w14:schemeClr w14:val="tx1"/>
            </w14:solidFill>
          </w14:textFill>
        </w:rPr>
        <w:t>情况</w:t>
      </w:r>
      <w:r>
        <w:rPr>
          <w:rFonts w:asciiTheme="minorEastAsia" w:hAnsiTheme="minorEastAsia" w:eastAsiaTheme="minorEastAsia"/>
          <w:color w:val="000000" w:themeColor="text1"/>
          <w:sz w:val="24"/>
          <w:szCs w:val="24"/>
          <w14:textFill>
            <w14:solidFill>
              <w14:schemeClr w14:val="tx1"/>
            </w14:solidFill>
          </w14:textFill>
        </w:rPr>
        <w:tab/>
      </w:r>
      <w:r>
        <w:rPr>
          <w:rFonts w:asciiTheme="minorEastAsia" w:hAnsiTheme="minorEastAsia" w:eastAsiaTheme="minorEastAsia"/>
          <w:color w:val="000000" w:themeColor="text1"/>
          <w:sz w:val="24"/>
          <w:szCs w:val="24"/>
          <w14:textFill>
            <w14:solidFill>
              <w14:schemeClr w14:val="tx1"/>
            </w14:solidFill>
          </w14:textFill>
        </w:rPr>
        <w:fldChar w:fldCharType="begin"/>
      </w:r>
      <w:r>
        <w:rPr>
          <w:rFonts w:asciiTheme="minorEastAsia" w:hAnsiTheme="minorEastAsia" w:eastAsiaTheme="minorEastAsia"/>
          <w:color w:val="000000" w:themeColor="text1"/>
          <w:sz w:val="24"/>
          <w:szCs w:val="24"/>
          <w14:textFill>
            <w14:solidFill>
              <w14:schemeClr w14:val="tx1"/>
            </w14:solidFill>
          </w14:textFill>
        </w:rPr>
        <w:instrText xml:space="preserve"> PAGEREF _Toc95997114 \h </w:instrText>
      </w:r>
      <w:r>
        <w:rPr>
          <w:rFonts w:asciiTheme="minorEastAsia" w:hAnsiTheme="minorEastAsia" w:eastAsiaTheme="minorEastAsia"/>
          <w:color w:val="000000" w:themeColor="text1"/>
          <w:sz w:val="24"/>
          <w:szCs w:val="24"/>
          <w14:textFill>
            <w14:solidFill>
              <w14:schemeClr w14:val="tx1"/>
            </w14:solidFill>
          </w14:textFill>
        </w:rPr>
        <w:fldChar w:fldCharType="separate"/>
      </w:r>
      <w:r>
        <w:rPr>
          <w:rFonts w:asciiTheme="minorEastAsia" w:hAnsiTheme="minorEastAsia" w:eastAsiaTheme="minorEastAsia"/>
          <w:color w:val="000000" w:themeColor="text1"/>
          <w:sz w:val="24"/>
          <w:szCs w:val="24"/>
          <w14:textFill>
            <w14:solidFill>
              <w14:schemeClr w14:val="tx1"/>
            </w14:solidFill>
          </w14:textFill>
        </w:rPr>
        <w:t>9</w:t>
      </w:r>
      <w:r>
        <w:rPr>
          <w:rFonts w:asciiTheme="minorEastAsia" w:hAnsiTheme="minorEastAsia" w:eastAsiaTheme="minorEastAsia"/>
          <w:color w:val="000000" w:themeColor="text1"/>
          <w:sz w:val="24"/>
          <w:szCs w:val="24"/>
          <w14:textFill>
            <w14:solidFill>
              <w14:schemeClr w14:val="tx1"/>
            </w14:solidFill>
          </w14:textFill>
        </w:rPr>
        <w:fldChar w:fldCharType="end"/>
      </w:r>
      <w:r>
        <w:rPr>
          <w:rFonts w:asciiTheme="minorEastAsia" w:hAnsiTheme="minorEastAsia" w:eastAsiaTheme="minorEastAsia"/>
          <w:color w:val="000000" w:themeColor="text1"/>
          <w:sz w:val="24"/>
          <w:szCs w:val="24"/>
          <w14:textFill>
            <w14:solidFill>
              <w14:schemeClr w14:val="tx1"/>
            </w14:solidFill>
          </w14:textFill>
        </w:rPr>
        <w:fldChar w:fldCharType="end"/>
      </w:r>
    </w:p>
    <w:p>
      <w:pPr>
        <w:pStyle w:val="15"/>
        <w:rPr>
          <w:rFonts w:asciiTheme="minorEastAsia" w:hAnsiTheme="minorEastAsia" w:eastAsiaTheme="minorEastAsia"/>
          <w:color w:val="000000" w:themeColor="text1"/>
          <w:sz w:val="24"/>
          <w:szCs w:val="24"/>
          <w14:textFill>
            <w14:solidFill>
              <w14:schemeClr w14:val="tx1"/>
            </w14:solidFill>
          </w14:textFill>
        </w:rPr>
      </w:pPr>
      <w:r>
        <w:fldChar w:fldCharType="begin"/>
      </w:r>
      <w:r>
        <w:instrText xml:space="preserve"> HYPERLINK \l "_Toc95997115" </w:instrText>
      </w:r>
      <w:r>
        <w:fldChar w:fldCharType="separate"/>
      </w:r>
      <w:r>
        <w:rPr>
          <w:rStyle w:val="23"/>
          <w:rFonts w:hint="eastAsia" w:asciiTheme="minorEastAsia" w:hAnsiTheme="minorEastAsia" w:eastAsiaTheme="minorEastAsia"/>
          <w:color w:val="000000" w:themeColor="text1"/>
          <w:sz w:val="24"/>
          <w:szCs w:val="24"/>
          <w14:textFill>
            <w14:solidFill>
              <w14:schemeClr w14:val="tx1"/>
            </w14:solidFill>
          </w14:textFill>
        </w:rPr>
        <w:t>第四部分</w:t>
      </w:r>
      <w:r>
        <w:rPr>
          <w:rStyle w:val="23"/>
          <w:rFonts w:asciiTheme="minorEastAsia" w:hAnsiTheme="minorEastAsia" w:eastAsiaTheme="minorEastAsia"/>
          <w:color w:val="000000" w:themeColor="text1"/>
          <w:sz w:val="24"/>
          <w:szCs w:val="24"/>
          <w14:textFill>
            <w14:solidFill>
              <w14:schemeClr w14:val="tx1"/>
            </w14:solidFill>
          </w14:textFill>
        </w:rPr>
        <w:t xml:space="preserve">  </w:t>
      </w:r>
      <w:r>
        <w:rPr>
          <w:rStyle w:val="23"/>
          <w:rFonts w:hint="eastAsia" w:asciiTheme="minorEastAsia" w:hAnsiTheme="minorEastAsia" w:eastAsiaTheme="minorEastAsia"/>
          <w:color w:val="000000" w:themeColor="text1"/>
          <w:sz w:val="24"/>
          <w:szCs w:val="24"/>
          <w14:textFill>
            <w14:solidFill>
              <w14:schemeClr w14:val="tx1"/>
            </w14:solidFill>
          </w14:textFill>
        </w:rPr>
        <w:t>基金份额的发售</w:t>
      </w:r>
      <w:r>
        <w:rPr>
          <w:rFonts w:asciiTheme="minorEastAsia" w:hAnsiTheme="minorEastAsia" w:eastAsiaTheme="minorEastAsia"/>
          <w:color w:val="000000" w:themeColor="text1"/>
          <w:sz w:val="24"/>
          <w:szCs w:val="24"/>
          <w14:textFill>
            <w14:solidFill>
              <w14:schemeClr w14:val="tx1"/>
            </w14:solidFill>
          </w14:textFill>
        </w:rPr>
        <w:tab/>
      </w:r>
      <w:r>
        <w:rPr>
          <w:rFonts w:asciiTheme="minorEastAsia" w:hAnsiTheme="minorEastAsia" w:eastAsiaTheme="minorEastAsia"/>
          <w:color w:val="000000" w:themeColor="text1"/>
          <w:sz w:val="24"/>
          <w:szCs w:val="24"/>
          <w14:textFill>
            <w14:solidFill>
              <w14:schemeClr w14:val="tx1"/>
            </w14:solidFill>
          </w14:textFill>
        </w:rPr>
        <w:fldChar w:fldCharType="begin"/>
      </w:r>
      <w:r>
        <w:rPr>
          <w:rFonts w:asciiTheme="minorEastAsia" w:hAnsiTheme="minorEastAsia" w:eastAsiaTheme="minorEastAsia"/>
          <w:color w:val="000000" w:themeColor="text1"/>
          <w:sz w:val="24"/>
          <w:szCs w:val="24"/>
          <w14:textFill>
            <w14:solidFill>
              <w14:schemeClr w14:val="tx1"/>
            </w14:solidFill>
          </w14:textFill>
        </w:rPr>
        <w:instrText xml:space="preserve"> PAGEREF _Toc95997115 \h </w:instrText>
      </w:r>
      <w:r>
        <w:rPr>
          <w:rFonts w:asciiTheme="minorEastAsia" w:hAnsiTheme="minorEastAsia" w:eastAsiaTheme="minorEastAsia"/>
          <w:color w:val="000000" w:themeColor="text1"/>
          <w:sz w:val="24"/>
          <w:szCs w:val="24"/>
          <w14:textFill>
            <w14:solidFill>
              <w14:schemeClr w14:val="tx1"/>
            </w14:solidFill>
          </w14:textFill>
        </w:rPr>
        <w:fldChar w:fldCharType="separate"/>
      </w:r>
      <w:r>
        <w:rPr>
          <w:rFonts w:asciiTheme="minorEastAsia" w:hAnsiTheme="minorEastAsia" w:eastAsiaTheme="minorEastAsia"/>
          <w:color w:val="000000" w:themeColor="text1"/>
          <w:sz w:val="24"/>
          <w:szCs w:val="24"/>
          <w14:textFill>
            <w14:solidFill>
              <w14:schemeClr w14:val="tx1"/>
            </w14:solidFill>
          </w14:textFill>
        </w:rPr>
        <w:t>11</w:t>
      </w:r>
      <w:r>
        <w:rPr>
          <w:rFonts w:asciiTheme="minorEastAsia" w:hAnsiTheme="minorEastAsia" w:eastAsiaTheme="minorEastAsia"/>
          <w:color w:val="000000" w:themeColor="text1"/>
          <w:sz w:val="24"/>
          <w:szCs w:val="24"/>
          <w14:textFill>
            <w14:solidFill>
              <w14:schemeClr w14:val="tx1"/>
            </w14:solidFill>
          </w14:textFill>
        </w:rPr>
        <w:fldChar w:fldCharType="end"/>
      </w:r>
      <w:r>
        <w:rPr>
          <w:rFonts w:asciiTheme="minorEastAsia" w:hAnsiTheme="minorEastAsia" w:eastAsiaTheme="minorEastAsia"/>
          <w:color w:val="000000" w:themeColor="text1"/>
          <w:sz w:val="24"/>
          <w:szCs w:val="24"/>
          <w14:textFill>
            <w14:solidFill>
              <w14:schemeClr w14:val="tx1"/>
            </w14:solidFill>
          </w14:textFill>
        </w:rPr>
        <w:fldChar w:fldCharType="end"/>
      </w:r>
    </w:p>
    <w:p>
      <w:pPr>
        <w:pStyle w:val="15"/>
        <w:rPr>
          <w:rFonts w:asciiTheme="minorEastAsia" w:hAnsiTheme="minorEastAsia" w:eastAsiaTheme="minorEastAsia"/>
          <w:color w:val="000000" w:themeColor="text1"/>
          <w:sz w:val="24"/>
          <w:szCs w:val="24"/>
          <w14:textFill>
            <w14:solidFill>
              <w14:schemeClr w14:val="tx1"/>
            </w14:solidFill>
          </w14:textFill>
        </w:rPr>
      </w:pPr>
      <w:r>
        <w:fldChar w:fldCharType="begin"/>
      </w:r>
      <w:r>
        <w:instrText xml:space="preserve"> HYPERLINK \l "_Toc95997116" </w:instrText>
      </w:r>
      <w:r>
        <w:fldChar w:fldCharType="separate"/>
      </w:r>
      <w:r>
        <w:rPr>
          <w:rStyle w:val="23"/>
          <w:rFonts w:hint="eastAsia" w:asciiTheme="minorEastAsia" w:hAnsiTheme="minorEastAsia" w:eastAsiaTheme="minorEastAsia"/>
          <w:color w:val="000000" w:themeColor="text1"/>
          <w:sz w:val="24"/>
          <w:szCs w:val="24"/>
          <w14:textFill>
            <w14:solidFill>
              <w14:schemeClr w14:val="tx1"/>
            </w14:solidFill>
          </w14:textFill>
        </w:rPr>
        <w:t>第五部分</w:t>
      </w:r>
      <w:r>
        <w:rPr>
          <w:rStyle w:val="23"/>
          <w:rFonts w:asciiTheme="minorEastAsia" w:hAnsiTheme="minorEastAsia" w:eastAsiaTheme="minorEastAsia"/>
          <w:color w:val="000000" w:themeColor="text1"/>
          <w:sz w:val="24"/>
          <w:szCs w:val="24"/>
          <w14:textFill>
            <w14:solidFill>
              <w14:schemeClr w14:val="tx1"/>
            </w14:solidFill>
          </w14:textFill>
        </w:rPr>
        <w:t xml:space="preserve">  </w:t>
      </w:r>
      <w:r>
        <w:rPr>
          <w:rStyle w:val="23"/>
          <w:rFonts w:hint="eastAsia" w:asciiTheme="minorEastAsia" w:hAnsiTheme="minorEastAsia" w:eastAsiaTheme="minorEastAsia"/>
          <w:color w:val="000000" w:themeColor="text1"/>
          <w:sz w:val="24"/>
          <w:szCs w:val="24"/>
          <w14:textFill>
            <w14:solidFill>
              <w14:schemeClr w14:val="tx1"/>
            </w14:solidFill>
          </w14:textFill>
        </w:rPr>
        <w:t>基金备案</w:t>
      </w:r>
      <w:r>
        <w:rPr>
          <w:rFonts w:asciiTheme="minorEastAsia" w:hAnsiTheme="minorEastAsia" w:eastAsiaTheme="minorEastAsia"/>
          <w:color w:val="000000" w:themeColor="text1"/>
          <w:sz w:val="24"/>
          <w:szCs w:val="24"/>
          <w14:textFill>
            <w14:solidFill>
              <w14:schemeClr w14:val="tx1"/>
            </w14:solidFill>
          </w14:textFill>
        </w:rPr>
        <w:tab/>
      </w:r>
      <w:r>
        <w:rPr>
          <w:rFonts w:asciiTheme="minorEastAsia" w:hAnsiTheme="minorEastAsia" w:eastAsiaTheme="minorEastAsia"/>
          <w:color w:val="000000" w:themeColor="text1"/>
          <w:sz w:val="24"/>
          <w:szCs w:val="24"/>
          <w14:textFill>
            <w14:solidFill>
              <w14:schemeClr w14:val="tx1"/>
            </w14:solidFill>
          </w14:textFill>
        </w:rPr>
        <w:fldChar w:fldCharType="begin"/>
      </w:r>
      <w:r>
        <w:rPr>
          <w:rFonts w:asciiTheme="minorEastAsia" w:hAnsiTheme="minorEastAsia" w:eastAsiaTheme="minorEastAsia"/>
          <w:color w:val="000000" w:themeColor="text1"/>
          <w:sz w:val="24"/>
          <w:szCs w:val="24"/>
          <w14:textFill>
            <w14:solidFill>
              <w14:schemeClr w14:val="tx1"/>
            </w14:solidFill>
          </w14:textFill>
        </w:rPr>
        <w:instrText xml:space="preserve"> PAGEREF _Toc95997116 \h </w:instrText>
      </w:r>
      <w:r>
        <w:rPr>
          <w:rFonts w:asciiTheme="minorEastAsia" w:hAnsiTheme="minorEastAsia" w:eastAsiaTheme="minorEastAsia"/>
          <w:color w:val="000000" w:themeColor="text1"/>
          <w:sz w:val="24"/>
          <w:szCs w:val="24"/>
          <w14:textFill>
            <w14:solidFill>
              <w14:schemeClr w14:val="tx1"/>
            </w14:solidFill>
          </w14:textFill>
        </w:rPr>
        <w:fldChar w:fldCharType="separate"/>
      </w:r>
      <w:r>
        <w:rPr>
          <w:rFonts w:asciiTheme="minorEastAsia" w:hAnsiTheme="minorEastAsia" w:eastAsiaTheme="minorEastAsia"/>
          <w:color w:val="000000" w:themeColor="text1"/>
          <w:sz w:val="24"/>
          <w:szCs w:val="24"/>
          <w14:textFill>
            <w14:solidFill>
              <w14:schemeClr w14:val="tx1"/>
            </w14:solidFill>
          </w14:textFill>
        </w:rPr>
        <w:t>13</w:t>
      </w:r>
      <w:r>
        <w:rPr>
          <w:rFonts w:asciiTheme="minorEastAsia" w:hAnsiTheme="minorEastAsia" w:eastAsiaTheme="minorEastAsia"/>
          <w:color w:val="000000" w:themeColor="text1"/>
          <w:sz w:val="24"/>
          <w:szCs w:val="24"/>
          <w14:textFill>
            <w14:solidFill>
              <w14:schemeClr w14:val="tx1"/>
            </w14:solidFill>
          </w14:textFill>
        </w:rPr>
        <w:fldChar w:fldCharType="end"/>
      </w:r>
      <w:r>
        <w:rPr>
          <w:rFonts w:asciiTheme="minorEastAsia" w:hAnsiTheme="minorEastAsia" w:eastAsiaTheme="minorEastAsia"/>
          <w:color w:val="000000" w:themeColor="text1"/>
          <w:sz w:val="24"/>
          <w:szCs w:val="24"/>
          <w14:textFill>
            <w14:solidFill>
              <w14:schemeClr w14:val="tx1"/>
            </w14:solidFill>
          </w14:textFill>
        </w:rPr>
        <w:fldChar w:fldCharType="end"/>
      </w:r>
    </w:p>
    <w:p>
      <w:pPr>
        <w:pStyle w:val="15"/>
        <w:rPr>
          <w:rFonts w:asciiTheme="minorEastAsia" w:hAnsiTheme="minorEastAsia" w:eastAsiaTheme="minorEastAsia"/>
          <w:color w:val="000000" w:themeColor="text1"/>
          <w:sz w:val="24"/>
          <w:szCs w:val="24"/>
          <w14:textFill>
            <w14:solidFill>
              <w14:schemeClr w14:val="tx1"/>
            </w14:solidFill>
          </w14:textFill>
        </w:rPr>
      </w:pPr>
      <w:r>
        <w:fldChar w:fldCharType="begin"/>
      </w:r>
      <w:r>
        <w:instrText xml:space="preserve"> HYPERLINK \l "_Toc95997117" </w:instrText>
      </w:r>
      <w:r>
        <w:fldChar w:fldCharType="separate"/>
      </w:r>
      <w:r>
        <w:rPr>
          <w:rStyle w:val="23"/>
          <w:rFonts w:hint="eastAsia" w:asciiTheme="minorEastAsia" w:hAnsiTheme="minorEastAsia" w:eastAsiaTheme="minorEastAsia"/>
          <w:color w:val="000000" w:themeColor="text1"/>
          <w:sz w:val="24"/>
          <w:szCs w:val="24"/>
          <w14:textFill>
            <w14:solidFill>
              <w14:schemeClr w14:val="tx1"/>
            </w14:solidFill>
          </w14:textFill>
        </w:rPr>
        <w:t>第六部分</w:t>
      </w:r>
      <w:r>
        <w:rPr>
          <w:rStyle w:val="23"/>
          <w:rFonts w:asciiTheme="minorEastAsia" w:hAnsiTheme="minorEastAsia" w:eastAsiaTheme="minorEastAsia"/>
          <w:color w:val="000000" w:themeColor="text1"/>
          <w:sz w:val="24"/>
          <w:szCs w:val="24"/>
          <w14:textFill>
            <w14:solidFill>
              <w14:schemeClr w14:val="tx1"/>
            </w14:solidFill>
          </w14:textFill>
        </w:rPr>
        <w:t xml:space="preserve">  </w:t>
      </w:r>
      <w:r>
        <w:rPr>
          <w:rStyle w:val="23"/>
          <w:rFonts w:hint="eastAsia" w:asciiTheme="minorEastAsia" w:hAnsiTheme="minorEastAsia" w:eastAsiaTheme="minorEastAsia"/>
          <w:color w:val="000000" w:themeColor="text1"/>
          <w:sz w:val="24"/>
          <w:szCs w:val="24"/>
          <w14:textFill>
            <w14:solidFill>
              <w14:schemeClr w14:val="tx1"/>
            </w14:solidFill>
          </w14:textFill>
        </w:rPr>
        <w:t>基金份额的申购与赎回</w:t>
      </w:r>
      <w:r>
        <w:rPr>
          <w:rFonts w:asciiTheme="minorEastAsia" w:hAnsiTheme="minorEastAsia" w:eastAsiaTheme="minorEastAsia"/>
          <w:color w:val="000000" w:themeColor="text1"/>
          <w:sz w:val="24"/>
          <w:szCs w:val="24"/>
          <w14:textFill>
            <w14:solidFill>
              <w14:schemeClr w14:val="tx1"/>
            </w14:solidFill>
          </w14:textFill>
        </w:rPr>
        <w:tab/>
      </w:r>
      <w:r>
        <w:rPr>
          <w:rFonts w:asciiTheme="minorEastAsia" w:hAnsiTheme="minorEastAsia" w:eastAsiaTheme="minorEastAsia"/>
          <w:color w:val="000000" w:themeColor="text1"/>
          <w:sz w:val="24"/>
          <w:szCs w:val="24"/>
          <w14:textFill>
            <w14:solidFill>
              <w14:schemeClr w14:val="tx1"/>
            </w14:solidFill>
          </w14:textFill>
        </w:rPr>
        <w:fldChar w:fldCharType="begin"/>
      </w:r>
      <w:r>
        <w:rPr>
          <w:rFonts w:asciiTheme="minorEastAsia" w:hAnsiTheme="minorEastAsia" w:eastAsiaTheme="minorEastAsia"/>
          <w:color w:val="000000" w:themeColor="text1"/>
          <w:sz w:val="24"/>
          <w:szCs w:val="24"/>
          <w14:textFill>
            <w14:solidFill>
              <w14:schemeClr w14:val="tx1"/>
            </w14:solidFill>
          </w14:textFill>
        </w:rPr>
        <w:instrText xml:space="preserve"> PAGEREF _Toc95997117 \h </w:instrText>
      </w:r>
      <w:r>
        <w:rPr>
          <w:rFonts w:asciiTheme="minorEastAsia" w:hAnsiTheme="minorEastAsia" w:eastAsiaTheme="minorEastAsia"/>
          <w:color w:val="000000" w:themeColor="text1"/>
          <w:sz w:val="24"/>
          <w:szCs w:val="24"/>
          <w14:textFill>
            <w14:solidFill>
              <w14:schemeClr w14:val="tx1"/>
            </w14:solidFill>
          </w14:textFill>
        </w:rPr>
        <w:fldChar w:fldCharType="separate"/>
      </w:r>
      <w:r>
        <w:rPr>
          <w:rFonts w:asciiTheme="minorEastAsia" w:hAnsiTheme="minorEastAsia" w:eastAsiaTheme="minorEastAsia"/>
          <w:color w:val="000000" w:themeColor="text1"/>
          <w:sz w:val="24"/>
          <w:szCs w:val="24"/>
          <w14:textFill>
            <w14:solidFill>
              <w14:schemeClr w14:val="tx1"/>
            </w14:solidFill>
          </w14:textFill>
        </w:rPr>
        <w:t>14</w:t>
      </w:r>
      <w:r>
        <w:rPr>
          <w:rFonts w:asciiTheme="minorEastAsia" w:hAnsiTheme="minorEastAsia" w:eastAsiaTheme="minorEastAsia"/>
          <w:color w:val="000000" w:themeColor="text1"/>
          <w:sz w:val="24"/>
          <w:szCs w:val="24"/>
          <w14:textFill>
            <w14:solidFill>
              <w14:schemeClr w14:val="tx1"/>
            </w14:solidFill>
          </w14:textFill>
        </w:rPr>
        <w:fldChar w:fldCharType="end"/>
      </w:r>
      <w:r>
        <w:rPr>
          <w:rFonts w:asciiTheme="minorEastAsia" w:hAnsiTheme="minorEastAsia" w:eastAsiaTheme="minorEastAsia"/>
          <w:color w:val="000000" w:themeColor="text1"/>
          <w:sz w:val="24"/>
          <w:szCs w:val="24"/>
          <w14:textFill>
            <w14:solidFill>
              <w14:schemeClr w14:val="tx1"/>
            </w14:solidFill>
          </w14:textFill>
        </w:rPr>
        <w:fldChar w:fldCharType="end"/>
      </w:r>
    </w:p>
    <w:p>
      <w:pPr>
        <w:pStyle w:val="15"/>
        <w:rPr>
          <w:rFonts w:asciiTheme="minorEastAsia" w:hAnsiTheme="minorEastAsia" w:eastAsiaTheme="minorEastAsia"/>
          <w:color w:val="000000" w:themeColor="text1"/>
          <w:sz w:val="24"/>
          <w:szCs w:val="24"/>
          <w14:textFill>
            <w14:solidFill>
              <w14:schemeClr w14:val="tx1"/>
            </w14:solidFill>
          </w14:textFill>
        </w:rPr>
      </w:pPr>
      <w:r>
        <w:fldChar w:fldCharType="begin"/>
      </w:r>
      <w:r>
        <w:instrText xml:space="preserve"> HYPERLINK \l "_Toc95997118" </w:instrText>
      </w:r>
      <w:r>
        <w:fldChar w:fldCharType="separate"/>
      </w:r>
      <w:r>
        <w:rPr>
          <w:rStyle w:val="23"/>
          <w:rFonts w:hint="eastAsia" w:asciiTheme="minorEastAsia" w:hAnsiTheme="minorEastAsia" w:eastAsiaTheme="minorEastAsia"/>
          <w:color w:val="000000" w:themeColor="text1"/>
          <w:sz w:val="24"/>
          <w:szCs w:val="24"/>
          <w14:textFill>
            <w14:solidFill>
              <w14:schemeClr w14:val="tx1"/>
            </w14:solidFill>
          </w14:textFill>
        </w:rPr>
        <w:t>第七部分</w:t>
      </w:r>
      <w:r>
        <w:rPr>
          <w:rStyle w:val="23"/>
          <w:rFonts w:asciiTheme="minorEastAsia" w:hAnsiTheme="minorEastAsia" w:eastAsiaTheme="minorEastAsia"/>
          <w:color w:val="000000" w:themeColor="text1"/>
          <w:sz w:val="24"/>
          <w:szCs w:val="24"/>
          <w14:textFill>
            <w14:solidFill>
              <w14:schemeClr w14:val="tx1"/>
            </w14:solidFill>
          </w14:textFill>
        </w:rPr>
        <w:t xml:space="preserve">  </w:t>
      </w:r>
      <w:r>
        <w:rPr>
          <w:rStyle w:val="23"/>
          <w:rFonts w:hint="eastAsia" w:asciiTheme="minorEastAsia" w:hAnsiTheme="minorEastAsia" w:eastAsiaTheme="minorEastAsia"/>
          <w:color w:val="000000" w:themeColor="text1"/>
          <w:sz w:val="24"/>
          <w:szCs w:val="24"/>
          <w14:textFill>
            <w14:solidFill>
              <w14:schemeClr w14:val="tx1"/>
            </w14:solidFill>
          </w14:textFill>
        </w:rPr>
        <w:t>基金合同当事人及权利义务</w:t>
      </w:r>
      <w:r>
        <w:rPr>
          <w:rFonts w:asciiTheme="minorEastAsia" w:hAnsiTheme="minorEastAsia" w:eastAsiaTheme="minorEastAsia"/>
          <w:color w:val="000000" w:themeColor="text1"/>
          <w:sz w:val="24"/>
          <w:szCs w:val="24"/>
          <w14:textFill>
            <w14:solidFill>
              <w14:schemeClr w14:val="tx1"/>
            </w14:solidFill>
          </w14:textFill>
        </w:rPr>
        <w:tab/>
      </w:r>
      <w:r>
        <w:rPr>
          <w:rFonts w:asciiTheme="minorEastAsia" w:hAnsiTheme="minorEastAsia" w:eastAsiaTheme="minorEastAsia"/>
          <w:color w:val="000000" w:themeColor="text1"/>
          <w:sz w:val="24"/>
          <w:szCs w:val="24"/>
          <w14:textFill>
            <w14:solidFill>
              <w14:schemeClr w14:val="tx1"/>
            </w14:solidFill>
          </w14:textFill>
        </w:rPr>
        <w:fldChar w:fldCharType="begin"/>
      </w:r>
      <w:r>
        <w:rPr>
          <w:rFonts w:asciiTheme="minorEastAsia" w:hAnsiTheme="minorEastAsia" w:eastAsiaTheme="minorEastAsia"/>
          <w:color w:val="000000" w:themeColor="text1"/>
          <w:sz w:val="24"/>
          <w:szCs w:val="24"/>
          <w14:textFill>
            <w14:solidFill>
              <w14:schemeClr w14:val="tx1"/>
            </w14:solidFill>
          </w14:textFill>
        </w:rPr>
        <w:instrText xml:space="preserve"> PAGEREF _Toc95997118 \h </w:instrText>
      </w:r>
      <w:r>
        <w:rPr>
          <w:rFonts w:asciiTheme="minorEastAsia" w:hAnsiTheme="minorEastAsia" w:eastAsiaTheme="minorEastAsia"/>
          <w:color w:val="000000" w:themeColor="text1"/>
          <w:sz w:val="24"/>
          <w:szCs w:val="24"/>
          <w14:textFill>
            <w14:solidFill>
              <w14:schemeClr w14:val="tx1"/>
            </w14:solidFill>
          </w14:textFill>
        </w:rPr>
        <w:fldChar w:fldCharType="separate"/>
      </w:r>
      <w:r>
        <w:rPr>
          <w:rFonts w:asciiTheme="minorEastAsia" w:hAnsiTheme="minorEastAsia" w:eastAsiaTheme="minorEastAsia"/>
          <w:color w:val="000000" w:themeColor="text1"/>
          <w:sz w:val="24"/>
          <w:szCs w:val="24"/>
          <w14:textFill>
            <w14:solidFill>
              <w14:schemeClr w14:val="tx1"/>
            </w14:solidFill>
          </w14:textFill>
        </w:rPr>
        <w:t>23</w:t>
      </w:r>
      <w:r>
        <w:rPr>
          <w:rFonts w:asciiTheme="minorEastAsia" w:hAnsiTheme="minorEastAsia" w:eastAsiaTheme="minorEastAsia"/>
          <w:color w:val="000000" w:themeColor="text1"/>
          <w:sz w:val="24"/>
          <w:szCs w:val="24"/>
          <w14:textFill>
            <w14:solidFill>
              <w14:schemeClr w14:val="tx1"/>
            </w14:solidFill>
          </w14:textFill>
        </w:rPr>
        <w:fldChar w:fldCharType="end"/>
      </w:r>
      <w:r>
        <w:rPr>
          <w:rFonts w:asciiTheme="minorEastAsia" w:hAnsiTheme="minorEastAsia" w:eastAsiaTheme="minorEastAsia"/>
          <w:color w:val="000000" w:themeColor="text1"/>
          <w:sz w:val="24"/>
          <w:szCs w:val="24"/>
          <w14:textFill>
            <w14:solidFill>
              <w14:schemeClr w14:val="tx1"/>
            </w14:solidFill>
          </w14:textFill>
        </w:rPr>
        <w:fldChar w:fldCharType="end"/>
      </w:r>
    </w:p>
    <w:p>
      <w:pPr>
        <w:pStyle w:val="15"/>
        <w:rPr>
          <w:rFonts w:asciiTheme="minorEastAsia" w:hAnsiTheme="minorEastAsia" w:eastAsiaTheme="minorEastAsia"/>
          <w:color w:val="000000" w:themeColor="text1"/>
          <w:sz w:val="24"/>
          <w:szCs w:val="24"/>
          <w14:textFill>
            <w14:solidFill>
              <w14:schemeClr w14:val="tx1"/>
            </w14:solidFill>
          </w14:textFill>
        </w:rPr>
      </w:pPr>
      <w:r>
        <w:fldChar w:fldCharType="begin"/>
      </w:r>
      <w:r>
        <w:instrText xml:space="preserve"> HYPERLINK \l "_Toc95997119" </w:instrText>
      </w:r>
      <w:r>
        <w:fldChar w:fldCharType="separate"/>
      </w:r>
      <w:r>
        <w:rPr>
          <w:rStyle w:val="23"/>
          <w:rFonts w:hint="eastAsia" w:asciiTheme="minorEastAsia" w:hAnsiTheme="minorEastAsia" w:eastAsiaTheme="minorEastAsia"/>
          <w:color w:val="000000" w:themeColor="text1"/>
          <w:sz w:val="24"/>
          <w:szCs w:val="24"/>
          <w14:textFill>
            <w14:solidFill>
              <w14:schemeClr w14:val="tx1"/>
            </w14:solidFill>
          </w14:textFill>
        </w:rPr>
        <w:t>第八部分</w:t>
      </w:r>
      <w:r>
        <w:rPr>
          <w:rStyle w:val="23"/>
          <w:rFonts w:asciiTheme="minorEastAsia" w:hAnsiTheme="minorEastAsia" w:eastAsiaTheme="minorEastAsia"/>
          <w:color w:val="000000" w:themeColor="text1"/>
          <w:sz w:val="24"/>
          <w:szCs w:val="24"/>
          <w14:textFill>
            <w14:solidFill>
              <w14:schemeClr w14:val="tx1"/>
            </w14:solidFill>
          </w14:textFill>
        </w:rPr>
        <w:t xml:space="preserve">  </w:t>
      </w:r>
      <w:r>
        <w:rPr>
          <w:rStyle w:val="23"/>
          <w:rFonts w:hint="eastAsia" w:asciiTheme="minorEastAsia" w:hAnsiTheme="minorEastAsia" w:eastAsiaTheme="minorEastAsia"/>
          <w:color w:val="000000" w:themeColor="text1"/>
          <w:sz w:val="24"/>
          <w:szCs w:val="24"/>
          <w14:textFill>
            <w14:solidFill>
              <w14:schemeClr w14:val="tx1"/>
            </w14:solidFill>
          </w14:textFill>
        </w:rPr>
        <w:t>基金份额持有人大会</w:t>
      </w:r>
      <w:r>
        <w:rPr>
          <w:rFonts w:asciiTheme="minorEastAsia" w:hAnsiTheme="minorEastAsia" w:eastAsiaTheme="minorEastAsia"/>
          <w:color w:val="000000" w:themeColor="text1"/>
          <w:sz w:val="24"/>
          <w:szCs w:val="24"/>
          <w14:textFill>
            <w14:solidFill>
              <w14:schemeClr w14:val="tx1"/>
            </w14:solidFill>
          </w14:textFill>
        </w:rPr>
        <w:tab/>
      </w:r>
      <w:r>
        <w:rPr>
          <w:rFonts w:asciiTheme="minorEastAsia" w:hAnsiTheme="minorEastAsia" w:eastAsiaTheme="minorEastAsia"/>
          <w:color w:val="000000" w:themeColor="text1"/>
          <w:sz w:val="24"/>
          <w:szCs w:val="24"/>
          <w14:textFill>
            <w14:solidFill>
              <w14:schemeClr w14:val="tx1"/>
            </w14:solidFill>
          </w14:textFill>
        </w:rPr>
        <w:fldChar w:fldCharType="begin"/>
      </w:r>
      <w:r>
        <w:rPr>
          <w:rFonts w:asciiTheme="minorEastAsia" w:hAnsiTheme="minorEastAsia" w:eastAsiaTheme="minorEastAsia"/>
          <w:color w:val="000000" w:themeColor="text1"/>
          <w:sz w:val="24"/>
          <w:szCs w:val="24"/>
          <w14:textFill>
            <w14:solidFill>
              <w14:schemeClr w14:val="tx1"/>
            </w14:solidFill>
          </w14:textFill>
        </w:rPr>
        <w:instrText xml:space="preserve"> PAGEREF _Toc95997119 \h </w:instrText>
      </w:r>
      <w:r>
        <w:rPr>
          <w:rFonts w:asciiTheme="minorEastAsia" w:hAnsiTheme="minorEastAsia" w:eastAsiaTheme="minorEastAsia"/>
          <w:color w:val="000000" w:themeColor="text1"/>
          <w:sz w:val="24"/>
          <w:szCs w:val="24"/>
          <w14:textFill>
            <w14:solidFill>
              <w14:schemeClr w14:val="tx1"/>
            </w14:solidFill>
          </w14:textFill>
        </w:rPr>
        <w:fldChar w:fldCharType="separate"/>
      </w:r>
      <w:r>
        <w:rPr>
          <w:rFonts w:asciiTheme="minorEastAsia" w:hAnsiTheme="minorEastAsia" w:eastAsiaTheme="minorEastAsia"/>
          <w:color w:val="000000" w:themeColor="text1"/>
          <w:sz w:val="24"/>
          <w:szCs w:val="24"/>
          <w14:textFill>
            <w14:solidFill>
              <w14:schemeClr w14:val="tx1"/>
            </w14:solidFill>
          </w14:textFill>
        </w:rPr>
        <w:t>30</w:t>
      </w:r>
      <w:r>
        <w:rPr>
          <w:rFonts w:asciiTheme="minorEastAsia" w:hAnsiTheme="minorEastAsia" w:eastAsiaTheme="minorEastAsia"/>
          <w:color w:val="000000" w:themeColor="text1"/>
          <w:sz w:val="24"/>
          <w:szCs w:val="24"/>
          <w14:textFill>
            <w14:solidFill>
              <w14:schemeClr w14:val="tx1"/>
            </w14:solidFill>
          </w14:textFill>
        </w:rPr>
        <w:fldChar w:fldCharType="end"/>
      </w:r>
      <w:r>
        <w:rPr>
          <w:rFonts w:asciiTheme="minorEastAsia" w:hAnsiTheme="minorEastAsia" w:eastAsiaTheme="minorEastAsia"/>
          <w:color w:val="000000" w:themeColor="text1"/>
          <w:sz w:val="24"/>
          <w:szCs w:val="24"/>
          <w14:textFill>
            <w14:solidFill>
              <w14:schemeClr w14:val="tx1"/>
            </w14:solidFill>
          </w14:textFill>
        </w:rPr>
        <w:fldChar w:fldCharType="end"/>
      </w:r>
    </w:p>
    <w:p>
      <w:pPr>
        <w:pStyle w:val="15"/>
        <w:rPr>
          <w:rFonts w:asciiTheme="minorEastAsia" w:hAnsiTheme="minorEastAsia" w:eastAsiaTheme="minorEastAsia"/>
          <w:color w:val="000000" w:themeColor="text1"/>
          <w:sz w:val="24"/>
          <w:szCs w:val="24"/>
          <w14:textFill>
            <w14:solidFill>
              <w14:schemeClr w14:val="tx1"/>
            </w14:solidFill>
          </w14:textFill>
        </w:rPr>
      </w:pPr>
      <w:r>
        <w:fldChar w:fldCharType="begin"/>
      </w:r>
      <w:r>
        <w:instrText xml:space="preserve"> HYPERLINK \l "_Toc95997120" </w:instrText>
      </w:r>
      <w:r>
        <w:fldChar w:fldCharType="separate"/>
      </w:r>
      <w:r>
        <w:rPr>
          <w:rStyle w:val="23"/>
          <w:rFonts w:hint="eastAsia" w:asciiTheme="minorEastAsia" w:hAnsiTheme="minorEastAsia" w:eastAsiaTheme="minorEastAsia"/>
          <w:color w:val="000000" w:themeColor="text1"/>
          <w:sz w:val="24"/>
          <w:szCs w:val="24"/>
          <w14:textFill>
            <w14:solidFill>
              <w14:schemeClr w14:val="tx1"/>
            </w14:solidFill>
          </w14:textFill>
        </w:rPr>
        <w:t>第九部分</w:t>
      </w:r>
      <w:r>
        <w:rPr>
          <w:rStyle w:val="23"/>
          <w:rFonts w:asciiTheme="minorEastAsia" w:hAnsiTheme="minorEastAsia" w:eastAsiaTheme="minorEastAsia"/>
          <w:color w:val="000000" w:themeColor="text1"/>
          <w:sz w:val="24"/>
          <w:szCs w:val="24"/>
          <w14:textFill>
            <w14:solidFill>
              <w14:schemeClr w14:val="tx1"/>
            </w14:solidFill>
          </w14:textFill>
        </w:rPr>
        <w:t xml:space="preserve">  </w:t>
      </w:r>
      <w:r>
        <w:rPr>
          <w:rStyle w:val="23"/>
          <w:rFonts w:hint="eastAsia" w:asciiTheme="minorEastAsia" w:hAnsiTheme="minorEastAsia" w:eastAsiaTheme="minorEastAsia"/>
          <w:color w:val="000000" w:themeColor="text1"/>
          <w:sz w:val="24"/>
          <w:szCs w:val="24"/>
          <w14:textFill>
            <w14:solidFill>
              <w14:schemeClr w14:val="tx1"/>
            </w14:solidFill>
          </w14:textFill>
        </w:rPr>
        <w:t>基金管理人、基金托管人的更换条件和程序</w:t>
      </w:r>
      <w:r>
        <w:rPr>
          <w:rFonts w:asciiTheme="minorEastAsia" w:hAnsiTheme="minorEastAsia" w:eastAsiaTheme="minorEastAsia"/>
          <w:color w:val="000000" w:themeColor="text1"/>
          <w:sz w:val="24"/>
          <w:szCs w:val="24"/>
          <w14:textFill>
            <w14:solidFill>
              <w14:schemeClr w14:val="tx1"/>
            </w14:solidFill>
          </w14:textFill>
        </w:rPr>
        <w:tab/>
      </w:r>
      <w:r>
        <w:rPr>
          <w:rFonts w:asciiTheme="minorEastAsia" w:hAnsiTheme="minorEastAsia" w:eastAsiaTheme="minorEastAsia"/>
          <w:color w:val="000000" w:themeColor="text1"/>
          <w:sz w:val="24"/>
          <w:szCs w:val="24"/>
          <w14:textFill>
            <w14:solidFill>
              <w14:schemeClr w14:val="tx1"/>
            </w14:solidFill>
          </w14:textFill>
        </w:rPr>
        <w:fldChar w:fldCharType="begin"/>
      </w:r>
      <w:r>
        <w:rPr>
          <w:rFonts w:asciiTheme="minorEastAsia" w:hAnsiTheme="minorEastAsia" w:eastAsiaTheme="minorEastAsia"/>
          <w:color w:val="000000" w:themeColor="text1"/>
          <w:sz w:val="24"/>
          <w:szCs w:val="24"/>
          <w14:textFill>
            <w14:solidFill>
              <w14:schemeClr w14:val="tx1"/>
            </w14:solidFill>
          </w14:textFill>
        </w:rPr>
        <w:instrText xml:space="preserve"> PAGEREF _Toc95997120 \h </w:instrText>
      </w:r>
      <w:r>
        <w:rPr>
          <w:rFonts w:asciiTheme="minorEastAsia" w:hAnsiTheme="minorEastAsia" w:eastAsiaTheme="minorEastAsia"/>
          <w:color w:val="000000" w:themeColor="text1"/>
          <w:sz w:val="24"/>
          <w:szCs w:val="24"/>
          <w14:textFill>
            <w14:solidFill>
              <w14:schemeClr w14:val="tx1"/>
            </w14:solidFill>
          </w14:textFill>
        </w:rPr>
        <w:fldChar w:fldCharType="separate"/>
      </w:r>
      <w:r>
        <w:rPr>
          <w:rFonts w:asciiTheme="minorEastAsia" w:hAnsiTheme="minorEastAsia" w:eastAsiaTheme="minorEastAsia"/>
          <w:color w:val="000000" w:themeColor="text1"/>
          <w:sz w:val="24"/>
          <w:szCs w:val="24"/>
          <w14:textFill>
            <w14:solidFill>
              <w14:schemeClr w14:val="tx1"/>
            </w14:solidFill>
          </w14:textFill>
        </w:rPr>
        <w:t>39</w:t>
      </w:r>
      <w:r>
        <w:rPr>
          <w:rFonts w:asciiTheme="minorEastAsia" w:hAnsiTheme="minorEastAsia" w:eastAsiaTheme="minorEastAsia"/>
          <w:color w:val="000000" w:themeColor="text1"/>
          <w:sz w:val="24"/>
          <w:szCs w:val="24"/>
          <w14:textFill>
            <w14:solidFill>
              <w14:schemeClr w14:val="tx1"/>
            </w14:solidFill>
          </w14:textFill>
        </w:rPr>
        <w:fldChar w:fldCharType="end"/>
      </w:r>
      <w:r>
        <w:rPr>
          <w:rFonts w:asciiTheme="minorEastAsia" w:hAnsiTheme="minorEastAsia" w:eastAsiaTheme="minorEastAsia"/>
          <w:color w:val="000000" w:themeColor="text1"/>
          <w:sz w:val="24"/>
          <w:szCs w:val="24"/>
          <w14:textFill>
            <w14:solidFill>
              <w14:schemeClr w14:val="tx1"/>
            </w14:solidFill>
          </w14:textFill>
        </w:rPr>
        <w:fldChar w:fldCharType="end"/>
      </w:r>
    </w:p>
    <w:p>
      <w:pPr>
        <w:pStyle w:val="15"/>
        <w:rPr>
          <w:rFonts w:asciiTheme="minorEastAsia" w:hAnsiTheme="minorEastAsia" w:eastAsiaTheme="minorEastAsia"/>
          <w:color w:val="000000" w:themeColor="text1"/>
          <w:sz w:val="24"/>
          <w:szCs w:val="24"/>
          <w14:textFill>
            <w14:solidFill>
              <w14:schemeClr w14:val="tx1"/>
            </w14:solidFill>
          </w14:textFill>
        </w:rPr>
      </w:pPr>
      <w:r>
        <w:fldChar w:fldCharType="begin"/>
      </w:r>
      <w:r>
        <w:instrText xml:space="preserve"> HYPERLINK \l "_Toc95997121" </w:instrText>
      </w:r>
      <w:r>
        <w:fldChar w:fldCharType="separate"/>
      </w:r>
      <w:r>
        <w:rPr>
          <w:rStyle w:val="23"/>
          <w:rFonts w:hint="eastAsia" w:asciiTheme="minorEastAsia" w:hAnsiTheme="minorEastAsia" w:eastAsiaTheme="minorEastAsia"/>
          <w:color w:val="000000" w:themeColor="text1"/>
          <w:sz w:val="24"/>
          <w:szCs w:val="24"/>
          <w14:textFill>
            <w14:solidFill>
              <w14:schemeClr w14:val="tx1"/>
            </w14:solidFill>
          </w14:textFill>
        </w:rPr>
        <w:t>第十部分</w:t>
      </w:r>
      <w:r>
        <w:rPr>
          <w:rStyle w:val="23"/>
          <w:rFonts w:asciiTheme="minorEastAsia" w:hAnsiTheme="minorEastAsia" w:eastAsiaTheme="minorEastAsia"/>
          <w:color w:val="000000" w:themeColor="text1"/>
          <w:sz w:val="24"/>
          <w:szCs w:val="24"/>
          <w14:textFill>
            <w14:solidFill>
              <w14:schemeClr w14:val="tx1"/>
            </w14:solidFill>
          </w14:textFill>
        </w:rPr>
        <w:t xml:space="preserve">  </w:t>
      </w:r>
      <w:r>
        <w:rPr>
          <w:rStyle w:val="23"/>
          <w:rFonts w:hint="eastAsia" w:asciiTheme="minorEastAsia" w:hAnsiTheme="minorEastAsia" w:eastAsiaTheme="minorEastAsia"/>
          <w:color w:val="000000" w:themeColor="text1"/>
          <w:sz w:val="24"/>
          <w:szCs w:val="24"/>
          <w14:textFill>
            <w14:solidFill>
              <w14:schemeClr w14:val="tx1"/>
            </w14:solidFill>
          </w14:textFill>
        </w:rPr>
        <w:t>基金的托管</w:t>
      </w:r>
      <w:r>
        <w:rPr>
          <w:rFonts w:asciiTheme="minorEastAsia" w:hAnsiTheme="minorEastAsia" w:eastAsiaTheme="minorEastAsia"/>
          <w:color w:val="000000" w:themeColor="text1"/>
          <w:sz w:val="24"/>
          <w:szCs w:val="24"/>
          <w14:textFill>
            <w14:solidFill>
              <w14:schemeClr w14:val="tx1"/>
            </w14:solidFill>
          </w14:textFill>
        </w:rPr>
        <w:tab/>
      </w:r>
      <w:r>
        <w:rPr>
          <w:rFonts w:asciiTheme="minorEastAsia" w:hAnsiTheme="minorEastAsia" w:eastAsiaTheme="minorEastAsia"/>
          <w:color w:val="000000" w:themeColor="text1"/>
          <w:sz w:val="24"/>
          <w:szCs w:val="24"/>
          <w14:textFill>
            <w14:solidFill>
              <w14:schemeClr w14:val="tx1"/>
            </w14:solidFill>
          </w14:textFill>
        </w:rPr>
        <w:fldChar w:fldCharType="begin"/>
      </w:r>
      <w:r>
        <w:rPr>
          <w:rFonts w:asciiTheme="minorEastAsia" w:hAnsiTheme="minorEastAsia" w:eastAsiaTheme="minorEastAsia"/>
          <w:color w:val="000000" w:themeColor="text1"/>
          <w:sz w:val="24"/>
          <w:szCs w:val="24"/>
          <w14:textFill>
            <w14:solidFill>
              <w14:schemeClr w14:val="tx1"/>
            </w14:solidFill>
          </w14:textFill>
        </w:rPr>
        <w:instrText xml:space="preserve"> PAGEREF _Toc95997121 \h </w:instrText>
      </w:r>
      <w:r>
        <w:rPr>
          <w:rFonts w:asciiTheme="minorEastAsia" w:hAnsiTheme="minorEastAsia" w:eastAsiaTheme="minorEastAsia"/>
          <w:color w:val="000000" w:themeColor="text1"/>
          <w:sz w:val="24"/>
          <w:szCs w:val="24"/>
          <w14:textFill>
            <w14:solidFill>
              <w14:schemeClr w14:val="tx1"/>
            </w14:solidFill>
          </w14:textFill>
        </w:rPr>
        <w:fldChar w:fldCharType="separate"/>
      </w:r>
      <w:r>
        <w:rPr>
          <w:rFonts w:asciiTheme="minorEastAsia" w:hAnsiTheme="minorEastAsia" w:eastAsiaTheme="minorEastAsia"/>
          <w:color w:val="000000" w:themeColor="text1"/>
          <w:sz w:val="24"/>
          <w:szCs w:val="24"/>
          <w14:textFill>
            <w14:solidFill>
              <w14:schemeClr w14:val="tx1"/>
            </w14:solidFill>
          </w14:textFill>
        </w:rPr>
        <w:t>42</w:t>
      </w:r>
      <w:r>
        <w:rPr>
          <w:rFonts w:asciiTheme="minorEastAsia" w:hAnsiTheme="minorEastAsia" w:eastAsiaTheme="minorEastAsia"/>
          <w:color w:val="000000" w:themeColor="text1"/>
          <w:sz w:val="24"/>
          <w:szCs w:val="24"/>
          <w14:textFill>
            <w14:solidFill>
              <w14:schemeClr w14:val="tx1"/>
            </w14:solidFill>
          </w14:textFill>
        </w:rPr>
        <w:fldChar w:fldCharType="end"/>
      </w:r>
      <w:r>
        <w:rPr>
          <w:rFonts w:asciiTheme="minorEastAsia" w:hAnsiTheme="minorEastAsia" w:eastAsiaTheme="minorEastAsia"/>
          <w:color w:val="000000" w:themeColor="text1"/>
          <w:sz w:val="24"/>
          <w:szCs w:val="24"/>
          <w14:textFill>
            <w14:solidFill>
              <w14:schemeClr w14:val="tx1"/>
            </w14:solidFill>
          </w14:textFill>
        </w:rPr>
        <w:fldChar w:fldCharType="end"/>
      </w:r>
    </w:p>
    <w:p>
      <w:pPr>
        <w:pStyle w:val="15"/>
        <w:rPr>
          <w:rFonts w:asciiTheme="minorEastAsia" w:hAnsiTheme="minorEastAsia" w:eastAsiaTheme="minorEastAsia"/>
          <w:color w:val="000000" w:themeColor="text1"/>
          <w:sz w:val="24"/>
          <w:szCs w:val="24"/>
          <w14:textFill>
            <w14:solidFill>
              <w14:schemeClr w14:val="tx1"/>
            </w14:solidFill>
          </w14:textFill>
        </w:rPr>
      </w:pPr>
      <w:r>
        <w:fldChar w:fldCharType="begin"/>
      </w:r>
      <w:r>
        <w:instrText xml:space="preserve"> HYPERLINK \l "_Toc95997122" </w:instrText>
      </w:r>
      <w:r>
        <w:fldChar w:fldCharType="separate"/>
      </w:r>
      <w:r>
        <w:rPr>
          <w:rStyle w:val="23"/>
          <w:rFonts w:hint="eastAsia" w:asciiTheme="minorEastAsia" w:hAnsiTheme="minorEastAsia" w:eastAsiaTheme="minorEastAsia"/>
          <w:color w:val="000000" w:themeColor="text1"/>
          <w:sz w:val="24"/>
          <w:szCs w:val="24"/>
          <w14:textFill>
            <w14:solidFill>
              <w14:schemeClr w14:val="tx1"/>
            </w14:solidFill>
          </w14:textFill>
        </w:rPr>
        <w:t>第十一部分</w:t>
      </w:r>
      <w:r>
        <w:rPr>
          <w:rStyle w:val="23"/>
          <w:rFonts w:asciiTheme="minorEastAsia" w:hAnsiTheme="minorEastAsia" w:eastAsiaTheme="minorEastAsia"/>
          <w:color w:val="000000" w:themeColor="text1"/>
          <w:sz w:val="24"/>
          <w:szCs w:val="24"/>
          <w14:textFill>
            <w14:solidFill>
              <w14:schemeClr w14:val="tx1"/>
            </w14:solidFill>
          </w14:textFill>
        </w:rPr>
        <w:t xml:space="preserve">  </w:t>
      </w:r>
      <w:r>
        <w:rPr>
          <w:rStyle w:val="23"/>
          <w:rFonts w:hint="eastAsia" w:asciiTheme="minorEastAsia" w:hAnsiTheme="minorEastAsia" w:eastAsiaTheme="minorEastAsia"/>
          <w:color w:val="000000" w:themeColor="text1"/>
          <w:sz w:val="24"/>
          <w:szCs w:val="24"/>
          <w14:textFill>
            <w14:solidFill>
              <w14:schemeClr w14:val="tx1"/>
            </w14:solidFill>
          </w14:textFill>
        </w:rPr>
        <w:t>基金份额的登记</w:t>
      </w:r>
      <w:r>
        <w:rPr>
          <w:rFonts w:asciiTheme="minorEastAsia" w:hAnsiTheme="minorEastAsia" w:eastAsiaTheme="minorEastAsia"/>
          <w:color w:val="000000" w:themeColor="text1"/>
          <w:sz w:val="24"/>
          <w:szCs w:val="24"/>
          <w14:textFill>
            <w14:solidFill>
              <w14:schemeClr w14:val="tx1"/>
            </w14:solidFill>
          </w14:textFill>
        </w:rPr>
        <w:tab/>
      </w:r>
      <w:r>
        <w:rPr>
          <w:rFonts w:asciiTheme="minorEastAsia" w:hAnsiTheme="minorEastAsia" w:eastAsiaTheme="minorEastAsia"/>
          <w:color w:val="000000" w:themeColor="text1"/>
          <w:sz w:val="24"/>
          <w:szCs w:val="24"/>
          <w14:textFill>
            <w14:solidFill>
              <w14:schemeClr w14:val="tx1"/>
            </w14:solidFill>
          </w14:textFill>
        </w:rPr>
        <w:fldChar w:fldCharType="begin"/>
      </w:r>
      <w:r>
        <w:rPr>
          <w:rFonts w:asciiTheme="minorEastAsia" w:hAnsiTheme="minorEastAsia" w:eastAsiaTheme="minorEastAsia"/>
          <w:color w:val="000000" w:themeColor="text1"/>
          <w:sz w:val="24"/>
          <w:szCs w:val="24"/>
          <w14:textFill>
            <w14:solidFill>
              <w14:schemeClr w14:val="tx1"/>
            </w14:solidFill>
          </w14:textFill>
        </w:rPr>
        <w:instrText xml:space="preserve"> PAGEREF _Toc95997122 \h </w:instrText>
      </w:r>
      <w:r>
        <w:rPr>
          <w:rFonts w:asciiTheme="minorEastAsia" w:hAnsiTheme="minorEastAsia" w:eastAsiaTheme="minorEastAsia"/>
          <w:color w:val="000000" w:themeColor="text1"/>
          <w:sz w:val="24"/>
          <w:szCs w:val="24"/>
          <w14:textFill>
            <w14:solidFill>
              <w14:schemeClr w14:val="tx1"/>
            </w14:solidFill>
          </w14:textFill>
        </w:rPr>
        <w:fldChar w:fldCharType="separate"/>
      </w:r>
      <w:r>
        <w:rPr>
          <w:rFonts w:asciiTheme="minorEastAsia" w:hAnsiTheme="minorEastAsia" w:eastAsiaTheme="minorEastAsia"/>
          <w:color w:val="000000" w:themeColor="text1"/>
          <w:sz w:val="24"/>
          <w:szCs w:val="24"/>
          <w14:textFill>
            <w14:solidFill>
              <w14:schemeClr w14:val="tx1"/>
            </w14:solidFill>
          </w14:textFill>
        </w:rPr>
        <w:t>43</w:t>
      </w:r>
      <w:r>
        <w:rPr>
          <w:rFonts w:asciiTheme="minorEastAsia" w:hAnsiTheme="minorEastAsia" w:eastAsiaTheme="minorEastAsia"/>
          <w:color w:val="000000" w:themeColor="text1"/>
          <w:sz w:val="24"/>
          <w:szCs w:val="24"/>
          <w14:textFill>
            <w14:solidFill>
              <w14:schemeClr w14:val="tx1"/>
            </w14:solidFill>
          </w14:textFill>
        </w:rPr>
        <w:fldChar w:fldCharType="end"/>
      </w:r>
      <w:r>
        <w:rPr>
          <w:rFonts w:asciiTheme="minorEastAsia" w:hAnsiTheme="minorEastAsia" w:eastAsiaTheme="minorEastAsia"/>
          <w:color w:val="000000" w:themeColor="text1"/>
          <w:sz w:val="24"/>
          <w:szCs w:val="24"/>
          <w14:textFill>
            <w14:solidFill>
              <w14:schemeClr w14:val="tx1"/>
            </w14:solidFill>
          </w14:textFill>
        </w:rPr>
        <w:fldChar w:fldCharType="end"/>
      </w:r>
    </w:p>
    <w:p>
      <w:pPr>
        <w:pStyle w:val="15"/>
        <w:rPr>
          <w:rFonts w:asciiTheme="minorEastAsia" w:hAnsiTheme="minorEastAsia" w:eastAsiaTheme="minorEastAsia"/>
          <w:color w:val="000000" w:themeColor="text1"/>
          <w:sz w:val="24"/>
          <w:szCs w:val="24"/>
          <w14:textFill>
            <w14:solidFill>
              <w14:schemeClr w14:val="tx1"/>
            </w14:solidFill>
          </w14:textFill>
        </w:rPr>
      </w:pPr>
      <w:r>
        <w:fldChar w:fldCharType="begin"/>
      </w:r>
      <w:r>
        <w:instrText xml:space="preserve"> HYPERLINK \l "_Toc95997123" </w:instrText>
      </w:r>
      <w:r>
        <w:fldChar w:fldCharType="separate"/>
      </w:r>
      <w:r>
        <w:rPr>
          <w:rStyle w:val="23"/>
          <w:rFonts w:hint="eastAsia" w:asciiTheme="minorEastAsia" w:hAnsiTheme="minorEastAsia" w:eastAsiaTheme="minorEastAsia"/>
          <w:color w:val="000000" w:themeColor="text1"/>
          <w:sz w:val="24"/>
          <w:szCs w:val="24"/>
          <w14:textFill>
            <w14:solidFill>
              <w14:schemeClr w14:val="tx1"/>
            </w14:solidFill>
          </w14:textFill>
        </w:rPr>
        <w:t>第十二部分</w:t>
      </w:r>
      <w:r>
        <w:rPr>
          <w:rStyle w:val="23"/>
          <w:rFonts w:asciiTheme="minorEastAsia" w:hAnsiTheme="minorEastAsia" w:eastAsiaTheme="minorEastAsia"/>
          <w:color w:val="000000" w:themeColor="text1"/>
          <w:sz w:val="24"/>
          <w:szCs w:val="24"/>
          <w14:textFill>
            <w14:solidFill>
              <w14:schemeClr w14:val="tx1"/>
            </w14:solidFill>
          </w14:textFill>
        </w:rPr>
        <w:t xml:space="preserve">  </w:t>
      </w:r>
      <w:r>
        <w:rPr>
          <w:rStyle w:val="23"/>
          <w:rFonts w:hint="eastAsia" w:asciiTheme="minorEastAsia" w:hAnsiTheme="minorEastAsia" w:eastAsiaTheme="minorEastAsia"/>
          <w:color w:val="000000" w:themeColor="text1"/>
          <w:sz w:val="24"/>
          <w:szCs w:val="24"/>
          <w14:textFill>
            <w14:solidFill>
              <w14:schemeClr w14:val="tx1"/>
            </w14:solidFill>
          </w14:textFill>
        </w:rPr>
        <w:t>基金的</w:t>
      </w:r>
      <w:bookmarkStart w:id="26" w:name="_Hlt95997143"/>
      <w:r>
        <w:rPr>
          <w:rStyle w:val="23"/>
          <w:rFonts w:hint="eastAsia" w:asciiTheme="minorEastAsia" w:hAnsiTheme="minorEastAsia" w:eastAsiaTheme="minorEastAsia"/>
          <w:color w:val="000000" w:themeColor="text1"/>
          <w:sz w:val="24"/>
          <w:szCs w:val="24"/>
          <w14:textFill>
            <w14:solidFill>
              <w14:schemeClr w14:val="tx1"/>
            </w14:solidFill>
          </w14:textFill>
        </w:rPr>
        <w:t>投</w:t>
      </w:r>
      <w:bookmarkEnd w:id="26"/>
      <w:bookmarkStart w:id="27" w:name="_Hlt100649488"/>
      <w:r>
        <w:rPr>
          <w:rStyle w:val="23"/>
          <w:rFonts w:hint="eastAsia" w:asciiTheme="minorEastAsia" w:hAnsiTheme="minorEastAsia" w:eastAsiaTheme="minorEastAsia"/>
          <w:color w:val="000000" w:themeColor="text1"/>
          <w:sz w:val="24"/>
          <w:szCs w:val="24"/>
          <w14:textFill>
            <w14:solidFill>
              <w14:schemeClr w14:val="tx1"/>
            </w14:solidFill>
          </w14:textFill>
        </w:rPr>
        <w:t>资</w:t>
      </w:r>
      <w:bookmarkEnd w:id="27"/>
      <w:r>
        <w:rPr>
          <w:rFonts w:asciiTheme="minorEastAsia" w:hAnsiTheme="minorEastAsia" w:eastAsiaTheme="minorEastAsia"/>
          <w:color w:val="000000" w:themeColor="text1"/>
          <w:sz w:val="24"/>
          <w:szCs w:val="24"/>
          <w14:textFill>
            <w14:solidFill>
              <w14:schemeClr w14:val="tx1"/>
            </w14:solidFill>
          </w14:textFill>
        </w:rPr>
        <w:tab/>
      </w:r>
      <w:r>
        <w:rPr>
          <w:rFonts w:asciiTheme="minorEastAsia" w:hAnsiTheme="minorEastAsia" w:eastAsiaTheme="minorEastAsia"/>
          <w:color w:val="000000" w:themeColor="text1"/>
          <w:sz w:val="24"/>
          <w:szCs w:val="24"/>
          <w14:textFill>
            <w14:solidFill>
              <w14:schemeClr w14:val="tx1"/>
            </w14:solidFill>
          </w14:textFill>
        </w:rPr>
        <w:fldChar w:fldCharType="begin"/>
      </w:r>
      <w:r>
        <w:rPr>
          <w:rFonts w:asciiTheme="minorEastAsia" w:hAnsiTheme="minorEastAsia" w:eastAsiaTheme="minorEastAsia"/>
          <w:color w:val="000000" w:themeColor="text1"/>
          <w:sz w:val="24"/>
          <w:szCs w:val="24"/>
          <w14:textFill>
            <w14:solidFill>
              <w14:schemeClr w14:val="tx1"/>
            </w14:solidFill>
          </w14:textFill>
        </w:rPr>
        <w:instrText xml:space="preserve"> PAGEREF _Toc95997123 \h </w:instrText>
      </w:r>
      <w:r>
        <w:rPr>
          <w:rFonts w:asciiTheme="minorEastAsia" w:hAnsiTheme="minorEastAsia" w:eastAsiaTheme="minorEastAsia"/>
          <w:color w:val="000000" w:themeColor="text1"/>
          <w:sz w:val="24"/>
          <w:szCs w:val="24"/>
          <w14:textFill>
            <w14:solidFill>
              <w14:schemeClr w14:val="tx1"/>
            </w14:solidFill>
          </w14:textFill>
        </w:rPr>
        <w:fldChar w:fldCharType="separate"/>
      </w:r>
      <w:r>
        <w:rPr>
          <w:rFonts w:asciiTheme="minorEastAsia" w:hAnsiTheme="minorEastAsia" w:eastAsiaTheme="minorEastAsia"/>
          <w:color w:val="000000" w:themeColor="text1"/>
          <w:sz w:val="24"/>
          <w:szCs w:val="24"/>
          <w14:textFill>
            <w14:solidFill>
              <w14:schemeClr w14:val="tx1"/>
            </w14:solidFill>
          </w14:textFill>
        </w:rPr>
        <w:t>45</w:t>
      </w:r>
      <w:r>
        <w:rPr>
          <w:rFonts w:asciiTheme="minorEastAsia" w:hAnsiTheme="minorEastAsia" w:eastAsiaTheme="minorEastAsia"/>
          <w:color w:val="000000" w:themeColor="text1"/>
          <w:sz w:val="24"/>
          <w:szCs w:val="24"/>
          <w14:textFill>
            <w14:solidFill>
              <w14:schemeClr w14:val="tx1"/>
            </w14:solidFill>
          </w14:textFill>
        </w:rPr>
        <w:fldChar w:fldCharType="end"/>
      </w:r>
      <w:r>
        <w:rPr>
          <w:rFonts w:asciiTheme="minorEastAsia" w:hAnsiTheme="minorEastAsia" w:eastAsiaTheme="minorEastAsia"/>
          <w:color w:val="000000" w:themeColor="text1"/>
          <w:sz w:val="24"/>
          <w:szCs w:val="24"/>
          <w14:textFill>
            <w14:solidFill>
              <w14:schemeClr w14:val="tx1"/>
            </w14:solidFill>
          </w14:textFill>
        </w:rPr>
        <w:fldChar w:fldCharType="end"/>
      </w:r>
    </w:p>
    <w:p>
      <w:pPr>
        <w:pStyle w:val="15"/>
        <w:rPr>
          <w:rFonts w:asciiTheme="minorEastAsia" w:hAnsiTheme="minorEastAsia" w:eastAsiaTheme="minorEastAsia"/>
          <w:color w:val="000000" w:themeColor="text1"/>
          <w:sz w:val="24"/>
          <w:szCs w:val="24"/>
          <w14:textFill>
            <w14:solidFill>
              <w14:schemeClr w14:val="tx1"/>
            </w14:solidFill>
          </w14:textFill>
        </w:rPr>
      </w:pPr>
      <w:r>
        <w:fldChar w:fldCharType="begin"/>
      </w:r>
      <w:r>
        <w:instrText xml:space="preserve"> HYPERLINK \l "_Toc95997124" </w:instrText>
      </w:r>
      <w:r>
        <w:fldChar w:fldCharType="separate"/>
      </w:r>
      <w:r>
        <w:rPr>
          <w:rStyle w:val="23"/>
          <w:rFonts w:hint="eastAsia" w:asciiTheme="minorEastAsia" w:hAnsiTheme="minorEastAsia" w:eastAsiaTheme="minorEastAsia"/>
          <w:color w:val="000000" w:themeColor="text1"/>
          <w:sz w:val="24"/>
          <w:szCs w:val="24"/>
          <w14:textFill>
            <w14:solidFill>
              <w14:schemeClr w14:val="tx1"/>
            </w14:solidFill>
          </w14:textFill>
        </w:rPr>
        <w:t>第十三部分</w:t>
      </w:r>
      <w:r>
        <w:rPr>
          <w:rStyle w:val="23"/>
          <w:rFonts w:asciiTheme="minorEastAsia" w:hAnsiTheme="minorEastAsia" w:eastAsiaTheme="minorEastAsia"/>
          <w:color w:val="000000" w:themeColor="text1"/>
          <w:sz w:val="24"/>
          <w:szCs w:val="24"/>
          <w14:textFill>
            <w14:solidFill>
              <w14:schemeClr w14:val="tx1"/>
            </w14:solidFill>
          </w14:textFill>
        </w:rPr>
        <w:t xml:space="preserve">  </w:t>
      </w:r>
      <w:r>
        <w:rPr>
          <w:rStyle w:val="23"/>
          <w:rFonts w:hint="eastAsia" w:asciiTheme="minorEastAsia" w:hAnsiTheme="minorEastAsia" w:eastAsiaTheme="minorEastAsia"/>
          <w:color w:val="000000" w:themeColor="text1"/>
          <w:sz w:val="24"/>
          <w:szCs w:val="24"/>
          <w14:textFill>
            <w14:solidFill>
              <w14:schemeClr w14:val="tx1"/>
            </w14:solidFill>
          </w14:textFill>
        </w:rPr>
        <w:t>基金的财产</w:t>
      </w:r>
      <w:r>
        <w:rPr>
          <w:rFonts w:asciiTheme="minorEastAsia" w:hAnsiTheme="minorEastAsia" w:eastAsiaTheme="minorEastAsia"/>
          <w:color w:val="000000" w:themeColor="text1"/>
          <w:sz w:val="24"/>
          <w:szCs w:val="24"/>
          <w14:textFill>
            <w14:solidFill>
              <w14:schemeClr w14:val="tx1"/>
            </w14:solidFill>
          </w14:textFill>
        </w:rPr>
        <w:tab/>
      </w:r>
      <w:r>
        <w:rPr>
          <w:rFonts w:asciiTheme="minorEastAsia" w:hAnsiTheme="minorEastAsia" w:eastAsiaTheme="minorEastAsia"/>
          <w:color w:val="000000" w:themeColor="text1"/>
          <w:sz w:val="24"/>
          <w:szCs w:val="24"/>
          <w14:textFill>
            <w14:solidFill>
              <w14:schemeClr w14:val="tx1"/>
            </w14:solidFill>
          </w14:textFill>
        </w:rPr>
        <w:fldChar w:fldCharType="begin"/>
      </w:r>
      <w:r>
        <w:rPr>
          <w:rFonts w:asciiTheme="minorEastAsia" w:hAnsiTheme="minorEastAsia" w:eastAsiaTheme="minorEastAsia"/>
          <w:color w:val="000000" w:themeColor="text1"/>
          <w:sz w:val="24"/>
          <w:szCs w:val="24"/>
          <w14:textFill>
            <w14:solidFill>
              <w14:schemeClr w14:val="tx1"/>
            </w14:solidFill>
          </w14:textFill>
        </w:rPr>
        <w:instrText xml:space="preserve"> PAGEREF _Toc95997124 \h </w:instrText>
      </w:r>
      <w:r>
        <w:rPr>
          <w:rFonts w:asciiTheme="minorEastAsia" w:hAnsiTheme="minorEastAsia" w:eastAsiaTheme="minorEastAsia"/>
          <w:color w:val="000000" w:themeColor="text1"/>
          <w:sz w:val="24"/>
          <w:szCs w:val="24"/>
          <w14:textFill>
            <w14:solidFill>
              <w14:schemeClr w14:val="tx1"/>
            </w14:solidFill>
          </w14:textFill>
        </w:rPr>
        <w:fldChar w:fldCharType="separate"/>
      </w:r>
      <w:r>
        <w:rPr>
          <w:rFonts w:asciiTheme="minorEastAsia" w:hAnsiTheme="minorEastAsia" w:eastAsiaTheme="minorEastAsia"/>
          <w:color w:val="000000" w:themeColor="text1"/>
          <w:sz w:val="24"/>
          <w:szCs w:val="24"/>
          <w14:textFill>
            <w14:solidFill>
              <w14:schemeClr w14:val="tx1"/>
            </w14:solidFill>
          </w14:textFill>
        </w:rPr>
        <w:t>52</w:t>
      </w:r>
      <w:r>
        <w:rPr>
          <w:rFonts w:asciiTheme="minorEastAsia" w:hAnsiTheme="minorEastAsia" w:eastAsiaTheme="minorEastAsia"/>
          <w:color w:val="000000" w:themeColor="text1"/>
          <w:sz w:val="24"/>
          <w:szCs w:val="24"/>
          <w14:textFill>
            <w14:solidFill>
              <w14:schemeClr w14:val="tx1"/>
            </w14:solidFill>
          </w14:textFill>
        </w:rPr>
        <w:fldChar w:fldCharType="end"/>
      </w:r>
      <w:r>
        <w:rPr>
          <w:rFonts w:asciiTheme="minorEastAsia" w:hAnsiTheme="minorEastAsia" w:eastAsiaTheme="minorEastAsia"/>
          <w:color w:val="000000" w:themeColor="text1"/>
          <w:sz w:val="24"/>
          <w:szCs w:val="24"/>
          <w14:textFill>
            <w14:solidFill>
              <w14:schemeClr w14:val="tx1"/>
            </w14:solidFill>
          </w14:textFill>
        </w:rPr>
        <w:fldChar w:fldCharType="end"/>
      </w:r>
    </w:p>
    <w:p>
      <w:pPr>
        <w:pStyle w:val="15"/>
        <w:rPr>
          <w:rFonts w:asciiTheme="minorEastAsia" w:hAnsiTheme="minorEastAsia" w:eastAsiaTheme="minorEastAsia"/>
          <w:color w:val="000000" w:themeColor="text1"/>
          <w:sz w:val="24"/>
          <w:szCs w:val="24"/>
          <w14:textFill>
            <w14:solidFill>
              <w14:schemeClr w14:val="tx1"/>
            </w14:solidFill>
          </w14:textFill>
        </w:rPr>
      </w:pPr>
      <w:r>
        <w:fldChar w:fldCharType="begin"/>
      </w:r>
      <w:r>
        <w:instrText xml:space="preserve"> HYPERLINK \l "_Toc95997125" </w:instrText>
      </w:r>
      <w:r>
        <w:fldChar w:fldCharType="separate"/>
      </w:r>
      <w:r>
        <w:rPr>
          <w:rStyle w:val="23"/>
          <w:rFonts w:hint="eastAsia" w:asciiTheme="minorEastAsia" w:hAnsiTheme="minorEastAsia" w:eastAsiaTheme="minorEastAsia"/>
          <w:color w:val="000000" w:themeColor="text1"/>
          <w:sz w:val="24"/>
          <w:szCs w:val="24"/>
          <w14:textFill>
            <w14:solidFill>
              <w14:schemeClr w14:val="tx1"/>
            </w14:solidFill>
          </w14:textFill>
        </w:rPr>
        <w:t>第十四部分</w:t>
      </w:r>
      <w:r>
        <w:rPr>
          <w:rStyle w:val="23"/>
          <w:rFonts w:asciiTheme="minorEastAsia" w:hAnsiTheme="minorEastAsia" w:eastAsiaTheme="minorEastAsia"/>
          <w:color w:val="000000" w:themeColor="text1"/>
          <w:sz w:val="24"/>
          <w:szCs w:val="24"/>
          <w14:textFill>
            <w14:solidFill>
              <w14:schemeClr w14:val="tx1"/>
            </w14:solidFill>
          </w14:textFill>
        </w:rPr>
        <w:t xml:space="preserve">  </w:t>
      </w:r>
      <w:r>
        <w:rPr>
          <w:rStyle w:val="23"/>
          <w:rFonts w:hint="eastAsia" w:asciiTheme="minorEastAsia" w:hAnsiTheme="minorEastAsia" w:eastAsiaTheme="minorEastAsia"/>
          <w:color w:val="000000" w:themeColor="text1"/>
          <w:sz w:val="24"/>
          <w:szCs w:val="24"/>
          <w14:textFill>
            <w14:solidFill>
              <w14:schemeClr w14:val="tx1"/>
            </w14:solidFill>
          </w14:textFill>
        </w:rPr>
        <w:t>基金资产估值</w:t>
      </w:r>
      <w:r>
        <w:rPr>
          <w:rFonts w:asciiTheme="minorEastAsia" w:hAnsiTheme="minorEastAsia" w:eastAsiaTheme="minorEastAsia"/>
          <w:color w:val="000000" w:themeColor="text1"/>
          <w:sz w:val="24"/>
          <w:szCs w:val="24"/>
          <w14:textFill>
            <w14:solidFill>
              <w14:schemeClr w14:val="tx1"/>
            </w14:solidFill>
          </w14:textFill>
        </w:rPr>
        <w:tab/>
      </w:r>
      <w:r>
        <w:rPr>
          <w:rFonts w:asciiTheme="minorEastAsia" w:hAnsiTheme="minorEastAsia" w:eastAsiaTheme="minorEastAsia"/>
          <w:color w:val="000000" w:themeColor="text1"/>
          <w:sz w:val="24"/>
          <w:szCs w:val="24"/>
          <w14:textFill>
            <w14:solidFill>
              <w14:schemeClr w14:val="tx1"/>
            </w14:solidFill>
          </w14:textFill>
        </w:rPr>
        <w:fldChar w:fldCharType="begin"/>
      </w:r>
      <w:r>
        <w:rPr>
          <w:rFonts w:asciiTheme="minorEastAsia" w:hAnsiTheme="minorEastAsia" w:eastAsiaTheme="minorEastAsia"/>
          <w:color w:val="000000" w:themeColor="text1"/>
          <w:sz w:val="24"/>
          <w:szCs w:val="24"/>
          <w14:textFill>
            <w14:solidFill>
              <w14:schemeClr w14:val="tx1"/>
            </w14:solidFill>
          </w14:textFill>
        </w:rPr>
        <w:instrText xml:space="preserve"> PAGEREF _Toc95997125 \h </w:instrText>
      </w:r>
      <w:r>
        <w:rPr>
          <w:rFonts w:asciiTheme="minorEastAsia" w:hAnsiTheme="minorEastAsia" w:eastAsiaTheme="minorEastAsia"/>
          <w:color w:val="000000" w:themeColor="text1"/>
          <w:sz w:val="24"/>
          <w:szCs w:val="24"/>
          <w14:textFill>
            <w14:solidFill>
              <w14:schemeClr w14:val="tx1"/>
            </w14:solidFill>
          </w14:textFill>
        </w:rPr>
        <w:fldChar w:fldCharType="separate"/>
      </w:r>
      <w:r>
        <w:rPr>
          <w:rFonts w:asciiTheme="minorEastAsia" w:hAnsiTheme="minorEastAsia" w:eastAsiaTheme="minorEastAsia"/>
          <w:color w:val="000000" w:themeColor="text1"/>
          <w:sz w:val="24"/>
          <w:szCs w:val="24"/>
          <w14:textFill>
            <w14:solidFill>
              <w14:schemeClr w14:val="tx1"/>
            </w14:solidFill>
          </w14:textFill>
        </w:rPr>
        <w:t>53</w:t>
      </w:r>
      <w:r>
        <w:rPr>
          <w:rFonts w:asciiTheme="minorEastAsia" w:hAnsiTheme="minorEastAsia" w:eastAsiaTheme="minorEastAsia"/>
          <w:color w:val="000000" w:themeColor="text1"/>
          <w:sz w:val="24"/>
          <w:szCs w:val="24"/>
          <w14:textFill>
            <w14:solidFill>
              <w14:schemeClr w14:val="tx1"/>
            </w14:solidFill>
          </w14:textFill>
        </w:rPr>
        <w:fldChar w:fldCharType="end"/>
      </w:r>
      <w:r>
        <w:rPr>
          <w:rFonts w:asciiTheme="minorEastAsia" w:hAnsiTheme="minorEastAsia" w:eastAsiaTheme="minorEastAsia"/>
          <w:color w:val="000000" w:themeColor="text1"/>
          <w:sz w:val="24"/>
          <w:szCs w:val="24"/>
          <w14:textFill>
            <w14:solidFill>
              <w14:schemeClr w14:val="tx1"/>
            </w14:solidFill>
          </w14:textFill>
        </w:rPr>
        <w:fldChar w:fldCharType="end"/>
      </w:r>
    </w:p>
    <w:p>
      <w:pPr>
        <w:pStyle w:val="15"/>
        <w:rPr>
          <w:rFonts w:asciiTheme="minorEastAsia" w:hAnsiTheme="minorEastAsia" w:eastAsiaTheme="minorEastAsia"/>
          <w:color w:val="000000" w:themeColor="text1"/>
          <w:sz w:val="24"/>
          <w:szCs w:val="24"/>
          <w14:textFill>
            <w14:solidFill>
              <w14:schemeClr w14:val="tx1"/>
            </w14:solidFill>
          </w14:textFill>
        </w:rPr>
      </w:pPr>
      <w:r>
        <w:fldChar w:fldCharType="begin"/>
      </w:r>
      <w:r>
        <w:instrText xml:space="preserve"> HYPERLINK \l "_Toc95997126" </w:instrText>
      </w:r>
      <w:r>
        <w:fldChar w:fldCharType="separate"/>
      </w:r>
      <w:r>
        <w:rPr>
          <w:rStyle w:val="23"/>
          <w:rFonts w:hint="eastAsia" w:asciiTheme="minorEastAsia" w:hAnsiTheme="minorEastAsia" w:eastAsiaTheme="minorEastAsia"/>
          <w:color w:val="000000" w:themeColor="text1"/>
          <w:sz w:val="24"/>
          <w:szCs w:val="24"/>
          <w14:textFill>
            <w14:solidFill>
              <w14:schemeClr w14:val="tx1"/>
            </w14:solidFill>
          </w14:textFill>
        </w:rPr>
        <w:t>第十五部分</w:t>
      </w:r>
      <w:r>
        <w:rPr>
          <w:rStyle w:val="23"/>
          <w:rFonts w:asciiTheme="minorEastAsia" w:hAnsiTheme="minorEastAsia" w:eastAsiaTheme="minorEastAsia"/>
          <w:color w:val="000000" w:themeColor="text1"/>
          <w:sz w:val="24"/>
          <w:szCs w:val="24"/>
          <w14:textFill>
            <w14:solidFill>
              <w14:schemeClr w14:val="tx1"/>
            </w14:solidFill>
          </w14:textFill>
        </w:rPr>
        <w:t xml:space="preserve">  </w:t>
      </w:r>
      <w:r>
        <w:rPr>
          <w:rStyle w:val="23"/>
          <w:rFonts w:hint="eastAsia" w:asciiTheme="minorEastAsia" w:hAnsiTheme="minorEastAsia" w:eastAsiaTheme="minorEastAsia"/>
          <w:color w:val="000000" w:themeColor="text1"/>
          <w:sz w:val="24"/>
          <w:szCs w:val="24"/>
          <w14:textFill>
            <w14:solidFill>
              <w14:schemeClr w14:val="tx1"/>
            </w14:solidFill>
          </w14:textFill>
        </w:rPr>
        <w:t>基金费用与税收</w:t>
      </w:r>
      <w:r>
        <w:rPr>
          <w:rFonts w:asciiTheme="minorEastAsia" w:hAnsiTheme="minorEastAsia" w:eastAsiaTheme="minorEastAsia"/>
          <w:color w:val="000000" w:themeColor="text1"/>
          <w:sz w:val="24"/>
          <w:szCs w:val="24"/>
          <w14:textFill>
            <w14:solidFill>
              <w14:schemeClr w14:val="tx1"/>
            </w14:solidFill>
          </w14:textFill>
        </w:rPr>
        <w:tab/>
      </w:r>
      <w:r>
        <w:rPr>
          <w:rFonts w:asciiTheme="minorEastAsia" w:hAnsiTheme="minorEastAsia" w:eastAsiaTheme="minorEastAsia"/>
          <w:color w:val="000000" w:themeColor="text1"/>
          <w:sz w:val="24"/>
          <w:szCs w:val="24"/>
          <w14:textFill>
            <w14:solidFill>
              <w14:schemeClr w14:val="tx1"/>
            </w14:solidFill>
          </w14:textFill>
        </w:rPr>
        <w:fldChar w:fldCharType="begin"/>
      </w:r>
      <w:r>
        <w:rPr>
          <w:rFonts w:asciiTheme="minorEastAsia" w:hAnsiTheme="minorEastAsia" w:eastAsiaTheme="minorEastAsia"/>
          <w:color w:val="000000" w:themeColor="text1"/>
          <w:sz w:val="24"/>
          <w:szCs w:val="24"/>
          <w14:textFill>
            <w14:solidFill>
              <w14:schemeClr w14:val="tx1"/>
            </w14:solidFill>
          </w14:textFill>
        </w:rPr>
        <w:instrText xml:space="preserve"> PAGEREF _Toc95997126 \h </w:instrText>
      </w:r>
      <w:r>
        <w:rPr>
          <w:rFonts w:asciiTheme="minorEastAsia" w:hAnsiTheme="minorEastAsia" w:eastAsiaTheme="minorEastAsia"/>
          <w:color w:val="000000" w:themeColor="text1"/>
          <w:sz w:val="24"/>
          <w:szCs w:val="24"/>
          <w14:textFill>
            <w14:solidFill>
              <w14:schemeClr w14:val="tx1"/>
            </w14:solidFill>
          </w14:textFill>
        </w:rPr>
        <w:fldChar w:fldCharType="separate"/>
      </w:r>
      <w:r>
        <w:rPr>
          <w:rFonts w:asciiTheme="minorEastAsia" w:hAnsiTheme="minorEastAsia" w:eastAsiaTheme="minorEastAsia"/>
          <w:color w:val="000000" w:themeColor="text1"/>
          <w:sz w:val="24"/>
          <w:szCs w:val="24"/>
          <w14:textFill>
            <w14:solidFill>
              <w14:schemeClr w14:val="tx1"/>
            </w14:solidFill>
          </w14:textFill>
        </w:rPr>
        <w:t>59</w:t>
      </w:r>
      <w:r>
        <w:rPr>
          <w:rFonts w:asciiTheme="minorEastAsia" w:hAnsiTheme="minorEastAsia" w:eastAsiaTheme="minorEastAsia"/>
          <w:color w:val="000000" w:themeColor="text1"/>
          <w:sz w:val="24"/>
          <w:szCs w:val="24"/>
          <w14:textFill>
            <w14:solidFill>
              <w14:schemeClr w14:val="tx1"/>
            </w14:solidFill>
          </w14:textFill>
        </w:rPr>
        <w:fldChar w:fldCharType="end"/>
      </w:r>
      <w:r>
        <w:rPr>
          <w:rFonts w:asciiTheme="minorEastAsia" w:hAnsiTheme="minorEastAsia" w:eastAsiaTheme="minorEastAsia"/>
          <w:color w:val="000000" w:themeColor="text1"/>
          <w:sz w:val="24"/>
          <w:szCs w:val="24"/>
          <w14:textFill>
            <w14:solidFill>
              <w14:schemeClr w14:val="tx1"/>
            </w14:solidFill>
          </w14:textFill>
        </w:rPr>
        <w:fldChar w:fldCharType="end"/>
      </w:r>
    </w:p>
    <w:p>
      <w:pPr>
        <w:pStyle w:val="15"/>
        <w:rPr>
          <w:rFonts w:asciiTheme="minorEastAsia" w:hAnsiTheme="minorEastAsia" w:eastAsiaTheme="minorEastAsia"/>
          <w:color w:val="000000" w:themeColor="text1"/>
          <w:sz w:val="24"/>
          <w:szCs w:val="24"/>
          <w14:textFill>
            <w14:solidFill>
              <w14:schemeClr w14:val="tx1"/>
            </w14:solidFill>
          </w14:textFill>
        </w:rPr>
      </w:pPr>
      <w:r>
        <w:fldChar w:fldCharType="begin"/>
      </w:r>
      <w:r>
        <w:instrText xml:space="preserve"> HYPERLINK \l "_Toc95997127" </w:instrText>
      </w:r>
      <w:r>
        <w:fldChar w:fldCharType="separate"/>
      </w:r>
      <w:r>
        <w:rPr>
          <w:rStyle w:val="23"/>
          <w:rFonts w:hint="eastAsia" w:asciiTheme="minorEastAsia" w:hAnsiTheme="minorEastAsia" w:eastAsiaTheme="minorEastAsia"/>
          <w:color w:val="000000" w:themeColor="text1"/>
          <w:sz w:val="24"/>
          <w:szCs w:val="24"/>
          <w14:textFill>
            <w14:solidFill>
              <w14:schemeClr w14:val="tx1"/>
            </w14:solidFill>
          </w14:textFill>
        </w:rPr>
        <w:t>第十六部分</w:t>
      </w:r>
      <w:r>
        <w:rPr>
          <w:rStyle w:val="23"/>
          <w:rFonts w:asciiTheme="minorEastAsia" w:hAnsiTheme="minorEastAsia" w:eastAsiaTheme="minorEastAsia"/>
          <w:color w:val="000000" w:themeColor="text1"/>
          <w:sz w:val="24"/>
          <w:szCs w:val="24"/>
          <w14:textFill>
            <w14:solidFill>
              <w14:schemeClr w14:val="tx1"/>
            </w14:solidFill>
          </w14:textFill>
        </w:rPr>
        <w:t xml:space="preserve">  </w:t>
      </w:r>
      <w:r>
        <w:rPr>
          <w:rStyle w:val="23"/>
          <w:rFonts w:hint="eastAsia" w:asciiTheme="minorEastAsia" w:hAnsiTheme="minorEastAsia" w:eastAsiaTheme="minorEastAsia"/>
          <w:color w:val="000000" w:themeColor="text1"/>
          <w:sz w:val="24"/>
          <w:szCs w:val="24"/>
          <w14:textFill>
            <w14:solidFill>
              <w14:schemeClr w14:val="tx1"/>
            </w14:solidFill>
          </w14:textFill>
        </w:rPr>
        <w:t>基金的收益与分配</w:t>
      </w:r>
      <w:r>
        <w:rPr>
          <w:rFonts w:asciiTheme="minorEastAsia" w:hAnsiTheme="minorEastAsia" w:eastAsiaTheme="minorEastAsia"/>
          <w:color w:val="000000" w:themeColor="text1"/>
          <w:sz w:val="24"/>
          <w:szCs w:val="24"/>
          <w14:textFill>
            <w14:solidFill>
              <w14:schemeClr w14:val="tx1"/>
            </w14:solidFill>
          </w14:textFill>
        </w:rPr>
        <w:tab/>
      </w:r>
      <w:r>
        <w:rPr>
          <w:rFonts w:asciiTheme="minorEastAsia" w:hAnsiTheme="minorEastAsia" w:eastAsiaTheme="minorEastAsia"/>
          <w:color w:val="000000" w:themeColor="text1"/>
          <w:sz w:val="24"/>
          <w:szCs w:val="24"/>
          <w14:textFill>
            <w14:solidFill>
              <w14:schemeClr w14:val="tx1"/>
            </w14:solidFill>
          </w14:textFill>
        </w:rPr>
        <w:fldChar w:fldCharType="begin"/>
      </w:r>
      <w:r>
        <w:rPr>
          <w:rFonts w:asciiTheme="minorEastAsia" w:hAnsiTheme="minorEastAsia" w:eastAsiaTheme="minorEastAsia"/>
          <w:color w:val="000000" w:themeColor="text1"/>
          <w:sz w:val="24"/>
          <w:szCs w:val="24"/>
          <w14:textFill>
            <w14:solidFill>
              <w14:schemeClr w14:val="tx1"/>
            </w14:solidFill>
          </w14:textFill>
        </w:rPr>
        <w:instrText xml:space="preserve"> PAGEREF _Toc95997127 \h </w:instrText>
      </w:r>
      <w:r>
        <w:rPr>
          <w:rFonts w:asciiTheme="minorEastAsia" w:hAnsiTheme="minorEastAsia" w:eastAsiaTheme="minorEastAsia"/>
          <w:color w:val="000000" w:themeColor="text1"/>
          <w:sz w:val="24"/>
          <w:szCs w:val="24"/>
          <w14:textFill>
            <w14:solidFill>
              <w14:schemeClr w14:val="tx1"/>
            </w14:solidFill>
          </w14:textFill>
        </w:rPr>
        <w:fldChar w:fldCharType="separate"/>
      </w:r>
      <w:r>
        <w:rPr>
          <w:rFonts w:asciiTheme="minorEastAsia" w:hAnsiTheme="minorEastAsia" w:eastAsiaTheme="minorEastAsia"/>
          <w:color w:val="000000" w:themeColor="text1"/>
          <w:sz w:val="24"/>
          <w:szCs w:val="24"/>
          <w14:textFill>
            <w14:solidFill>
              <w14:schemeClr w14:val="tx1"/>
            </w14:solidFill>
          </w14:textFill>
        </w:rPr>
        <w:t>61</w:t>
      </w:r>
      <w:r>
        <w:rPr>
          <w:rFonts w:asciiTheme="minorEastAsia" w:hAnsiTheme="minorEastAsia" w:eastAsiaTheme="minorEastAsia"/>
          <w:color w:val="000000" w:themeColor="text1"/>
          <w:sz w:val="24"/>
          <w:szCs w:val="24"/>
          <w14:textFill>
            <w14:solidFill>
              <w14:schemeClr w14:val="tx1"/>
            </w14:solidFill>
          </w14:textFill>
        </w:rPr>
        <w:fldChar w:fldCharType="end"/>
      </w:r>
      <w:r>
        <w:rPr>
          <w:rFonts w:asciiTheme="minorEastAsia" w:hAnsiTheme="minorEastAsia" w:eastAsiaTheme="minorEastAsia"/>
          <w:color w:val="000000" w:themeColor="text1"/>
          <w:sz w:val="24"/>
          <w:szCs w:val="24"/>
          <w14:textFill>
            <w14:solidFill>
              <w14:schemeClr w14:val="tx1"/>
            </w14:solidFill>
          </w14:textFill>
        </w:rPr>
        <w:fldChar w:fldCharType="end"/>
      </w:r>
    </w:p>
    <w:p>
      <w:pPr>
        <w:pStyle w:val="15"/>
        <w:rPr>
          <w:rFonts w:asciiTheme="minorEastAsia" w:hAnsiTheme="minorEastAsia" w:eastAsiaTheme="minorEastAsia"/>
          <w:color w:val="000000" w:themeColor="text1"/>
          <w:sz w:val="24"/>
          <w:szCs w:val="24"/>
          <w14:textFill>
            <w14:solidFill>
              <w14:schemeClr w14:val="tx1"/>
            </w14:solidFill>
          </w14:textFill>
        </w:rPr>
      </w:pPr>
      <w:r>
        <w:fldChar w:fldCharType="begin"/>
      </w:r>
      <w:r>
        <w:instrText xml:space="preserve"> HYPERLINK \l "_Toc95997128" </w:instrText>
      </w:r>
      <w:r>
        <w:fldChar w:fldCharType="separate"/>
      </w:r>
      <w:r>
        <w:rPr>
          <w:rStyle w:val="23"/>
          <w:rFonts w:hint="eastAsia" w:asciiTheme="minorEastAsia" w:hAnsiTheme="minorEastAsia" w:eastAsiaTheme="minorEastAsia"/>
          <w:color w:val="000000" w:themeColor="text1"/>
          <w:sz w:val="24"/>
          <w:szCs w:val="24"/>
          <w14:textFill>
            <w14:solidFill>
              <w14:schemeClr w14:val="tx1"/>
            </w14:solidFill>
          </w14:textFill>
        </w:rPr>
        <w:t>第十七部分</w:t>
      </w:r>
      <w:r>
        <w:rPr>
          <w:rStyle w:val="23"/>
          <w:rFonts w:asciiTheme="minorEastAsia" w:hAnsiTheme="minorEastAsia" w:eastAsiaTheme="minorEastAsia"/>
          <w:color w:val="000000" w:themeColor="text1"/>
          <w:sz w:val="24"/>
          <w:szCs w:val="24"/>
          <w14:textFill>
            <w14:solidFill>
              <w14:schemeClr w14:val="tx1"/>
            </w14:solidFill>
          </w14:textFill>
        </w:rPr>
        <w:t xml:space="preserve">  </w:t>
      </w:r>
      <w:r>
        <w:rPr>
          <w:rStyle w:val="23"/>
          <w:rFonts w:hint="eastAsia" w:asciiTheme="minorEastAsia" w:hAnsiTheme="minorEastAsia" w:eastAsiaTheme="minorEastAsia"/>
          <w:color w:val="000000" w:themeColor="text1"/>
          <w:sz w:val="24"/>
          <w:szCs w:val="24"/>
          <w14:textFill>
            <w14:solidFill>
              <w14:schemeClr w14:val="tx1"/>
            </w14:solidFill>
          </w14:textFill>
        </w:rPr>
        <w:t>基金的会计与审计</w:t>
      </w:r>
      <w:r>
        <w:rPr>
          <w:rFonts w:asciiTheme="minorEastAsia" w:hAnsiTheme="minorEastAsia" w:eastAsiaTheme="minorEastAsia"/>
          <w:color w:val="000000" w:themeColor="text1"/>
          <w:sz w:val="24"/>
          <w:szCs w:val="24"/>
          <w14:textFill>
            <w14:solidFill>
              <w14:schemeClr w14:val="tx1"/>
            </w14:solidFill>
          </w14:textFill>
        </w:rPr>
        <w:tab/>
      </w:r>
      <w:r>
        <w:rPr>
          <w:rFonts w:asciiTheme="minorEastAsia" w:hAnsiTheme="minorEastAsia" w:eastAsiaTheme="minorEastAsia"/>
          <w:color w:val="000000" w:themeColor="text1"/>
          <w:sz w:val="24"/>
          <w:szCs w:val="24"/>
          <w14:textFill>
            <w14:solidFill>
              <w14:schemeClr w14:val="tx1"/>
            </w14:solidFill>
          </w14:textFill>
        </w:rPr>
        <w:fldChar w:fldCharType="begin"/>
      </w:r>
      <w:r>
        <w:rPr>
          <w:rFonts w:asciiTheme="minorEastAsia" w:hAnsiTheme="minorEastAsia" w:eastAsiaTheme="minorEastAsia"/>
          <w:color w:val="000000" w:themeColor="text1"/>
          <w:sz w:val="24"/>
          <w:szCs w:val="24"/>
          <w14:textFill>
            <w14:solidFill>
              <w14:schemeClr w14:val="tx1"/>
            </w14:solidFill>
          </w14:textFill>
        </w:rPr>
        <w:instrText xml:space="preserve"> PAGEREF _Toc95997128 \h </w:instrText>
      </w:r>
      <w:r>
        <w:rPr>
          <w:rFonts w:asciiTheme="minorEastAsia" w:hAnsiTheme="minorEastAsia" w:eastAsiaTheme="minorEastAsia"/>
          <w:color w:val="000000" w:themeColor="text1"/>
          <w:sz w:val="24"/>
          <w:szCs w:val="24"/>
          <w14:textFill>
            <w14:solidFill>
              <w14:schemeClr w14:val="tx1"/>
            </w14:solidFill>
          </w14:textFill>
        </w:rPr>
        <w:fldChar w:fldCharType="separate"/>
      </w:r>
      <w:r>
        <w:rPr>
          <w:rFonts w:asciiTheme="minorEastAsia" w:hAnsiTheme="minorEastAsia" w:eastAsiaTheme="minorEastAsia"/>
          <w:color w:val="000000" w:themeColor="text1"/>
          <w:sz w:val="24"/>
          <w:szCs w:val="24"/>
          <w14:textFill>
            <w14:solidFill>
              <w14:schemeClr w14:val="tx1"/>
            </w14:solidFill>
          </w14:textFill>
        </w:rPr>
        <w:t>63</w:t>
      </w:r>
      <w:r>
        <w:rPr>
          <w:rFonts w:asciiTheme="minorEastAsia" w:hAnsiTheme="minorEastAsia" w:eastAsiaTheme="minorEastAsia"/>
          <w:color w:val="000000" w:themeColor="text1"/>
          <w:sz w:val="24"/>
          <w:szCs w:val="24"/>
          <w14:textFill>
            <w14:solidFill>
              <w14:schemeClr w14:val="tx1"/>
            </w14:solidFill>
          </w14:textFill>
        </w:rPr>
        <w:fldChar w:fldCharType="end"/>
      </w:r>
      <w:r>
        <w:rPr>
          <w:rFonts w:asciiTheme="minorEastAsia" w:hAnsiTheme="minorEastAsia" w:eastAsiaTheme="minorEastAsia"/>
          <w:color w:val="000000" w:themeColor="text1"/>
          <w:sz w:val="24"/>
          <w:szCs w:val="24"/>
          <w14:textFill>
            <w14:solidFill>
              <w14:schemeClr w14:val="tx1"/>
            </w14:solidFill>
          </w14:textFill>
        </w:rPr>
        <w:fldChar w:fldCharType="end"/>
      </w:r>
    </w:p>
    <w:p>
      <w:pPr>
        <w:pStyle w:val="15"/>
        <w:rPr>
          <w:rFonts w:asciiTheme="minorEastAsia" w:hAnsiTheme="minorEastAsia" w:eastAsiaTheme="minorEastAsia"/>
          <w:color w:val="000000" w:themeColor="text1"/>
          <w:sz w:val="24"/>
          <w:szCs w:val="24"/>
          <w14:textFill>
            <w14:solidFill>
              <w14:schemeClr w14:val="tx1"/>
            </w14:solidFill>
          </w14:textFill>
        </w:rPr>
      </w:pPr>
      <w:r>
        <w:fldChar w:fldCharType="begin"/>
      </w:r>
      <w:r>
        <w:instrText xml:space="preserve"> HYPERLINK \l "_Toc95997129" </w:instrText>
      </w:r>
      <w:r>
        <w:fldChar w:fldCharType="separate"/>
      </w:r>
      <w:r>
        <w:rPr>
          <w:rStyle w:val="23"/>
          <w:rFonts w:hint="eastAsia" w:asciiTheme="minorEastAsia" w:hAnsiTheme="minorEastAsia" w:eastAsiaTheme="minorEastAsia"/>
          <w:color w:val="000000" w:themeColor="text1"/>
          <w:sz w:val="24"/>
          <w:szCs w:val="24"/>
          <w14:textFill>
            <w14:solidFill>
              <w14:schemeClr w14:val="tx1"/>
            </w14:solidFill>
          </w14:textFill>
        </w:rPr>
        <w:t>第十八部分</w:t>
      </w:r>
      <w:r>
        <w:rPr>
          <w:rStyle w:val="23"/>
          <w:rFonts w:asciiTheme="minorEastAsia" w:hAnsiTheme="minorEastAsia" w:eastAsiaTheme="minorEastAsia"/>
          <w:color w:val="000000" w:themeColor="text1"/>
          <w:sz w:val="24"/>
          <w:szCs w:val="24"/>
          <w14:textFill>
            <w14:solidFill>
              <w14:schemeClr w14:val="tx1"/>
            </w14:solidFill>
          </w14:textFill>
        </w:rPr>
        <w:t xml:space="preserve">  </w:t>
      </w:r>
      <w:r>
        <w:rPr>
          <w:rStyle w:val="23"/>
          <w:rFonts w:hint="eastAsia" w:asciiTheme="minorEastAsia" w:hAnsiTheme="minorEastAsia" w:eastAsiaTheme="minorEastAsia"/>
          <w:color w:val="000000" w:themeColor="text1"/>
          <w:sz w:val="24"/>
          <w:szCs w:val="24"/>
          <w14:textFill>
            <w14:solidFill>
              <w14:schemeClr w14:val="tx1"/>
            </w14:solidFill>
          </w14:textFill>
        </w:rPr>
        <w:t>基金的信息披露</w:t>
      </w:r>
      <w:r>
        <w:rPr>
          <w:rFonts w:asciiTheme="minorEastAsia" w:hAnsiTheme="minorEastAsia" w:eastAsiaTheme="minorEastAsia"/>
          <w:color w:val="000000" w:themeColor="text1"/>
          <w:sz w:val="24"/>
          <w:szCs w:val="24"/>
          <w14:textFill>
            <w14:solidFill>
              <w14:schemeClr w14:val="tx1"/>
            </w14:solidFill>
          </w14:textFill>
        </w:rPr>
        <w:tab/>
      </w:r>
      <w:r>
        <w:rPr>
          <w:rFonts w:asciiTheme="minorEastAsia" w:hAnsiTheme="minorEastAsia" w:eastAsiaTheme="minorEastAsia"/>
          <w:color w:val="000000" w:themeColor="text1"/>
          <w:sz w:val="24"/>
          <w:szCs w:val="24"/>
          <w14:textFill>
            <w14:solidFill>
              <w14:schemeClr w14:val="tx1"/>
            </w14:solidFill>
          </w14:textFill>
        </w:rPr>
        <w:fldChar w:fldCharType="begin"/>
      </w:r>
      <w:r>
        <w:rPr>
          <w:rFonts w:asciiTheme="minorEastAsia" w:hAnsiTheme="minorEastAsia" w:eastAsiaTheme="minorEastAsia"/>
          <w:color w:val="000000" w:themeColor="text1"/>
          <w:sz w:val="24"/>
          <w:szCs w:val="24"/>
          <w14:textFill>
            <w14:solidFill>
              <w14:schemeClr w14:val="tx1"/>
            </w14:solidFill>
          </w14:textFill>
        </w:rPr>
        <w:instrText xml:space="preserve"> PAGEREF _Toc95997129 \h </w:instrText>
      </w:r>
      <w:r>
        <w:rPr>
          <w:rFonts w:asciiTheme="minorEastAsia" w:hAnsiTheme="minorEastAsia" w:eastAsiaTheme="minorEastAsia"/>
          <w:color w:val="000000" w:themeColor="text1"/>
          <w:sz w:val="24"/>
          <w:szCs w:val="24"/>
          <w14:textFill>
            <w14:solidFill>
              <w14:schemeClr w14:val="tx1"/>
            </w14:solidFill>
          </w14:textFill>
        </w:rPr>
        <w:fldChar w:fldCharType="separate"/>
      </w:r>
      <w:r>
        <w:rPr>
          <w:rFonts w:asciiTheme="minorEastAsia" w:hAnsiTheme="minorEastAsia" w:eastAsiaTheme="minorEastAsia"/>
          <w:color w:val="000000" w:themeColor="text1"/>
          <w:sz w:val="24"/>
          <w:szCs w:val="24"/>
          <w14:textFill>
            <w14:solidFill>
              <w14:schemeClr w14:val="tx1"/>
            </w14:solidFill>
          </w14:textFill>
        </w:rPr>
        <w:t>64</w:t>
      </w:r>
      <w:r>
        <w:rPr>
          <w:rFonts w:asciiTheme="minorEastAsia" w:hAnsiTheme="minorEastAsia" w:eastAsiaTheme="minorEastAsia"/>
          <w:color w:val="000000" w:themeColor="text1"/>
          <w:sz w:val="24"/>
          <w:szCs w:val="24"/>
          <w14:textFill>
            <w14:solidFill>
              <w14:schemeClr w14:val="tx1"/>
            </w14:solidFill>
          </w14:textFill>
        </w:rPr>
        <w:fldChar w:fldCharType="end"/>
      </w:r>
      <w:r>
        <w:rPr>
          <w:rFonts w:asciiTheme="minorEastAsia" w:hAnsiTheme="minorEastAsia" w:eastAsiaTheme="minorEastAsia"/>
          <w:color w:val="000000" w:themeColor="text1"/>
          <w:sz w:val="24"/>
          <w:szCs w:val="24"/>
          <w14:textFill>
            <w14:solidFill>
              <w14:schemeClr w14:val="tx1"/>
            </w14:solidFill>
          </w14:textFill>
        </w:rPr>
        <w:fldChar w:fldCharType="end"/>
      </w:r>
    </w:p>
    <w:p>
      <w:pPr>
        <w:pStyle w:val="15"/>
        <w:rPr>
          <w:rFonts w:asciiTheme="minorEastAsia" w:hAnsiTheme="minorEastAsia" w:eastAsiaTheme="minorEastAsia"/>
          <w:color w:val="000000" w:themeColor="text1"/>
          <w:sz w:val="24"/>
          <w:szCs w:val="24"/>
          <w14:textFill>
            <w14:solidFill>
              <w14:schemeClr w14:val="tx1"/>
            </w14:solidFill>
          </w14:textFill>
        </w:rPr>
      </w:pPr>
      <w:r>
        <w:fldChar w:fldCharType="begin"/>
      </w:r>
      <w:r>
        <w:instrText xml:space="preserve"> HYPERLINK \l "_Toc95997130" </w:instrText>
      </w:r>
      <w:r>
        <w:fldChar w:fldCharType="separate"/>
      </w:r>
      <w:r>
        <w:rPr>
          <w:rStyle w:val="23"/>
          <w:rFonts w:hint="eastAsia" w:asciiTheme="minorEastAsia" w:hAnsiTheme="minorEastAsia" w:eastAsiaTheme="minorEastAsia"/>
          <w:color w:val="000000" w:themeColor="text1"/>
          <w:sz w:val="24"/>
          <w:szCs w:val="24"/>
          <w14:textFill>
            <w14:solidFill>
              <w14:schemeClr w14:val="tx1"/>
            </w14:solidFill>
          </w14:textFill>
        </w:rPr>
        <w:t>第十九部分</w:t>
      </w:r>
      <w:r>
        <w:rPr>
          <w:rStyle w:val="23"/>
          <w:rFonts w:asciiTheme="minorEastAsia" w:hAnsiTheme="minorEastAsia" w:eastAsiaTheme="minorEastAsia"/>
          <w:color w:val="000000" w:themeColor="text1"/>
          <w:sz w:val="24"/>
          <w:szCs w:val="24"/>
          <w14:textFill>
            <w14:solidFill>
              <w14:schemeClr w14:val="tx1"/>
            </w14:solidFill>
          </w14:textFill>
        </w:rPr>
        <w:t xml:space="preserve">  </w:t>
      </w:r>
      <w:r>
        <w:rPr>
          <w:rStyle w:val="23"/>
          <w:rFonts w:hint="eastAsia" w:asciiTheme="minorEastAsia" w:hAnsiTheme="minorEastAsia" w:eastAsiaTheme="minorEastAsia"/>
          <w:color w:val="000000" w:themeColor="text1"/>
          <w:sz w:val="24"/>
          <w:szCs w:val="24"/>
          <w14:textFill>
            <w14:solidFill>
              <w14:schemeClr w14:val="tx1"/>
            </w14:solidFill>
          </w14:textFill>
        </w:rPr>
        <w:t>基金合同的变更、终止与基金财产的清算</w:t>
      </w:r>
      <w:r>
        <w:rPr>
          <w:rFonts w:asciiTheme="minorEastAsia" w:hAnsiTheme="minorEastAsia" w:eastAsiaTheme="minorEastAsia"/>
          <w:color w:val="000000" w:themeColor="text1"/>
          <w:sz w:val="24"/>
          <w:szCs w:val="24"/>
          <w14:textFill>
            <w14:solidFill>
              <w14:schemeClr w14:val="tx1"/>
            </w14:solidFill>
          </w14:textFill>
        </w:rPr>
        <w:tab/>
      </w:r>
      <w:r>
        <w:rPr>
          <w:rFonts w:asciiTheme="minorEastAsia" w:hAnsiTheme="minorEastAsia" w:eastAsiaTheme="minorEastAsia"/>
          <w:color w:val="000000" w:themeColor="text1"/>
          <w:sz w:val="24"/>
          <w:szCs w:val="24"/>
          <w14:textFill>
            <w14:solidFill>
              <w14:schemeClr w14:val="tx1"/>
            </w14:solidFill>
          </w14:textFill>
        </w:rPr>
        <w:fldChar w:fldCharType="begin"/>
      </w:r>
      <w:r>
        <w:rPr>
          <w:rFonts w:asciiTheme="minorEastAsia" w:hAnsiTheme="minorEastAsia" w:eastAsiaTheme="minorEastAsia"/>
          <w:color w:val="000000" w:themeColor="text1"/>
          <w:sz w:val="24"/>
          <w:szCs w:val="24"/>
          <w14:textFill>
            <w14:solidFill>
              <w14:schemeClr w14:val="tx1"/>
            </w14:solidFill>
          </w14:textFill>
        </w:rPr>
        <w:instrText xml:space="preserve"> PAGEREF _Toc95997130 \h </w:instrText>
      </w:r>
      <w:r>
        <w:rPr>
          <w:rFonts w:asciiTheme="minorEastAsia" w:hAnsiTheme="minorEastAsia" w:eastAsiaTheme="minorEastAsia"/>
          <w:color w:val="000000" w:themeColor="text1"/>
          <w:sz w:val="24"/>
          <w:szCs w:val="24"/>
          <w14:textFill>
            <w14:solidFill>
              <w14:schemeClr w14:val="tx1"/>
            </w14:solidFill>
          </w14:textFill>
        </w:rPr>
        <w:fldChar w:fldCharType="separate"/>
      </w:r>
      <w:r>
        <w:rPr>
          <w:rFonts w:asciiTheme="minorEastAsia" w:hAnsiTheme="minorEastAsia" w:eastAsiaTheme="minorEastAsia"/>
          <w:color w:val="000000" w:themeColor="text1"/>
          <w:sz w:val="24"/>
          <w:szCs w:val="24"/>
          <w14:textFill>
            <w14:solidFill>
              <w14:schemeClr w14:val="tx1"/>
            </w14:solidFill>
          </w14:textFill>
        </w:rPr>
        <w:t>70</w:t>
      </w:r>
      <w:r>
        <w:rPr>
          <w:rFonts w:asciiTheme="minorEastAsia" w:hAnsiTheme="minorEastAsia" w:eastAsiaTheme="minorEastAsia"/>
          <w:color w:val="000000" w:themeColor="text1"/>
          <w:sz w:val="24"/>
          <w:szCs w:val="24"/>
          <w14:textFill>
            <w14:solidFill>
              <w14:schemeClr w14:val="tx1"/>
            </w14:solidFill>
          </w14:textFill>
        </w:rPr>
        <w:fldChar w:fldCharType="end"/>
      </w:r>
      <w:r>
        <w:rPr>
          <w:rFonts w:asciiTheme="minorEastAsia" w:hAnsiTheme="minorEastAsia" w:eastAsiaTheme="minorEastAsia"/>
          <w:color w:val="000000" w:themeColor="text1"/>
          <w:sz w:val="24"/>
          <w:szCs w:val="24"/>
          <w14:textFill>
            <w14:solidFill>
              <w14:schemeClr w14:val="tx1"/>
            </w14:solidFill>
          </w14:textFill>
        </w:rPr>
        <w:fldChar w:fldCharType="end"/>
      </w:r>
    </w:p>
    <w:p>
      <w:pPr>
        <w:pStyle w:val="15"/>
        <w:rPr>
          <w:rFonts w:asciiTheme="minorEastAsia" w:hAnsiTheme="minorEastAsia" w:eastAsiaTheme="minorEastAsia"/>
          <w:color w:val="000000" w:themeColor="text1"/>
          <w:sz w:val="24"/>
          <w:szCs w:val="24"/>
          <w14:textFill>
            <w14:solidFill>
              <w14:schemeClr w14:val="tx1"/>
            </w14:solidFill>
          </w14:textFill>
        </w:rPr>
      </w:pPr>
      <w:r>
        <w:fldChar w:fldCharType="begin"/>
      </w:r>
      <w:r>
        <w:instrText xml:space="preserve"> HYPERLINK \l "_Toc95997131" </w:instrText>
      </w:r>
      <w:r>
        <w:fldChar w:fldCharType="separate"/>
      </w:r>
      <w:r>
        <w:rPr>
          <w:rStyle w:val="23"/>
          <w:rFonts w:hint="eastAsia" w:asciiTheme="minorEastAsia" w:hAnsiTheme="minorEastAsia" w:eastAsiaTheme="minorEastAsia"/>
          <w:color w:val="000000" w:themeColor="text1"/>
          <w:sz w:val="24"/>
          <w:szCs w:val="24"/>
          <w14:textFill>
            <w14:solidFill>
              <w14:schemeClr w14:val="tx1"/>
            </w14:solidFill>
          </w14:textFill>
        </w:rPr>
        <w:t>第二十部分</w:t>
      </w:r>
      <w:r>
        <w:rPr>
          <w:rStyle w:val="23"/>
          <w:rFonts w:asciiTheme="minorEastAsia" w:hAnsiTheme="minorEastAsia" w:eastAsiaTheme="minorEastAsia"/>
          <w:color w:val="000000" w:themeColor="text1"/>
          <w:sz w:val="24"/>
          <w:szCs w:val="24"/>
          <w14:textFill>
            <w14:solidFill>
              <w14:schemeClr w14:val="tx1"/>
            </w14:solidFill>
          </w14:textFill>
        </w:rPr>
        <w:t xml:space="preserve">  </w:t>
      </w:r>
      <w:r>
        <w:rPr>
          <w:rStyle w:val="23"/>
          <w:rFonts w:hint="eastAsia" w:asciiTheme="minorEastAsia" w:hAnsiTheme="minorEastAsia" w:eastAsiaTheme="minorEastAsia"/>
          <w:color w:val="000000" w:themeColor="text1"/>
          <w:sz w:val="24"/>
          <w:szCs w:val="24"/>
          <w14:textFill>
            <w14:solidFill>
              <w14:schemeClr w14:val="tx1"/>
            </w14:solidFill>
          </w14:textFill>
        </w:rPr>
        <w:t>违约责任</w:t>
      </w:r>
      <w:r>
        <w:rPr>
          <w:rFonts w:asciiTheme="minorEastAsia" w:hAnsiTheme="minorEastAsia" w:eastAsiaTheme="minorEastAsia"/>
          <w:color w:val="000000" w:themeColor="text1"/>
          <w:sz w:val="24"/>
          <w:szCs w:val="24"/>
          <w14:textFill>
            <w14:solidFill>
              <w14:schemeClr w14:val="tx1"/>
            </w14:solidFill>
          </w14:textFill>
        </w:rPr>
        <w:tab/>
      </w:r>
      <w:r>
        <w:rPr>
          <w:rFonts w:asciiTheme="minorEastAsia" w:hAnsiTheme="minorEastAsia" w:eastAsiaTheme="minorEastAsia"/>
          <w:color w:val="000000" w:themeColor="text1"/>
          <w:sz w:val="24"/>
          <w:szCs w:val="24"/>
          <w14:textFill>
            <w14:solidFill>
              <w14:schemeClr w14:val="tx1"/>
            </w14:solidFill>
          </w14:textFill>
        </w:rPr>
        <w:fldChar w:fldCharType="begin"/>
      </w:r>
      <w:r>
        <w:rPr>
          <w:rFonts w:asciiTheme="minorEastAsia" w:hAnsiTheme="minorEastAsia" w:eastAsiaTheme="minorEastAsia"/>
          <w:color w:val="000000" w:themeColor="text1"/>
          <w:sz w:val="24"/>
          <w:szCs w:val="24"/>
          <w14:textFill>
            <w14:solidFill>
              <w14:schemeClr w14:val="tx1"/>
            </w14:solidFill>
          </w14:textFill>
        </w:rPr>
        <w:instrText xml:space="preserve"> PAGEREF _Toc95997131 \h </w:instrText>
      </w:r>
      <w:r>
        <w:rPr>
          <w:rFonts w:asciiTheme="minorEastAsia" w:hAnsiTheme="minorEastAsia" w:eastAsiaTheme="minorEastAsia"/>
          <w:color w:val="000000" w:themeColor="text1"/>
          <w:sz w:val="24"/>
          <w:szCs w:val="24"/>
          <w14:textFill>
            <w14:solidFill>
              <w14:schemeClr w14:val="tx1"/>
            </w14:solidFill>
          </w14:textFill>
        </w:rPr>
        <w:fldChar w:fldCharType="separate"/>
      </w:r>
      <w:r>
        <w:rPr>
          <w:rFonts w:asciiTheme="minorEastAsia" w:hAnsiTheme="minorEastAsia" w:eastAsiaTheme="minorEastAsia"/>
          <w:color w:val="000000" w:themeColor="text1"/>
          <w:sz w:val="24"/>
          <w:szCs w:val="24"/>
          <w14:textFill>
            <w14:solidFill>
              <w14:schemeClr w14:val="tx1"/>
            </w14:solidFill>
          </w14:textFill>
        </w:rPr>
        <w:t>72</w:t>
      </w:r>
      <w:r>
        <w:rPr>
          <w:rFonts w:asciiTheme="minorEastAsia" w:hAnsiTheme="minorEastAsia" w:eastAsiaTheme="minorEastAsia"/>
          <w:color w:val="000000" w:themeColor="text1"/>
          <w:sz w:val="24"/>
          <w:szCs w:val="24"/>
          <w14:textFill>
            <w14:solidFill>
              <w14:schemeClr w14:val="tx1"/>
            </w14:solidFill>
          </w14:textFill>
        </w:rPr>
        <w:fldChar w:fldCharType="end"/>
      </w:r>
      <w:r>
        <w:rPr>
          <w:rFonts w:asciiTheme="minorEastAsia" w:hAnsiTheme="minorEastAsia" w:eastAsiaTheme="minorEastAsia"/>
          <w:color w:val="000000" w:themeColor="text1"/>
          <w:sz w:val="24"/>
          <w:szCs w:val="24"/>
          <w14:textFill>
            <w14:solidFill>
              <w14:schemeClr w14:val="tx1"/>
            </w14:solidFill>
          </w14:textFill>
        </w:rPr>
        <w:fldChar w:fldCharType="end"/>
      </w:r>
    </w:p>
    <w:p>
      <w:pPr>
        <w:pStyle w:val="15"/>
        <w:rPr>
          <w:rFonts w:asciiTheme="minorEastAsia" w:hAnsiTheme="minorEastAsia" w:eastAsiaTheme="minorEastAsia"/>
          <w:color w:val="000000" w:themeColor="text1"/>
          <w:sz w:val="24"/>
          <w:szCs w:val="24"/>
          <w14:textFill>
            <w14:solidFill>
              <w14:schemeClr w14:val="tx1"/>
            </w14:solidFill>
          </w14:textFill>
        </w:rPr>
      </w:pPr>
      <w:r>
        <w:fldChar w:fldCharType="begin"/>
      </w:r>
      <w:r>
        <w:instrText xml:space="preserve"> HYPERLINK \l "_Toc95997132" </w:instrText>
      </w:r>
      <w:r>
        <w:fldChar w:fldCharType="separate"/>
      </w:r>
      <w:r>
        <w:rPr>
          <w:rStyle w:val="23"/>
          <w:rFonts w:hint="eastAsia" w:asciiTheme="minorEastAsia" w:hAnsiTheme="minorEastAsia" w:eastAsiaTheme="minorEastAsia"/>
          <w:color w:val="000000" w:themeColor="text1"/>
          <w:sz w:val="24"/>
          <w:szCs w:val="24"/>
          <w14:textFill>
            <w14:solidFill>
              <w14:schemeClr w14:val="tx1"/>
            </w14:solidFill>
          </w14:textFill>
        </w:rPr>
        <w:t>第二十一部分</w:t>
      </w:r>
      <w:r>
        <w:rPr>
          <w:rStyle w:val="23"/>
          <w:rFonts w:asciiTheme="minorEastAsia" w:hAnsiTheme="minorEastAsia" w:eastAsiaTheme="minorEastAsia"/>
          <w:color w:val="000000" w:themeColor="text1"/>
          <w:sz w:val="24"/>
          <w:szCs w:val="24"/>
          <w14:textFill>
            <w14:solidFill>
              <w14:schemeClr w14:val="tx1"/>
            </w14:solidFill>
          </w14:textFill>
        </w:rPr>
        <w:t xml:space="preserve">  </w:t>
      </w:r>
      <w:r>
        <w:rPr>
          <w:rStyle w:val="23"/>
          <w:rFonts w:hint="eastAsia" w:asciiTheme="minorEastAsia" w:hAnsiTheme="minorEastAsia" w:eastAsiaTheme="minorEastAsia"/>
          <w:color w:val="000000" w:themeColor="text1"/>
          <w:sz w:val="24"/>
          <w:szCs w:val="24"/>
          <w14:textFill>
            <w14:solidFill>
              <w14:schemeClr w14:val="tx1"/>
            </w14:solidFill>
          </w14:textFill>
        </w:rPr>
        <w:t>争议的处理和适用的法律</w:t>
      </w:r>
      <w:r>
        <w:rPr>
          <w:rFonts w:asciiTheme="minorEastAsia" w:hAnsiTheme="minorEastAsia" w:eastAsiaTheme="minorEastAsia"/>
          <w:color w:val="000000" w:themeColor="text1"/>
          <w:sz w:val="24"/>
          <w:szCs w:val="24"/>
          <w14:textFill>
            <w14:solidFill>
              <w14:schemeClr w14:val="tx1"/>
            </w14:solidFill>
          </w14:textFill>
        </w:rPr>
        <w:tab/>
      </w:r>
      <w:r>
        <w:rPr>
          <w:rFonts w:asciiTheme="minorEastAsia" w:hAnsiTheme="minorEastAsia" w:eastAsiaTheme="minorEastAsia"/>
          <w:color w:val="000000" w:themeColor="text1"/>
          <w:sz w:val="24"/>
          <w:szCs w:val="24"/>
          <w14:textFill>
            <w14:solidFill>
              <w14:schemeClr w14:val="tx1"/>
            </w14:solidFill>
          </w14:textFill>
        </w:rPr>
        <w:fldChar w:fldCharType="begin"/>
      </w:r>
      <w:r>
        <w:rPr>
          <w:rFonts w:asciiTheme="minorEastAsia" w:hAnsiTheme="minorEastAsia" w:eastAsiaTheme="minorEastAsia"/>
          <w:color w:val="000000" w:themeColor="text1"/>
          <w:sz w:val="24"/>
          <w:szCs w:val="24"/>
          <w14:textFill>
            <w14:solidFill>
              <w14:schemeClr w14:val="tx1"/>
            </w14:solidFill>
          </w14:textFill>
        </w:rPr>
        <w:instrText xml:space="preserve"> PAGEREF _Toc95997132 \h </w:instrText>
      </w:r>
      <w:r>
        <w:rPr>
          <w:rFonts w:asciiTheme="minorEastAsia" w:hAnsiTheme="minorEastAsia" w:eastAsiaTheme="minorEastAsia"/>
          <w:color w:val="000000" w:themeColor="text1"/>
          <w:sz w:val="24"/>
          <w:szCs w:val="24"/>
          <w14:textFill>
            <w14:solidFill>
              <w14:schemeClr w14:val="tx1"/>
            </w14:solidFill>
          </w14:textFill>
        </w:rPr>
        <w:fldChar w:fldCharType="separate"/>
      </w:r>
      <w:r>
        <w:rPr>
          <w:rFonts w:asciiTheme="minorEastAsia" w:hAnsiTheme="minorEastAsia" w:eastAsiaTheme="minorEastAsia"/>
          <w:color w:val="000000" w:themeColor="text1"/>
          <w:sz w:val="24"/>
          <w:szCs w:val="24"/>
          <w14:textFill>
            <w14:solidFill>
              <w14:schemeClr w14:val="tx1"/>
            </w14:solidFill>
          </w14:textFill>
        </w:rPr>
        <w:t>73</w:t>
      </w:r>
      <w:r>
        <w:rPr>
          <w:rFonts w:asciiTheme="minorEastAsia" w:hAnsiTheme="minorEastAsia" w:eastAsiaTheme="minorEastAsia"/>
          <w:color w:val="000000" w:themeColor="text1"/>
          <w:sz w:val="24"/>
          <w:szCs w:val="24"/>
          <w14:textFill>
            <w14:solidFill>
              <w14:schemeClr w14:val="tx1"/>
            </w14:solidFill>
          </w14:textFill>
        </w:rPr>
        <w:fldChar w:fldCharType="end"/>
      </w:r>
      <w:r>
        <w:rPr>
          <w:rFonts w:asciiTheme="minorEastAsia" w:hAnsiTheme="minorEastAsia" w:eastAsiaTheme="minorEastAsia"/>
          <w:color w:val="000000" w:themeColor="text1"/>
          <w:sz w:val="24"/>
          <w:szCs w:val="24"/>
          <w14:textFill>
            <w14:solidFill>
              <w14:schemeClr w14:val="tx1"/>
            </w14:solidFill>
          </w14:textFill>
        </w:rPr>
        <w:fldChar w:fldCharType="end"/>
      </w:r>
    </w:p>
    <w:p>
      <w:pPr>
        <w:pStyle w:val="15"/>
        <w:rPr>
          <w:rFonts w:asciiTheme="minorEastAsia" w:hAnsiTheme="minorEastAsia" w:eastAsiaTheme="minorEastAsia"/>
          <w:color w:val="000000" w:themeColor="text1"/>
          <w:sz w:val="24"/>
          <w:szCs w:val="24"/>
          <w14:textFill>
            <w14:solidFill>
              <w14:schemeClr w14:val="tx1"/>
            </w14:solidFill>
          </w14:textFill>
        </w:rPr>
      </w:pPr>
      <w:r>
        <w:fldChar w:fldCharType="begin"/>
      </w:r>
      <w:r>
        <w:instrText xml:space="preserve"> HYPERLINK \l "_Toc95997133" </w:instrText>
      </w:r>
      <w:r>
        <w:fldChar w:fldCharType="separate"/>
      </w:r>
      <w:r>
        <w:rPr>
          <w:rStyle w:val="23"/>
          <w:rFonts w:hint="eastAsia" w:asciiTheme="minorEastAsia" w:hAnsiTheme="minorEastAsia" w:eastAsiaTheme="minorEastAsia"/>
          <w:color w:val="000000" w:themeColor="text1"/>
          <w:sz w:val="24"/>
          <w:szCs w:val="24"/>
          <w14:textFill>
            <w14:solidFill>
              <w14:schemeClr w14:val="tx1"/>
            </w14:solidFill>
          </w14:textFill>
        </w:rPr>
        <w:t>第二十二部分</w:t>
      </w:r>
      <w:r>
        <w:rPr>
          <w:rStyle w:val="23"/>
          <w:rFonts w:asciiTheme="minorEastAsia" w:hAnsiTheme="minorEastAsia" w:eastAsiaTheme="minorEastAsia"/>
          <w:color w:val="000000" w:themeColor="text1"/>
          <w:sz w:val="24"/>
          <w:szCs w:val="24"/>
          <w14:textFill>
            <w14:solidFill>
              <w14:schemeClr w14:val="tx1"/>
            </w14:solidFill>
          </w14:textFill>
        </w:rPr>
        <w:t xml:space="preserve">  </w:t>
      </w:r>
      <w:r>
        <w:rPr>
          <w:rStyle w:val="23"/>
          <w:rFonts w:hint="eastAsia" w:asciiTheme="minorEastAsia" w:hAnsiTheme="minorEastAsia" w:eastAsiaTheme="minorEastAsia"/>
          <w:color w:val="000000" w:themeColor="text1"/>
          <w:sz w:val="24"/>
          <w:szCs w:val="24"/>
          <w14:textFill>
            <w14:solidFill>
              <w14:schemeClr w14:val="tx1"/>
            </w14:solidFill>
          </w14:textFill>
        </w:rPr>
        <w:t>基金合同的效力</w:t>
      </w:r>
      <w:r>
        <w:rPr>
          <w:rFonts w:asciiTheme="minorEastAsia" w:hAnsiTheme="minorEastAsia" w:eastAsiaTheme="minorEastAsia"/>
          <w:color w:val="000000" w:themeColor="text1"/>
          <w:sz w:val="24"/>
          <w:szCs w:val="24"/>
          <w14:textFill>
            <w14:solidFill>
              <w14:schemeClr w14:val="tx1"/>
            </w14:solidFill>
          </w14:textFill>
        </w:rPr>
        <w:tab/>
      </w:r>
      <w:r>
        <w:rPr>
          <w:rFonts w:asciiTheme="minorEastAsia" w:hAnsiTheme="minorEastAsia" w:eastAsiaTheme="minorEastAsia"/>
          <w:color w:val="000000" w:themeColor="text1"/>
          <w:sz w:val="24"/>
          <w:szCs w:val="24"/>
          <w14:textFill>
            <w14:solidFill>
              <w14:schemeClr w14:val="tx1"/>
            </w14:solidFill>
          </w14:textFill>
        </w:rPr>
        <w:fldChar w:fldCharType="begin"/>
      </w:r>
      <w:r>
        <w:rPr>
          <w:rFonts w:asciiTheme="minorEastAsia" w:hAnsiTheme="minorEastAsia" w:eastAsiaTheme="minorEastAsia"/>
          <w:color w:val="000000" w:themeColor="text1"/>
          <w:sz w:val="24"/>
          <w:szCs w:val="24"/>
          <w14:textFill>
            <w14:solidFill>
              <w14:schemeClr w14:val="tx1"/>
            </w14:solidFill>
          </w14:textFill>
        </w:rPr>
        <w:instrText xml:space="preserve"> PAGEREF _Toc95997133 \h </w:instrText>
      </w:r>
      <w:r>
        <w:rPr>
          <w:rFonts w:asciiTheme="minorEastAsia" w:hAnsiTheme="minorEastAsia" w:eastAsiaTheme="minorEastAsia"/>
          <w:color w:val="000000" w:themeColor="text1"/>
          <w:sz w:val="24"/>
          <w:szCs w:val="24"/>
          <w14:textFill>
            <w14:solidFill>
              <w14:schemeClr w14:val="tx1"/>
            </w14:solidFill>
          </w14:textFill>
        </w:rPr>
        <w:fldChar w:fldCharType="separate"/>
      </w:r>
      <w:r>
        <w:rPr>
          <w:rFonts w:asciiTheme="minorEastAsia" w:hAnsiTheme="minorEastAsia" w:eastAsiaTheme="minorEastAsia"/>
          <w:color w:val="000000" w:themeColor="text1"/>
          <w:sz w:val="24"/>
          <w:szCs w:val="24"/>
          <w14:textFill>
            <w14:solidFill>
              <w14:schemeClr w14:val="tx1"/>
            </w14:solidFill>
          </w14:textFill>
        </w:rPr>
        <w:t>74</w:t>
      </w:r>
      <w:r>
        <w:rPr>
          <w:rFonts w:asciiTheme="minorEastAsia" w:hAnsiTheme="minorEastAsia" w:eastAsiaTheme="minorEastAsia"/>
          <w:color w:val="000000" w:themeColor="text1"/>
          <w:sz w:val="24"/>
          <w:szCs w:val="24"/>
          <w14:textFill>
            <w14:solidFill>
              <w14:schemeClr w14:val="tx1"/>
            </w14:solidFill>
          </w14:textFill>
        </w:rPr>
        <w:fldChar w:fldCharType="end"/>
      </w:r>
      <w:r>
        <w:rPr>
          <w:rFonts w:asciiTheme="minorEastAsia" w:hAnsiTheme="minorEastAsia" w:eastAsiaTheme="minorEastAsia"/>
          <w:color w:val="000000" w:themeColor="text1"/>
          <w:sz w:val="24"/>
          <w:szCs w:val="24"/>
          <w14:textFill>
            <w14:solidFill>
              <w14:schemeClr w14:val="tx1"/>
            </w14:solidFill>
          </w14:textFill>
        </w:rPr>
        <w:fldChar w:fldCharType="end"/>
      </w:r>
    </w:p>
    <w:p>
      <w:pPr>
        <w:pStyle w:val="15"/>
        <w:rPr>
          <w:rFonts w:asciiTheme="minorEastAsia" w:hAnsiTheme="minorEastAsia" w:eastAsiaTheme="minorEastAsia"/>
          <w:color w:val="000000" w:themeColor="text1"/>
          <w:sz w:val="24"/>
          <w:szCs w:val="24"/>
          <w14:textFill>
            <w14:solidFill>
              <w14:schemeClr w14:val="tx1"/>
            </w14:solidFill>
          </w14:textFill>
        </w:rPr>
      </w:pPr>
      <w:r>
        <w:fldChar w:fldCharType="begin"/>
      </w:r>
      <w:r>
        <w:instrText xml:space="preserve"> HYPERLINK \l "_Toc95997134" </w:instrText>
      </w:r>
      <w:r>
        <w:fldChar w:fldCharType="separate"/>
      </w:r>
      <w:r>
        <w:rPr>
          <w:rStyle w:val="23"/>
          <w:rFonts w:hint="eastAsia" w:asciiTheme="minorEastAsia" w:hAnsiTheme="minorEastAsia" w:eastAsiaTheme="minorEastAsia"/>
          <w:color w:val="000000" w:themeColor="text1"/>
          <w:sz w:val="24"/>
          <w:szCs w:val="24"/>
          <w14:textFill>
            <w14:solidFill>
              <w14:schemeClr w14:val="tx1"/>
            </w14:solidFill>
          </w14:textFill>
        </w:rPr>
        <w:t>第二十三部分</w:t>
      </w:r>
      <w:r>
        <w:rPr>
          <w:rStyle w:val="23"/>
          <w:rFonts w:asciiTheme="minorEastAsia" w:hAnsiTheme="minorEastAsia" w:eastAsiaTheme="minorEastAsia"/>
          <w:color w:val="000000" w:themeColor="text1"/>
          <w:sz w:val="24"/>
          <w:szCs w:val="24"/>
          <w14:textFill>
            <w14:solidFill>
              <w14:schemeClr w14:val="tx1"/>
            </w14:solidFill>
          </w14:textFill>
        </w:rPr>
        <w:t xml:space="preserve">  </w:t>
      </w:r>
      <w:r>
        <w:rPr>
          <w:rStyle w:val="23"/>
          <w:rFonts w:hint="eastAsia" w:asciiTheme="minorEastAsia" w:hAnsiTheme="minorEastAsia" w:eastAsiaTheme="minorEastAsia"/>
          <w:color w:val="000000" w:themeColor="text1"/>
          <w:sz w:val="24"/>
          <w:szCs w:val="24"/>
          <w14:textFill>
            <w14:solidFill>
              <w14:schemeClr w14:val="tx1"/>
            </w14:solidFill>
          </w14:textFill>
        </w:rPr>
        <w:t>其他事项</w:t>
      </w:r>
      <w:r>
        <w:rPr>
          <w:rFonts w:asciiTheme="minorEastAsia" w:hAnsiTheme="minorEastAsia" w:eastAsiaTheme="minorEastAsia"/>
          <w:color w:val="000000" w:themeColor="text1"/>
          <w:sz w:val="24"/>
          <w:szCs w:val="24"/>
          <w14:textFill>
            <w14:solidFill>
              <w14:schemeClr w14:val="tx1"/>
            </w14:solidFill>
          </w14:textFill>
        </w:rPr>
        <w:tab/>
      </w:r>
      <w:r>
        <w:rPr>
          <w:rFonts w:asciiTheme="minorEastAsia" w:hAnsiTheme="minorEastAsia" w:eastAsiaTheme="minorEastAsia"/>
          <w:color w:val="000000" w:themeColor="text1"/>
          <w:sz w:val="24"/>
          <w:szCs w:val="24"/>
          <w14:textFill>
            <w14:solidFill>
              <w14:schemeClr w14:val="tx1"/>
            </w14:solidFill>
          </w14:textFill>
        </w:rPr>
        <w:fldChar w:fldCharType="begin"/>
      </w:r>
      <w:r>
        <w:rPr>
          <w:rFonts w:asciiTheme="minorEastAsia" w:hAnsiTheme="minorEastAsia" w:eastAsiaTheme="minorEastAsia"/>
          <w:color w:val="000000" w:themeColor="text1"/>
          <w:sz w:val="24"/>
          <w:szCs w:val="24"/>
          <w14:textFill>
            <w14:solidFill>
              <w14:schemeClr w14:val="tx1"/>
            </w14:solidFill>
          </w14:textFill>
        </w:rPr>
        <w:instrText xml:space="preserve"> PAGEREF _Toc95997134 \h </w:instrText>
      </w:r>
      <w:r>
        <w:rPr>
          <w:rFonts w:asciiTheme="minorEastAsia" w:hAnsiTheme="minorEastAsia" w:eastAsiaTheme="minorEastAsia"/>
          <w:color w:val="000000" w:themeColor="text1"/>
          <w:sz w:val="24"/>
          <w:szCs w:val="24"/>
          <w14:textFill>
            <w14:solidFill>
              <w14:schemeClr w14:val="tx1"/>
            </w14:solidFill>
          </w14:textFill>
        </w:rPr>
        <w:fldChar w:fldCharType="separate"/>
      </w:r>
      <w:r>
        <w:rPr>
          <w:rFonts w:asciiTheme="minorEastAsia" w:hAnsiTheme="minorEastAsia" w:eastAsiaTheme="minorEastAsia"/>
          <w:color w:val="000000" w:themeColor="text1"/>
          <w:sz w:val="24"/>
          <w:szCs w:val="24"/>
          <w14:textFill>
            <w14:solidFill>
              <w14:schemeClr w14:val="tx1"/>
            </w14:solidFill>
          </w14:textFill>
        </w:rPr>
        <w:t>75</w:t>
      </w:r>
      <w:r>
        <w:rPr>
          <w:rFonts w:asciiTheme="minorEastAsia" w:hAnsiTheme="minorEastAsia" w:eastAsiaTheme="minorEastAsia"/>
          <w:color w:val="000000" w:themeColor="text1"/>
          <w:sz w:val="24"/>
          <w:szCs w:val="24"/>
          <w14:textFill>
            <w14:solidFill>
              <w14:schemeClr w14:val="tx1"/>
            </w14:solidFill>
          </w14:textFill>
        </w:rPr>
        <w:fldChar w:fldCharType="end"/>
      </w:r>
      <w:r>
        <w:rPr>
          <w:rFonts w:asciiTheme="minorEastAsia" w:hAnsiTheme="minorEastAsia" w:eastAsiaTheme="minorEastAsia"/>
          <w:color w:val="000000" w:themeColor="text1"/>
          <w:sz w:val="24"/>
          <w:szCs w:val="24"/>
          <w14:textFill>
            <w14:solidFill>
              <w14:schemeClr w14:val="tx1"/>
            </w14:solidFill>
          </w14:textFill>
        </w:rPr>
        <w:fldChar w:fldCharType="end"/>
      </w:r>
    </w:p>
    <w:p>
      <w:pPr>
        <w:pStyle w:val="15"/>
        <w:rPr>
          <w:rFonts w:ascii="Calibri" w:hAnsi="Calibri"/>
          <w:color w:val="000000" w:themeColor="text1"/>
          <w:szCs w:val="22"/>
          <w14:textFill>
            <w14:solidFill>
              <w14:schemeClr w14:val="tx1"/>
            </w14:solidFill>
          </w14:textFill>
        </w:rPr>
      </w:pPr>
      <w:r>
        <w:fldChar w:fldCharType="begin"/>
      </w:r>
      <w:r>
        <w:instrText xml:space="preserve"> HYPERLINK \l "_Toc95997135" </w:instrText>
      </w:r>
      <w:r>
        <w:fldChar w:fldCharType="separate"/>
      </w:r>
      <w:r>
        <w:rPr>
          <w:rStyle w:val="23"/>
          <w:rFonts w:hint="eastAsia" w:asciiTheme="minorEastAsia" w:hAnsiTheme="minorEastAsia" w:eastAsiaTheme="minorEastAsia"/>
          <w:color w:val="000000" w:themeColor="text1"/>
          <w:sz w:val="24"/>
          <w:szCs w:val="24"/>
          <w14:textFill>
            <w14:solidFill>
              <w14:schemeClr w14:val="tx1"/>
            </w14:solidFill>
          </w14:textFill>
        </w:rPr>
        <w:t>第二十四部分</w:t>
      </w:r>
      <w:r>
        <w:rPr>
          <w:rStyle w:val="23"/>
          <w:rFonts w:asciiTheme="minorEastAsia" w:hAnsiTheme="minorEastAsia" w:eastAsiaTheme="minorEastAsia"/>
          <w:color w:val="000000" w:themeColor="text1"/>
          <w:sz w:val="24"/>
          <w:szCs w:val="24"/>
          <w14:textFill>
            <w14:solidFill>
              <w14:schemeClr w14:val="tx1"/>
            </w14:solidFill>
          </w14:textFill>
        </w:rPr>
        <w:t xml:space="preserve">  </w:t>
      </w:r>
      <w:r>
        <w:rPr>
          <w:rStyle w:val="23"/>
          <w:rFonts w:hint="eastAsia" w:asciiTheme="minorEastAsia" w:hAnsiTheme="minorEastAsia" w:eastAsiaTheme="minorEastAsia"/>
          <w:color w:val="000000" w:themeColor="text1"/>
          <w:sz w:val="24"/>
          <w:szCs w:val="24"/>
          <w14:textFill>
            <w14:solidFill>
              <w14:schemeClr w14:val="tx1"/>
            </w14:solidFill>
          </w14:textFill>
        </w:rPr>
        <w:t>基金合同内容摘要</w:t>
      </w:r>
      <w:r>
        <w:rPr>
          <w:rFonts w:asciiTheme="minorEastAsia" w:hAnsiTheme="minorEastAsia" w:eastAsiaTheme="minorEastAsia"/>
          <w:color w:val="000000" w:themeColor="text1"/>
          <w:sz w:val="24"/>
          <w:szCs w:val="24"/>
          <w14:textFill>
            <w14:solidFill>
              <w14:schemeClr w14:val="tx1"/>
            </w14:solidFill>
          </w14:textFill>
        </w:rPr>
        <w:tab/>
      </w:r>
      <w:r>
        <w:rPr>
          <w:rFonts w:asciiTheme="minorEastAsia" w:hAnsiTheme="minorEastAsia" w:eastAsiaTheme="minorEastAsia"/>
          <w:color w:val="000000" w:themeColor="text1"/>
          <w:sz w:val="24"/>
          <w:szCs w:val="24"/>
          <w14:textFill>
            <w14:solidFill>
              <w14:schemeClr w14:val="tx1"/>
            </w14:solidFill>
          </w14:textFill>
        </w:rPr>
        <w:fldChar w:fldCharType="begin"/>
      </w:r>
      <w:r>
        <w:rPr>
          <w:rFonts w:asciiTheme="minorEastAsia" w:hAnsiTheme="minorEastAsia" w:eastAsiaTheme="minorEastAsia"/>
          <w:color w:val="000000" w:themeColor="text1"/>
          <w:sz w:val="24"/>
          <w:szCs w:val="24"/>
          <w14:textFill>
            <w14:solidFill>
              <w14:schemeClr w14:val="tx1"/>
            </w14:solidFill>
          </w14:textFill>
        </w:rPr>
        <w:instrText xml:space="preserve"> PAGEREF _Toc95997135 \h </w:instrText>
      </w:r>
      <w:r>
        <w:rPr>
          <w:rFonts w:asciiTheme="minorEastAsia" w:hAnsiTheme="minorEastAsia" w:eastAsiaTheme="minorEastAsia"/>
          <w:color w:val="000000" w:themeColor="text1"/>
          <w:sz w:val="24"/>
          <w:szCs w:val="24"/>
          <w14:textFill>
            <w14:solidFill>
              <w14:schemeClr w14:val="tx1"/>
            </w14:solidFill>
          </w14:textFill>
        </w:rPr>
        <w:fldChar w:fldCharType="separate"/>
      </w:r>
      <w:r>
        <w:rPr>
          <w:rFonts w:asciiTheme="minorEastAsia" w:hAnsiTheme="minorEastAsia" w:eastAsiaTheme="minorEastAsia"/>
          <w:color w:val="000000" w:themeColor="text1"/>
          <w:sz w:val="24"/>
          <w:szCs w:val="24"/>
          <w14:textFill>
            <w14:solidFill>
              <w14:schemeClr w14:val="tx1"/>
            </w14:solidFill>
          </w14:textFill>
        </w:rPr>
        <w:t>76</w:t>
      </w:r>
      <w:r>
        <w:rPr>
          <w:rFonts w:asciiTheme="minorEastAsia" w:hAnsiTheme="minorEastAsia" w:eastAsiaTheme="minorEastAsia"/>
          <w:color w:val="000000" w:themeColor="text1"/>
          <w:sz w:val="24"/>
          <w:szCs w:val="24"/>
          <w14:textFill>
            <w14:solidFill>
              <w14:schemeClr w14:val="tx1"/>
            </w14:solidFill>
          </w14:textFill>
        </w:rPr>
        <w:fldChar w:fldCharType="end"/>
      </w:r>
      <w:r>
        <w:rPr>
          <w:rFonts w:asciiTheme="minorEastAsia" w:hAnsiTheme="minorEastAsia" w:eastAsiaTheme="minorEastAsia"/>
          <w:color w:val="000000" w:themeColor="text1"/>
          <w:sz w:val="24"/>
          <w:szCs w:val="24"/>
          <w14:textFill>
            <w14:solidFill>
              <w14:schemeClr w14:val="tx1"/>
            </w14:solidFill>
          </w14:textFill>
        </w:rPr>
        <w:fldChar w:fldCharType="end"/>
      </w:r>
    </w:p>
    <w:p>
      <w:pPr>
        <w:pStyle w:val="2"/>
        <w:spacing w:before="0" w:after="0"/>
        <w:jc w:val="left"/>
        <w:rPr>
          <w:rFonts w:ascii="Times New Roman"/>
          <w:b w:val="0"/>
          <w:bCs/>
          <w:color w:val="000000" w:themeColor="text1"/>
          <w:kern w:val="2"/>
          <w14:textFill>
            <w14:solidFill>
              <w14:schemeClr w14:val="tx1"/>
            </w14:solidFill>
          </w14:textFill>
        </w:rPr>
        <w:sectPr>
          <w:headerReference r:id="rId5" w:type="default"/>
          <w:pgSz w:w="11906" w:h="16838"/>
          <w:pgMar w:top="1440" w:right="1800" w:bottom="1440" w:left="1800" w:header="851" w:footer="992" w:gutter="0"/>
          <w:pgNumType w:start="1"/>
          <w:cols w:space="720" w:num="1"/>
          <w:docGrid w:type="lines" w:linePitch="312" w:charSpace="0"/>
        </w:sectPr>
      </w:pPr>
      <w:r>
        <w:rPr>
          <w:rFonts w:ascii="Times New Roman"/>
          <w:b w:val="0"/>
          <w:bCs/>
          <w:color w:val="000000" w:themeColor="text1"/>
          <w:kern w:val="2"/>
          <w14:textFill>
            <w14:solidFill>
              <w14:schemeClr w14:val="tx1"/>
            </w14:solidFill>
          </w14:textFill>
        </w:rPr>
        <w:fldChar w:fldCharType="end"/>
      </w:r>
      <w:bookmarkStart w:id="28" w:name="_Toc141703880"/>
      <w:bookmarkStart w:id="29" w:name="_Toc4966"/>
      <w:bookmarkStart w:id="30" w:name="_Toc29629"/>
      <w:bookmarkStart w:id="31" w:name="_Toc30935"/>
      <w:bookmarkStart w:id="32" w:name="_Toc15517"/>
      <w:bookmarkStart w:id="33" w:name="_Toc8727"/>
      <w:bookmarkStart w:id="34" w:name="_Toc23386"/>
      <w:bookmarkStart w:id="35" w:name="_Toc139991730"/>
      <w:bookmarkStart w:id="36" w:name="_Toc32639"/>
      <w:bookmarkStart w:id="37" w:name="_Toc26897"/>
      <w:bookmarkStart w:id="38" w:name="_Toc6306"/>
      <w:bookmarkStart w:id="39" w:name="_Toc4867"/>
      <w:bookmarkStart w:id="40" w:name="_Toc123112229"/>
      <w:bookmarkStart w:id="41" w:name="_Toc123701389"/>
      <w:bookmarkStart w:id="42" w:name="_Toc123112268"/>
      <w:bookmarkStart w:id="43" w:name="_Toc233456271"/>
    </w:p>
    <w:p>
      <w:pPr>
        <w:pStyle w:val="2"/>
        <w:spacing w:before="0" w:after="0"/>
        <w:jc w:val="center"/>
        <w:rPr>
          <w:rFonts w:ascii="Times New Roman"/>
          <w:color w:val="000000" w:themeColor="text1"/>
          <w:sz w:val="30"/>
          <w14:textFill>
            <w14:solidFill>
              <w14:schemeClr w14:val="tx1"/>
            </w14:solidFill>
          </w14:textFill>
        </w:rPr>
      </w:pPr>
      <w:bookmarkStart w:id="44" w:name="_Toc95997112"/>
      <w:r>
        <w:rPr>
          <w:rFonts w:ascii="Times New Roman"/>
          <w:color w:val="000000" w:themeColor="text1"/>
          <w:sz w:val="30"/>
          <w14:textFill>
            <w14:solidFill>
              <w14:schemeClr w14:val="tx1"/>
            </w14:solidFill>
          </w14:textFill>
        </w:rPr>
        <w:t>第一部分  前言</w:t>
      </w:r>
      <w:bookmarkEnd w:id="28"/>
      <w:bookmarkEnd w:id="29"/>
      <w:bookmarkEnd w:id="30"/>
      <w:bookmarkEnd w:id="31"/>
      <w:bookmarkEnd w:id="32"/>
      <w:bookmarkEnd w:id="33"/>
      <w:bookmarkEnd w:id="34"/>
      <w:bookmarkEnd w:id="35"/>
      <w:bookmarkEnd w:id="36"/>
      <w:bookmarkEnd w:id="37"/>
      <w:bookmarkEnd w:id="38"/>
      <w:bookmarkEnd w:id="39"/>
      <w:bookmarkEnd w:id="44"/>
    </w:p>
    <w:p>
      <w:pPr>
        <w:rPr>
          <w:bCs/>
          <w:color w:val="000000" w:themeColor="text1"/>
          <w14:textFill>
            <w14:solidFill>
              <w14:schemeClr w14:val="tx1"/>
            </w14:solidFill>
          </w14:textFill>
        </w:rPr>
      </w:pPr>
      <w:bookmarkStart w:id="45" w:name="_Toc139991731"/>
    </w:p>
    <w:bookmarkEnd w:id="40"/>
    <w:bookmarkEnd w:id="41"/>
    <w:bookmarkEnd w:id="42"/>
    <w:bookmarkEnd w:id="45"/>
    <w:p>
      <w:pPr>
        <w:spacing w:line="360" w:lineRule="auto"/>
        <w:ind w:firstLine="480" w:firstLineChars="200"/>
        <w:rPr>
          <w:bCs/>
          <w:color w:val="000000" w:themeColor="text1"/>
          <w:sz w:val="24"/>
          <w14:textFill>
            <w14:solidFill>
              <w14:schemeClr w14:val="tx1"/>
            </w14:solidFill>
          </w14:textFill>
        </w:rPr>
      </w:pPr>
      <w:bookmarkStart w:id="46" w:name="_Toc258829399"/>
      <w:r>
        <w:rPr>
          <w:rFonts w:hint="eastAsia"/>
          <w:bCs/>
          <w:color w:val="000000" w:themeColor="text1"/>
          <w:sz w:val="24"/>
          <w14:textFill>
            <w14:solidFill>
              <w14:schemeClr w14:val="tx1"/>
            </w14:solidFill>
          </w14:textFill>
        </w:rPr>
        <w:t>一、</w:t>
      </w:r>
      <w:r>
        <w:rPr>
          <w:bCs/>
          <w:color w:val="000000" w:themeColor="text1"/>
          <w:sz w:val="24"/>
          <w14:textFill>
            <w14:solidFill>
              <w14:schemeClr w14:val="tx1"/>
            </w14:solidFill>
          </w14:textFill>
        </w:rPr>
        <w:t>订立本基金合同的目的、依据和原则</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w:t>
      </w: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订立本基金合同的目的是保护投资人合法权益，明确基金合同当事人的权利义务，规范基金运作。</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2</w:t>
      </w: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订立本基金合同的依据是《中华人民共和国</w:t>
      </w:r>
      <w:r>
        <w:rPr>
          <w:rFonts w:hint="eastAsia"/>
          <w:bCs/>
          <w:color w:val="000000" w:themeColor="text1"/>
          <w:sz w:val="24"/>
          <w14:textFill>
            <w14:solidFill>
              <w14:schemeClr w14:val="tx1"/>
            </w14:solidFill>
          </w14:textFill>
        </w:rPr>
        <w:t>民法典</w:t>
      </w:r>
      <w:r>
        <w:rPr>
          <w:bCs/>
          <w:color w:val="000000" w:themeColor="text1"/>
          <w:sz w:val="24"/>
          <w14:textFill>
            <w14:solidFill>
              <w14:schemeClr w14:val="tx1"/>
            </w14:solidFill>
          </w14:textFill>
        </w:rPr>
        <w:t>》、《中华人民共和国证券投资基金法》（以下简称</w:t>
      </w: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《基金法》</w:t>
      </w: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w:t>
      </w:r>
      <w:r>
        <w:rPr>
          <w:rFonts w:hint="eastAsia"/>
          <w:bCs/>
          <w:color w:val="000000" w:themeColor="text1"/>
          <w:sz w:val="24"/>
          <w14:textFill>
            <w14:solidFill>
              <w14:schemeClr w14:val="tx1"/>
            </w14:solidFill>
          </w14:textFill>
        </w:rPr>
        <w:t>公开募集</w:t>
      </w:r>
      <w:r>
        <w:rPr>
          <w:bCs/>
          <w:color w:val="000000" w:themeColor="text1"/>
          <w:sz w:val="24"/>
          <w14:textFill>
            <w14:solidFill>
              <w14:schemeClr w14:val="tx1"/>
            </w14:solidFill>
          </w14:textFill>
        </w:rPr>
        <w:t>证券投资基金运作管理办法》（以下简称</w:t>
      </w: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《运作办法》</w:t>
      </w: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）、《公开募集证券投资基金销售</w:t>
      </w:r>
      <w:r>
        <w:rPr>
          <w:rFonts w:hint="eastAsia"/>
          <w:bCs/>
          <w:color w:val="000000" w:themeColor="text1"/>
          <w:sz w:val="24"/>
          <w14:textFill>
            <w14:solidFill>
              <w14:schemeClr w14:val="tx1"/>
            </w14:solidFill>
          </w14:textFill>
        </w:rPr>
        <w:t>机构监督</w:t>
      </w:r>
      <w:r>
        <w:rPr>
          <w:bCs/>
          <w:color w:val="000000" w:themeColor="text1"/>
          <w:sz w:val="24"/>
          <w14:textFill>
            <w14:solidFill>
              <w14:schemeClr w14:val="tx1"/>
            </w14:solidFill>
          </w14:textFill>
        </w:rPr>
        <w:t>管理办法》（以下简称</w:t>
      </w: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《销售办法》</w:t>
      </w: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）、《公开募集证券投资基金信息披露管理办法》（以下简称</w:t>
      </w: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《信息披露办法》</w:t>
      </w: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）、《公开募集开放式证券投资基金流动性风险管理规定》（以下简称</w:t>
      </w: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《流动性风险</w:t>
      </w:r>
      <w:r>
        <w:rPr>
          <w:rFonts w:hint="eastAsia"/>
          <w:bCs/>
          <w:color w:val="000000" w:themeColor="text1"/>
          <w:sz w:val="24"/>
          <w14:textFill>
            <w14:solidFill>
              <w14:schemeClr w14:val="tx1"/>
            </w14:solidFill>
          </w14:textFill>
        </w:rPr>
        <w:t>管理</w:t>
      </w:r>
      <w:r>
        <w:rPr>
          <w:bCs/>
          <w:color w:val="000000" w:themeColor="text1"/>
          <w:sz w:val="24"/>
          <w14:textFill>
            <w14:solidFill>
              <w14:schemeClr w14:val="tx1"/>
            </w14:solidFill>
          </w14:textFill>
        </w:rPr>
        <w:t>规定》</w:t>
      </w: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）和其他有关法律法规。</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3</w:t>
      </w: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订立本基金合同的原则是平等自愿、诚实信用、充分保护投资人合法权益。</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二、</w:t>
      </w:r>
      <w:r>
        <w:rPr>
          <w:bCs/>
          <w:color w:val="000000" w:themeColor="text1"/>
          <w:sz w:val="24"/>
          <w14:textFill>
            <w14:solidFill>
              <w14:schemeClr w14:val="tx1"/>
            </w14:solidFill>
          </w14:textFill>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pPr>
        <w:spacing w:line="360" w:lineRule="auto"/>
        <w:ind w:firstLine="480" w:firstLineChars="200"/>
        <w:rPr>
          <w:bCs/>
          <w:color w:val="000000" w:themeColor="text1"/>
          <w14:textFill>
            <w14:solidFill>
              <w14:schemeClr w14:val="tx1"/>
            </w14:solidFill>
          </w14:textFill>
        </w:rPr>
      </w:pPr>
      <w:r>
        <w:rPr>
          <w:bCs/>
          <w:color w:val="000000" w:themeColor="text1"/>
          <w:sz w:val="24"/>
          <w14:textFill>
            <w14:solidFill>
              <w14:schemeClr w14:val="tx1"/>
            </w14:solidFill>
          </w14:textFill>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三、</w:t>
      </w:r>
      <w:r>
        <w:rPr>
          <w:rFonts w:hint="eastAsia"/>
          <w:bCs/>
          <w:color w:val="000000" w:themeColor="text1"/>
          <w:sz w:val="24"/>
          <w:lang w:eastAsia="zh-CN"/>
          <w14:textFill>
            <w14:solidFill>
              <w14:schemeClr w14:val="tx1"/>
            </w14:solidFill>
          </w14:textFill>
        </w:rPr>
        <w:t>国新国证</w:t>
      </w:r>
      <w:r>
        <w:rPr>
          <w:rFonts w:hint="eastAsia"/>
          <w:bCs/>
          <w:color w:val="000000" w:themeColor="text1"/>
          <w:sz w:val="24"/>
          <w14:textFill>
            <w14:solidFill>
              <w14:schemeClr w14:val="tx1"/>
            </w14:solidFill>
          </w14:textFill>
        </w:rPr>
        <w:t>鑫裕央企债六个月定期开放债券型</w:t>
      </w:r>
      <w:r>
        <w:rPr>
          <w:bCs/>
          <w:color w:val="000000" w:themeColor="text1"/>
          <w:sz w:val="24"/>
          <w14:textFill>
            <w14:solidFill>
              <w14:schemeClr w14:val="tx1"/>
            </w14:solidFill>
          </w14:textFill>
        </w:rPr>
        <w:t>证券投资基金由基金管理人依照《基金法》、基金合同及其他有关规定募集，并经中国证券监督管理委员会（以下简称</w:t>
      </w: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中国证监会</w:t>
      </w: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w:t>
      </w:r>
      <w:r>
        <w:rPr>
          <w:rFonts w:hint="eastAsia"/>
          <w:bCs/>
          <w:color w:val="000000" w:themeColor="text1"/>
          <w:sz w:val="24"/>
          <w14:textFill>
            <w14:solidFill>
              <w14:schemeClr w14:val="tx1"/>
            </w14:solidFill>
          </w14:textFill>
        </w:rPr>
        <w:t>注册</w:t>
      </w:r>
      <w:r>
        <w:rPr>
          <w:bCs/>
          <w:color w:val="000000" w:themeColor="text1"/>
          <w:sz w:val="24"/>
          <w14:textFill>
            <w14:solidFill>
              <w14:schemeClr w14:val="tx1"/>
            </w14:solidFill>
          </w14:textFill>
        </w:rPr>
        <w:t>。</w:t>
      </w:r>
    </w:p>
    <w:p>
      <w:pPr>
        <w:spacing w:line="360" w:lineRule="auto"/>
        <w:ind w:firstLine="480" w:firstLineChars="200"/>
        <w:rPr>
          <w:color w:val="000000" w:themeColor="text1"/>
          <w14:textFill>
            <w14:solidFill>
              <w14:schemeClr w14:val="tx1"/>
            </w14:solidFill>
          </w14:textFill>
        </w:rPr>
      </w:pPr>
      <w:r>
        <w:rPr>
          <w:bCs/>
          <w:color w:val="000000" w:themeColor="text1"/>
          <w:sz w:val="24"/>
          <w14:textFill>
            <w14:solidFill>
              <w14:schemeClr w14:val="tx1"/>
            </w14:solidFill>
          </w14:textFill>
        </w:rPr>
        <w:t>中国证监会对本基金募集的</w:t>
      </w:r>
      <w:r>
        <w:rPr>
          <w:rFonts w:hint="eastAsia"/>
          <w:bCs/>
          <w:color w:val="000000" w:themeColor="text1"/>
          <w:sz w:val="24"/>
          <w14:textFill>
            <w14:solidFill>
              <w14:schemeClr w14:val="tx1"/>
            </w14:solidFill>
          </w14:textFill>
        </w:rPr>
        <w:t>注册</w:t>
      </w:r>
      <w:r>
        <w:rPr>
          <w:bCs/>
          <w:color w:val="000000" w:themeColor="text1"/>
          <w:sz w:val="24"/>
          <w14:textFill>
            <w14:solidFill>
              <w14:schemeClr w14:val="tx1"/>
            </w14:solidFill>
          </w14:textFill>
        </w:rPr>
        <w:t>，并不表明其对本基金的</w:t>
      </w:r>
      <w:r>
        <w:rPr>
          <w:rFonts w:hint="eastAsia"/>
          <w:bCs/>
          <w:color w:val="000000" w:themeColor="text1"/>
          <w:sz w:val="24"/>
          <w14:textFill>
            <w14:solidFill>
              <w14:schemeClr w14:val="tx1"/>
            </w14:solidFill>
          </w14:textFill>
        </w:rPr>
        <w:t>投资</w:t>
      </w:r>
      <w:r>
        <w:rPr>
          <w:bCs/>
          <w:color w:val="000000" w:themeColor="text1"/>
          <w:sz w:val="24"/>
          <w14:textFill>
            <w14:solidFill>
              <w14:schemeClr w14:val="tx1"/>
            </w14:solidFill>
          </w14:textFill>
        </w:rPr>
        <w:t>价值和</w:t>
      </w:r>
      <w:r>
        <w:rPr>
          <w:rFonts w:hint="eastAsia"/>
          <w:bCs/>
          <w:color w:val="000000" w:themeColor="text1"/>
          <w:sz w:val="24"/>
          <w14:textFill>
            <w14:solidFill>
              <w14:schemeClr w14:val="tx1"/>
            </w14:solidFill>
          </w14:textFill>
        </w:rPr>
        <w:t>市场前景等</w:t>
      </w:r>
      <w:r>
        <w:rPr>
          <w:bCs/>
          <w:color w:val="000000" w:themeColor="text1"/>
          <w:sz w:val="24"/>
          <w14:textFill>
            <w14:solidFill>
              <w14:schemeClr w14:val="tx1"/>
            </w14:solidFill>
          </w14:textFill>
        </w:rPr>
        <w:t>做出实质性判断或保证，也不表明投资于本基金没有风险。基金管理人依照恪尽职守、诚实信用、谨慎勤勉的原则管理和运用基金财产，但不保证投资于本基金一定盈利，也不保证最低收益。</w:t>
      </w:r>
    </w:p>
    <w:p>
      <w:pPr>
        <w:spacing w:line="360" w:lineRule="auto"/>
        <w:ind w:firstLine="480" w:firstLineChars="200"/>
        <w:rPr>
          <w:b/>
          <w:color w:val="000000" w:themeColor="text1"/>
          <w:u w:val="single"/>
          <w14:textFill>
            <w14:solidFill>
              <w14:schemeClr w14:val="tx1"/>
            </w14:solidFill>
          </w14:textFill>
        </w:rPr>
      </w:pPr>
      <w:r>
        <w:rPr>
          <w:bCs/>
          <w:color w:val="000000" w:themeColor="text1"/>
          <w:sz w:val="24"/>
          <w14:textFill>
            <w14:solidFill>
              <w14:schemeClr w14:val="tx1"/>
            </w14:solidFill>
          </w14:textFill>
        </w:rPr>
        <w:t>投资者应当认真阅读基金招募说明书、基金合同</w:t>
      </w:r>
      <w:r>
        <w:rPr>
          <w:rFonts w:hint="eastAsia"/>
          <w:bCs/>
          <w:color w:val="000000" w:themeColor="text1"/>
          <w:sz w:val="24"/>
          <w14:textFill>
            <w14:solidFill>
              <w14:schemeClr w14:val="tx1"/>
            </w14:solidFill>
          </w14:textFill>
        </w:rPr>
        <w:t>、基金产品资料概要</w:t>
      </w:r>
      <w:r>
        <w:rPr>
          <w:bCs/>
          <w:color w:val="000000" w:themeColor="text1"/>
          <w:sz w:val="24"/>
          <w14:textFill>
            <w14:solidFill>
              <w14:schemeClr w14:val="tx1"/>
            </w14:solidFill>
          </w14:textFill>
        </w:rPr>
        <w:t>等信息披露文件，自主判断基金的投资价值，自主做出投资决策，自行承担投资风险。</w:t>
      </w:r>
    </w:p>
    <w:p>
      <w:pPr>
        <w:numPr>
          <w:ilvl w:val="0"/>
          <w:numId w:val="2"/>
        </w:num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基金管理人、基金托管人在本基金合同之外披露涉及本基金的信息，其内容涉及界定基金合同当事人之间权利义务关系的，如与基金合同有冲突，以基金合同为准。</w:t>
      </w:r>
    </w:p>
    <w:p>
      <w:pPr>
        <w:numPr>
          <w:ilvl w:val="0"/>
          <w:numId w:val="2"/>
        </w:num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本基金按照中国法律法规成立并运作，若</w:t>
      </w:r>
      <w:r>
        <w:rPr>
          <w:bCs/>
          <w:color w:val="000000" w:themeColor="text1"/>
          <w:sz w:val="24"/>
          <w14:textFill>
            <w14:solidFill>
              <w14:schemeClr w14:val="tx1"/>
            </w14:solidFill>
          </w14:textFill>
        </w:rPr>
        <w:t>基金合同的内容与届时有效的法律法规的强制性规定不一致，应当以届时有效的法律法规的规定为准。</w:t>
      </w:r>
    </w:p>
    <w:p>
      <w:pPr>
        <w:pStyle w:val="2"/>
        <w:spacing w:before="0" w:after="0"/>
        <w:jc w:val="center"/>
        <w:rPr>
          <w:rFonts w:ascii="Times New Roman"/>
          <w:color w:val="000000" w:themeColor="text1"/>
          <w:sz w:val="30"/>
          <w14:textFill>
            <w14:solidFill>
              <w14:schemeClr w14:val="tx1"/>
            </w14:solidFill>
          </w14:textFill>
        </w:rPr>
      </w:pPr>
      <w:r>
        <w:rPr>
          <w:rFonts w:ascii="Times New Roman"/>
          <w:b w:val="0"/>
          <w:bCs/>
          <w:color w:val="000000" w:themeColor="text1"/>
          <w:kern w:val="44"/>
          <w:sz w:val="21"/>
          <w14:textFill>
            <w14:solidFill>
              <w14:schemeClr w14:val="tx1"/>
            </w14:solidFill>
          </w14:textFill>
        </w:rPr>
        <w:br w:type="page"/>
      </w:r>
      <w:bookmarkStart w:id="47" w:name="_Toc15067"/>
      <w:bookmarkStart w:id="48" w:name="_Toc22864"/>
      <w:bookmarkStart w:id="49" w:name="_Toc2465"/>
      <w:bookmarkStart w:id="50" w:name="_Toc24860"/>
      <w:bookmarkStart w:id="51" w:name="_Toc21301"/>
      <w:bookmarkStart w:id="52" w:name="_Toc95997113"/>
      <w:bookmarkStart w:id="53" w:name="_Toc19592"/>
      <w:bookmarkStart w:id="54" w:name="_Toc6617"/>
      <w:bookmarkStart w:id="55" w:name="_Toc819"/>
      <w:bookmarkStart w:id="56" w:name="_Toc13020"/>
      <w:bookmarkStart w:id="57" w:name="_Toc3224"/>
      <w:r>
        <w:rPr>
          <w:rFonts w:ascii="Times New Roman"/>
          <w:color w:val="000000" w:themeColor="text1"/>
          <w:sz w:val="30"/>
          <w14:textFill>
            <w14:solidFill>
              <w14:schemeClr w14:val="tx1"/>
            </w14:solidFill>
          </w14:textFill>
        </w:rPr>
        <w:t xml:space="preserve">第二部分 </w:t>
      </w:r>
      <w:r>
        <w:rPr>
          <w:rFonts w:hint="eastAsia" w:ascii="Times New Roman"/>
          <w:color w:val="000000" w:themeColor="text1"/>
          <w:sz w:val="30"/>
          <w14:textFill>
            <w14:solidFill>
              <w14:schemeClr w14:val="tx1"/>
            </w14:solidFill>
          </w14:textFill>
        </w:rPr>
        <w:t xml:space="preserve"> </w:t>
      </w:r>
      <w:r>
        <w:rPr>
          <w:rFonts w:ascii="Times New Roman"/>
          <w:color w:val="000000" w:themeColor="text1"/>
          <w:sz w:val="30"/>
          <w14:textFill>
            <w14:solidFill>
              <w14:schemeClr w14:val="tx1"/>
            </w14:solidFill>
          </w14:textFill>
        </w:rPr>
        <w:t>释义</w:t>
      </w:r>
      <w:bookmarkEnd w:id="43"/>
      <w:bookmarkEnd w:id="46"/>
      <w:bookmarkEnd w:id="47"/>
      <w:bookmarkEnd w:id="48"/>
      <w:bookmarkEnd w:id="49"/>
      <w:bookmarkEnd w:id="50"/>
      <w:bookmarkEnd w:id="51"/>
      <w:bookmarkEnd w:id="52"/>
      <w:bookmarkEnd w:id="53"/>
      <w:bookmarkEnd w:id="54"/>
      <w:bookmarkEnd w:id="55"/>
      <w:bookmarkEnd w:id="56"/>
      <w:bookmarkEnd w:id="57"/>
    </w:p>
    <w:p>
      <w:pPr>
        <w:autoSpaceDE w:val="0"/>
        <w:autoSpaceDN w:val="0"/>
        <w:adjustRightInd w:val="0"/>
        <w:spacing w:line="360" w:lineRule="auto"/>
        <w:ind w:firstLine="420" w:firstLineChars="200"/>
        <w:rPr>
          <w:bCs/>
          <w:color w:val="000000" w:themeColor="text1"/>
          <w14:textFill>
            <w14:solidFill>
              <w14:schemeClr w14:val="tx1"/>
            </w14:solidFill>
          </w14:textFill>
        </w:rPr>
      </w:pP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在本基金合同中，除非文意另有所指，下列词语或简称具有如下含义：</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w:t>
      </w: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基金或本基金：指</w:t>
      </w:r>
      <w:r>
        <w:rPr>
          <w:rFonts w:hint="eastAsia"/>
          <w:bCs/>
          <w:color w:val="000000" w:themeColor="text1"/>
          <w:sz w:val="24"/>
          <w:lang w:eastAsia="zh-CN"/>
          <w14:textFill>
            <w14:solidFill>
              <w14:schemeClr w14:val="tx1"/>
            </w14:solidFill>
          </w14:textFill>
        </w:rPr>
        <w:t>国新国证</w:t>
      </w:r>
      <w:r>
        <w:rPr>
          <w:rFonts w:hint="eastAsia"/>
          <w:bCs/>
          <w:color w:val="000000" w:themeColor="text1"/>
          <w:sz w:val="24"/>
          <w14:textFill>
            <w14:solidFill>
              <w14:schemeClr w14:val="tx1"/>
            </w14:solidFill>
          </w14:textFill>
        </w:rPr>
        <w:t>鑫裕央企债六个月定期开放债券型</w:t>
      </w:r>
      <w:r>
        <w:rPr>
          <w:bCs/>
          <w:color w:val="000000" w:themeColor="text1"/>
          <w:sz w:val="24"/>
          <w14:textFill>
            <w14:solidFill>
              <w14:schemeClr w14:val="tx1"/>
            </w14:solidFill>
          </w14:textFill>
        </w:rPr>
        <w:t>证券投资基金</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2</w:t>
      </w: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基金管理人：指</w:t>
      </w:r>
      <w:r>
        <w:rPr>
          <w:rFonts w:hint="eastAsia"/>
          <w:bCs/>
          <w:color w:val="000000" w:themeColor="text1"/>
          <w:sz w:val="24"/>
          <w:lang w:eastAsia="zh-CN"/>
          <w14:textFill>
            <w14:solidFill>
              <w14:schemeClr w14:val="tx1"/>
            </w14:solidFill>
          </w14:textFill>
        </w:rPr>
        <w:t>国新国证</w:t>
      </w:r>
      <w:r>
        <w:rPr>
          <w:rFonts w:hint="eastAsia"/>
          <w:bCs/>
          <w:color w:val="000000" w:themeColor="text1"/>
          <w:sz w:val="24"/>
          <w14:textFill>
            <w14:solidFill>
              <w14:schemeClr w14:val="tx1"/>
            </w14:solidFill>
          </w14:textFill>
        </w:rPr>
        <w:t>基金管理有限公司</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3</w:t>
      </w: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基金托管人：指</w:t>
      </w:r>
      <w:r>
        <w:rPr>
          <w:rFonts w:hint="eastAsia"/>
          <w:bCs/>
          <w:color w:val="000000" w:themeColor="text1"/>
          <w:sz w:val="24"/>
          <w14:textFill>
            <w14:solidFill>
              <w14:schemeClr w14:val="tx1"/>
            </w14:solidFill>
          </w14:textFill>
        </w:rPr>
        <w:t>上海浦东发展银行股份有限公司</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4</w:t>
      </w: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基金合同或本基金合同：指《</w:t>
      </w:r>
      <w:r>
        <w:rPr>
          <w:rFonts w:hint="eastAsia"/>
          <w:bCs/>
          <w:color w:val="000000" w:themeColor="text1"/>
          <w:sz w:val="24"/>
          <w:lang w:eastAsia="zh-CN"/>
          <w14:textFill>
            <w14:solidFill>
              <w14:schemeClr w14:val="tx1"/>
            </w14:solidFill>
          </w14:textFill>
        </w:rPr>
        <w:t>国新国证</w:t>
      </w:r>
      <w:r>
        <w:rPr>
          <w:rFonts w:hint="eastAsia"/>
          <w:bCs/>
          <w:color w:val="000000" w:themeColor="text1"/>
          <w:sz w:val="24"/>
          <w14:textFill>
            <w14:solidFill>
              <w14:schemeClr w14:val="tx1"/>
            </w14:solidFill>
          </w14:textFill>
        </w:rPr>
        <w:t>鑫裕央企债六个月定期开放债券型</w:t>
      </w:r>
      <w:r>
        <w:rPr>
          <w:bCs/>
          <w:color w:val="000000" w:themeColor="text1"/>
          <w:sz w:val="24"/>
          <w14:textFill>
            <w14:solidFill>
              <w14:schemeClr w14:val="tx1"/>
            </w14:solidFill>
          </w14:textFill>
        </w:rPr>
        <w:t>证券投资基金基金合同》及对本基金合同的任何有效修订和补充</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5</w:t>
      </w: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托管协议：指基金管理人与基金托管人就本基金签订之《</w:t>
      </w:r>
      <w:r>
        <w:rPr>
          <w:rFonts w:hint="eastAsia"/>
          <w:bCs/>
          <w:color w:val="000000" w:themeColor="text1"/>
          <w:sz w:val="24"/>
          <w:lang w:eastAsia="zh-CN"/>
          <w14:textFill>
            <w14:solidFill>
              <w14:schemeClr w14:val="tx1"/>
            </w14:solidFill>
          </w14:textFill>
        </w:rPr>
        <w:t>国新国证</w:t>
      </w:r>
      <w:r>
        <w:rPr>
          <w:rFonts w:hint="eastAsia"/>
          <w:bCs/>
          <w:color w:val="000000" w:themeColor="text1"/>
          <w:sz w:val="24"/>
          <w14:textFill>
            <w14:solidFill>
              <w14:schemeClr w14:val="tx1"/>
            </w14:solidFill>
          </w14:textFill>
        </w:rPr>
        <w:t>鑫裕央企债六个月定期开放债券型</w:t>
      </w:r>
      <w:r>
        <w:rPr>
          <w:bCs/>
          <w:color w:val="000000" w:themeColor="text1"/>
          <w:sz w:val="24"/>
          <w14:textFill>
            <w14:solidFill>
              <w14:schemeClr w14:val="tx1"/>
            </w14:solidFill>
          </w14:textFill>
        </w:rPr>
        <w:t>证券投资基金托管协议》及对该托管协议的任何有效修订和补充</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6</w:t>
      </w: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招募说明书：指《</w:t>
      </w:r>
      <w:r>
        <w:rPr>
          <w:rFonts w:hint="eastAsia"/>
          <w:bCs/>
          <w:color w:val="000000" w:themeColor="text1"/>
          <w:sz w:val="24"/>
          <w:lang w:eastAsia="zh-CN"/>
          <w14:textFill>
            <w14:solidFill>
              <w14:schemeClr w14:val="tx1"/>
            </w14:solidFill>
          </w14:textFill>
        </w:rPr>
        <w:t>国新国证</w:t>
      </w:r>
      <w:r>
        <w:rPr>
          <w:rFonts w:hint="eastAsia"/>
          <w:bCs/>
          <w:color w:val="000000" w:themeColor="text1"/>
          <w:sz w:val="24"/>
          <w14:textFill>
            <w14:solidFill>
              <w14:schemeClr w14:val="tx1"/>
            </w14:solidFill>
          </w14:textFill>
        </w:rPr>
        <w:t>鑫裕央企债六个月定期开放债券型</w:t>
      </w:r>
      <w:r>
        <w:rPr>
          <w:bCs/>
          <w:color w:val="000000" w:themeColor="text1"/>
          <w:sz w:val="24"/>
          <w14:textFill>
            <w14:solidFill>
              <w14:schemeClr w14:val="tx1"/>
            </w14:solidFill>
          </w14:textFill>
        </w:rPr>
        <w:t>证券投资基金招募说明书》及其更新</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7</w:t>
      </w: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基金份额发售公告：指《</w:t>
      </w:r>
      <w:r>
        <w:rPr>
          <w:rFonts w:hint="eastAsia"/>
          <w:bCs/>
          <w:color w:val="000000" w:themeColor="text1"/>
          <w:sz w:val="24"/>
          <w:lang w:eastAsia="zh-CN"/>
          <w14:textFill>
            <w14:solidFill>
              <w14:schemeClr w14:val="tx1"/>
            </w14:solidFill>
          </w14:textFill>
        </w:rPr>
        <w:t>国新国证</w:t>
      </w:r>
      <w:r>
        <w:rPr>
          <w:bCs/>
          <w:color w:val="000000" w:themeColor="text1"/>
          <w:sz w:val="24"/>
          <w14:textFill>
            <w14:solidFill>
              <w14:schemeClr w14:val="tx1"/>
            </w14:solidFill>
          </w14:textFill>
        </w:rPr>
        <w:t>鑫裕央企债六</w:t>
      </w:r>
      <w:r>
        <w:rPr>
          <w:rFonts w:hint="eastAsia"/>
          <w:bCs/>
          <w:color w:val="000000" w:themeColor="text1"/>
          <w:sz w:val="24"/>
          <w14:textFill>
            <w14:solidFill>
              <w14:schemeClr w14:val="tx1"/>
            </w14:solidFill>
          </w14:textFill>
        </w:rPr>
        <w:t>个月定期开放债券型</w:t>
      </w:r>
      <w:r>
        <w:rPr>
          <w:bCs/>
          <w:color w:val="000000" w:themeColor="text1"/>
          <w:sz w:val="24"/>
          <w14:textFill>
            <w14:solidFill>
              <w14:schemeClr w14:val="tx1"/>
            </w14:solidFill>
          </w14:textFill>
        </w:rPr>
        <w:t>证券投资基金基金份额发售公告》</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8</w:t>
      </w: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法律法规：指中国现行有效并公布实施的法律、行政法规、规范性文件、司法解释、行政规章以及其他对基金合同当事人有约束力的决定、决议、通知等</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9</w:t>
      </w: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基金法》：指2003年10月28日经第十届全国人民代表大会常务委员会第五次会议通过，经2012年12月28日第十一届全国人民代表大会常务委员会第三十次会议修订，自2013年6月1日起实施，并经2015年4月24日第十二届全国人民代表大会常务委员会第十四次会议《全国人民代表大会常务委员会关于修改&lt;中华人民共和国港口法&gt;等七部法律的决定》修</w:t>
      </w:r>
      <w:r>
        <w:rPr>
          <w:rFonts w:hint="eastAsia"/>
          <w:bCs/>
          <w:color w:val="000000" w:themeColor="text1"/>
          <w:sz w:val="24"/>
          <w14:textFill>
            <w14:solidFill>
              <w14:schemeClr w14:val="tx1"/>
            </w14:solidFill>
          </w14:textFill>
        </w:rPr>
        <w:t>正</w:t>
      </w:r>
      <w:r>
        <w:rPr>
          <w:bCs/>
          <w:color w:val="000000" w:themeColor="text1"/>
          <w:sz w:val="24"/>
          <w14:textFill>
            <w14:solidFill>
              <w14:schemeClr w14:val="tx1"/>
            </w14:solidFill>
          </w14:textFill>
        </w:rPr>
        <w:t>的《中华人民共和国证券投资基金法》及颁布机关对其不时做出的修订</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10</w:t>
      </w: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《销售办法》：指中国证监会</w:t>
      </w:r>
      <w:r>
        <w:rPr>
          <w:rFonts w:hint="eastAsia"/>
          <w:bCs/>
          <w:color w:val="000000" w:themeColor="text1"/>
          <w:sz w:val="24"/>
          <w14:textFill>
            <w14:solidFill>
              <w14:schemeClr w14:val="tx1"/>
            </w14:solidFill>
          </w14:textFill>
        </w:rPr>
        <w:t>2020年8月28日</w:t>
      </w:r>
      <w:r>
        <w:rPr>
          <w:bCs/>
          <w:color w:val="000000" w:themeColor="text1"/>
          <w:sz w:val="24"/>
          <w14:textFill>
            <w14:solidFill>
              <w14:schemeClr w14:val="tx1"/>
            </w14:solidFill>
          </w14:textFill>
        </w:rPr>
        <w:t>颁布、同年10月1日实施的《</w:t>
      </w:r>
      <w:r>
        <w:rPr>
          <w:rFonts w:hint="eastAsia"/>
          <w:bCs/>
          <w:color w:val="000000" w:themeColor="text1"/>
          <w:sz w:val="24"/>
          <w14:textFill>
            <w14:solidFill>
              <w14:schemeClr w14:val="tx1"/>
            </w14:solidFill>
          </w14:textFill>
        </w:rPr>
        <w:t>公开募集</w:t>
      </w:r>
      <w:r>
        <w:rPr>
          <w:bCs/>
          <w:color w:val="000000" w:themeColor="text1"/>
          <w:sz w:val="24"/>
          <w14:textFill>
            <w14:solidFill>
              <w14:schemeClr w14:val="tx1"/>
            </w14:solidFill>
          </w14:textFill>
        </w:rPr>
        <w:t>证券投资基金销售</w:t>
      </w:r>
      <w:r>
        <w:rPr>
          <w:rFonts w:hint="eastAsia"/>
          <w:bCs/>
          <w:color w:val="000000" w:themeColor="text1"/>
          <w:sz w:val="24"/>
          <w14:textFill>
            <w14:solidFill>
              <w14:schemeClr w14:val="tx1"/>
            </w14:solidFill>
          </w14:textFill>
        </w:rPr>
        <w:t>机构监督</w:t>
      </w:r>
      <w:r>
        <w:rPr>
          <w:bCs/>
          <w:color w:val="000000" w:themeColor="text1"/>
          <w:sz w:val="24"/>
          <w14:textFill>
            <w14:solidFill>
              <w14:schemeClr w14:val="tx1"/>
            </w14:solidFill>
          </w14:textFill>
        </w:rPr>
        <w:t>管理办法》及颁布机关对其不时做出的修订</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11</w:t>
      </w: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《信息披露办法》：指中国证监会2019年7月26日颁布、同年9月1日实施</w:t>
      </w:r>
      <w:r>
        <w:rPr>
          <w:rFonts w:hint="eastAsia" w:ascii="宋体" w:hAnsi="宋体"/>
          <w:bCs/>
          <w:color w:val="000000" w:themeColor="text1"/>
          <w:sz w:val="24"/>
          <w:szCs w:val="22"/>
          <w14:textFill>
            <w14:solidFill>
              <w14:schemeClr w14:val="tx1"/>
            </w14:solidFill>
          </w14:textFill>
        </w:rPr>
        <w:t>，并经2020年3月20日中国证监会《关于修改部分证券期货规章的决定》修正</w:t>
      </w:r>
      <w:r>
        <w:rPr>
          <w:bCs/>
          <w:color w:val="000000" w:themeColor="text1"/>
          <w:sz w:val="24"/>
          <w14:textFill>
            <w14:solidFill>
              <w14:schemeClr w14:val="tx1"/>
            </w14:solidFill>
          </w14:textFill>
        </w:rPr>
        <w:t>的《公开募集证券投资基金信息披露管理办法》及颁布机关对其不时做出的修订</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12</w:t>
      </w: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《运作办法》：指中国证监会20</w:t>
      </w:r>
      <w:r>
        <w:rPr>
          <w:rFonts w:hint="eastAsia"/>
          <w:bCs/>
          <w:color w:val="000000" w:themeColor="text1"/>
          <w:sz w:val="24"/>
          <w14:textFill>
            <w14:solidFill>
              <w14:schemeClr w14:val="tx1"/>
            </w14:solidFill>
          </w14:textFill>
        </w:rPr>
        <w:t>14</w:t>
      </w:r>
      <w:r>
        <w:rPr>
          <w:bCs/>
          <w:color w:val="000000" w:themeColor="text1"/>
          <w:sz w:val="24"/>
          <w14:textFill>
            <w14:solidFill>
              <w14:schemeClr w14:val="tx1"/>
            </w14:solidFill>
          </w14:textFill>
        </w:rPr>
        <w:t>年</w:t>
      </w:r>
      <w:r>
        <w:rPr>
          <w:rFonts w:hint="eastAsia"/>
          <w:bCs/>
          <w:color w:val="000000" w:themeColor="text1"/>
          <w:sz w:val="24"/>
          <w14:textFill>
            <w14:solidFill>
              <w14:schemeClr w14:val="tx1"/>
            </w14:solidFill>
          </w14:textFill>
        </w:rPr>
        <w:t>7</w:t>
      </w:r>
      <w:r>
        <w:rPr>
          <w:bCs/>
          <w:color w:val="000000" w:themeColor="text1"/>
          <w:sz w:val="24"/>
          <w14:textFill>
            <w14:solidFill>
              <w14:schemeClr w14:val="tx1"/>
            </w14:solidFill>
          </w14:textFill>
        </w:rPr>
        <w:t>月</w:t>
      </w:r>
      <w:r>
        <w:rPr>
          <w:rFonts w:hint="eastAsia"/>
          <w:bCs/>
          <w:color w:val="000000" w:themeColor="text1"/>
          <w:sz w:val="24"/>
          <w14:textFill>
            <w14:solidFill>
              <w14:schemeClr w14:val="tx1"/>
            </w14:solidFill>
          </w14:textFill>
        </w:rPr>
        <w:t>7</w:t>
      </w:r>
      <w:r>
        <w:rPr>
          <w:bCs/>
          <w:color w:val="000000" w:themeColor="text1"/>
          <w:sz w:val="24"/>
          <w14:textFill>
            <w14:solidFill>
              <w14:schemeClr w14:val="tx1"/>
            </w14:solidFill>
          </w14:textFill>
        </w:rPr>
        <w:t>日颁布、同年</w:t>
      </w:r>
      <w:r>
        <w:rPr>
          <w:rFonts w:hint="eastAsia"/>
          <w:bCs/>
          <w:color w:val="000000" w:themeColor="text1"/>
          <w:sz w:val="24"/>
          <w14:textFill>
            <w14:solidFill>
              <w14:schemeClr w14:val="tx1"/>
            </w14:solidFill>
          </w14:textFill>
        </w:rPr>
        <w:t>8</w:t>
      </w:r>
      <w:r>
        <w:rPr>
          <w:bCs/>
          <w:color w:val="000000" w:themeColor="text1"/>
          <w:sz w:val="24"/>
          <w14:textFill>
            <w14:solidFill>
              <w14:schemeClr w14:val="tx1"/>
            </w14:solidFill>
          </w14:textFill>
        </w:rPr>
        <w:t>月</w:t>
      </w:r>
      <w:r>
        <w:rPr>
          <w:rFonts w:hint="eastAsia"/>
          <w:bCs/>
          <w:color w:val="000000" w:themeColor="text1"/>
          <w:sz w:val="24"/>
          <w14:textFill>
            <w14:solidFill>
              <w14:schemeClr w14:val="tx1"/>
            </w14:solidFill>
          </w14:textFill>
        </w:rPr>
        <w:t>8</w:t>
      </w:r>
      <w:r>
        <w:rPr>
          <w:bCs/>
          <w:color w:val="000000" w:themeColor="text1"/>
          <w:sz w:val="24"/>
          <w14:textFill>
            <w14:solidFill>
              <w14:schemeClr w14:val="tx1"/>
            </w14:solidFill>
          </w14:textFill>
        </w:rPr>
        <w:t>日实施的《</w:t>
      </w:r>
      <w:r>
        <w:rPr>
          <w:rFonts w:hint="eastAsia"/>
          <w:bCs/>
          <w:color w:val="000000" w:themeColor="text1"/>
          <w:sz w:val="24"/>
          <w14:textFill>
            <w14:solidFill>
              <w14:schemeClr w14:val="tx1"/>
            </w14:solidFill>
          </w14:textFill>
        </w:rPr>
        <w:t>公开募集</w:t>
      </w:r>
      <w:r>
        <w:rPr>
          <w:bCs/>
          <w:color w:val="000000" w:themeColor="text1"/>
          <w:sz w:val="24"/>
          <w14:textFill>
            <w14:solidFill>
              <w14:schemeClr w14:val="tx1"/>
            </w14:solidFill>
          </w14:textFill>
        </w:rPr>
        <w:t>证券投资基金运作管理办法》及颁布机关对其不时做出的修订</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13、《流动性</w:t>
      </w:r>
      <w:r>
        <w:rPr>
          <w:rFonts w:hint="eastAsia"/>
          <w:bCs/>
          <w:color w:val="000000" w:themeColor="text1"/>
          <w:sz w:val="24"/>
          <w14:textFill>
            <w14:solidFill>
              <w14:schemeClr w14:val="tx1"/>
            </w14:solidFill>
          </w14:textFill>
        </w:rPr>
        <w:t>风险管理</w:t>
      </w:r>
      <w:r>
        <w:rPr>
          <w:bCs/>
          <w:color w:val="000000" w:themeColor="text1"/>
          <w:sz w:val="24"/>
          <w14:textFill>
            <w14:solidFill>
              <w14:schemeClr w14:val="tx1"/>
            </w14:solidFill>
          </w14:textFill>
        </w:rPr>
        <w:t>规定》：指中国证监会2017年8月31日颁布、同年10月1日实施的《公开募集开放式证券投资基金流动性风险管理规定》及颁布机关对其不时做出的修订</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w:t>
      </w:r>
      <w:r>
        <w:rPr>
          <w:rFonts w:hint="eastAsia"/>
          <w:bCs/>
          <w:color w:val="000000" w:themeColor="text1"/>
          <w:sz w:val="24"/>
          <w14:textFill>
            <w14:solidFill>
              <w14:schemeClr w14:val="tx1"/>
            </w14:solidFill>
          </w14:textFill>
        </w:rPr>
        <w:t>4、</w:t>
      </w:r>
      <w:r>
        <w:rPr>
          <w:bCs/>
          <w:color w:val="000000" w:themeColor="text1"/>
          <w:sz w:val="24"/>
          <w14:textFill>
            <w14:solidFill>
              <w14:schemeClr w14:val="tx1"/>
            </w14:solidFill>
          </w14:textFill>
        </w:rPr>
        <w:t>中国证监会：指中国证券监督管理委员会</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w:t>
      </w:r>
      <w:r>
        <w:rPr>
          <w:rFonts w:hint="eastAsia"/>
          <w:bCs/>
          <w:color w:val="000000" w:themeColor="text1"/>
          <w:sz w:val="24"/>
          <w14:textFill>
            <w14:solidFill>
              <w14:schemeClr w14:val="tx1"/>
            </w14:solidFill>
          </w14:textFill>
        </w:rPr>
        <w:t>5、</w:t>
      </w:r>
      <w:r>
        <w:rPr>
          <w:bCs/>
          <w:color w:val="000000" w:themeColor="text1"/>
          <w:sz w:val="24"/>
          <w14:textFill>
            <w14:solidFill>
              <w14:schemeClr w14:val="tx1"/>
            </w14:solidFill>
          </w14:textFill>
        </w:rPr>
        <w:t>银行业监督管理机构：指中国人民银行和/或中国银行</w:t>
      </w:r>
      <w:r>
        <w:rPr>
          <w:rFonts w:hint="eastAsia"/>
          <w:bCs/>
          <w:color w:val="000000" w:themeColor="text1"/>
          <w:sz w:val="24"/>
          <w14:textFill>
            <w14:solidFill>
              <w14:schemeClr w14:val="tx1"/>
            </w14:solidFill>
          </w14:textFill>
        </w:rPr>
        <w:t>保险</w:t>
      </w:r>
      <w:r>
        <w:rPr>
          <w:bCs/>
          <w:color w:val="000000" w:themeColor="text1"/>
          <w:sz w:val="24"/>
          <w14:textFill>
            <w14:solidFill>
              <w14:schemeClr w14:val="tx1"/>
            </w14:solidFill>
          </w14:textFill>
        </w:rPr>
        <w:t>监督管理委员会</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w:t>
      </w:r>
      <w:r>
        <w:rPr>
          <w:rFonts w:hint="eastAsia"/>
          <w:bCs/>
          <w:color w:val="000000" w:themeColor="text1"/>
          <w:sz w:val="24"/>
          <w14:textFill>
            <w14:solidFill>
              <w14:schemeClr w14:val="tx1"/>
            </w14:solidFill>
          </w14:textFill>
        </w:rPr>
        <w:t>6、</w:t>
      </w:r>
      <w:r>
        <w:rPr>
          <w:bCs/>
          <w:color w:val="000000" w:themeColor="text1"/>
          <w:sz w:val="24"/>
          <w14:textFill>
            <w14:solidFill>
              <w14:schemeClr w14:val="tx1"/>
            </w14:solidFill>
          </w14:textFill>
        </w:rPr>
        <w:t>基金合同当事人：指受基金合同约束，根据基金合同享有权利并承担义务的法律主体，包括基金管理人、基金托管人和基金份额持有人</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w:t>
      </w:r>
      <w:r>
        <w:rPr>
          <w:rFonts w:hint="eastAsia"/>
          <w:bCs/>
          <w:color w:val="000000" w:themeColor="text1"/>
          <w:sz w:val="24"/>
          <w14:textFill>
            <w14:solidFill>
              <w14:schemeClr w14:val="tx1"/>
            </w14:solidFill>
          </w14:textFill>
        </w:rPr>
        <w:t>7、</w:t>
      </w:r>
      <w:r>
        <w:rPr>
          <w:bCs/>
          <w:color w:val="000000" w:themeColor="text1"/>
          <w:sz w:val="24"/>
          <w14:textFill>
            <w14:solidFill>
              <w14:schemeClr w14:val="tx1"/>
            </w14:solidFill>
          </w14:textFill>
        </w:rPr>
        <w:t>个人投资者：指依据有关法律法规规定可投资于证券投资基金的自然人</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w:t>
      </w:r>
      <w:r>
        <w:rPr>
          <w:rFonts w:hint="eastAsia"/>
          <w:bCs/>
          <w:color w:val="000000" w:themeColor="text1"/>
          <w:sz w:val="24"/>
          <w14:textFill>
            <w14:solidFill>
              <w14:schemeClr w14:val="tx1"/>
            </w14:solidFill>
          </w14:textFill>
        </w:rPr>
        <w:t>8、</w:t>
      </w:r>
      <w:r>
        <w:rPr>
          <w:bCs/>
          <w:color w:val="000000" w:themeColor="text1"/>
          <w:sz w:val="24"/>
          <w14:textFill>
            <w14:solidFill>
              <w14:schemeClr w14:val="tx1"/>
            </w14:solidFill>
          </w14:textFill>
        </w:rPr>
        <w:t>机构投资者：指依法可以投资证券投资基金的、在中华人民共和国境内合法登记并存续或经有关政府部门批准设立并存续的企业法人、事业法人、社会团体或其他组织</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19、合格境外机构投资者：指符合《合格境外机构投资者和人民币合格境外机构投资者境内证券期货投资管理办法》及相关法律法规规定可以投资于在中国境内依法募集的证券投资基金的中国境外的机构投资者</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20、人民币合格境外机构投资者：指按照《合格境外机构投资者和人民币合格境外机构投资者境内证券期货投资管理办法》及相关法律法规规定，运用来自境外的人民币资金进行境内证券投资的境外法人</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21、</w:t>
      </w:r>
      <w:r>
        <w:rPr>
          <w:bCs/>
          <w:color w:val="000000" w:themeColor="text1"/>
          <w:sz w:val="24"/>
          <w14:textFill>
            <w14:solidFill>
              <w14:schemeClr w14:val="tx1"/>
            </w14:solidFill>
          </w14:textFill>
        </w:rPr>
        <w:t>投资人</w:t>
      </w:r>
      <w:r>
        <w:rPr>
          <w:rFonts w:hint="eastAsia"/>
          <w:bCs/>
          <w:color w:val="000000" w:themeColor="text1"/>
          <w:sz w:val="24"/>
          <w14:textFill>
            <w14:solidFill>
              <w14:schemeClr w14:val="tx1"/>
            </w14:solidFill>
          </w14:textFill>
        </w:rPr>
        <w:t>、投资者</w:t>
      </w:r>
      <w:r>
        <w:rPr>
          <w:bCs/>
          <w:color w:val="000000" w:themeColor="text1"/>
          <w:sz w:val="24"/>
          <w14:textFill>
            <w14:solidFill>
              <w14:schemeClr w14:val="tx1"/>
            </w14:solidFill>
          </w14:textFill>
        </w:rPr>
        <w:t>：指个人投资者、机构投资者</w:t>
      </w: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合格境外机构投资者</w:t>
      </w:r>
      <w:r>
        <w:rPr>
          <w:rFonts w:hint="eastAsia"/>
          <w:bCs/>
          <w:color w:val="000000" w:themeColor="text1"/>
          <w:sz w:val="24"/>
          <w14:textFill>
            <w14:solidFill>
              <w14:schemeClr w14:val="tx1"/>
            </w14:solidFill>
          </w14:textFill>
        </w:rPr>
        <w:t>和人民币合格境外机构投资者</w:t>
      </w:r>
      <w:r>
        <w:rPr>
          <w:bCs/>
          <w:color w:val="000000" w:themeColor="text1"/>
          <w:sz w:val="24"/>
          <w14:textFill>
            <w14:solidFill>
              <w14:schemeClr w14:val="tx1"/>
            </w14:solidFill>
          </w14:textFill>
        </w:rPr>
        <w:t>以及法律法规或中国证监会允许购买证券投资基金的其他投资人的合称</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22、</w:t>
      </w:r>
      <w:r>
        <w:rPr>
          <w:bCs/>
          <w:color w:val="000000" w:themeColor="text1"/>
          <w:sz w:val="24"/>
          <w14:textFill>
            <w14:solidFill>
              <w14:schemeClr w14:val="tx1"/>
            </w14:solidFill>
          </w14:textFill>
        </w:rPr>
        <w:t>基金份额持有人：指依基金合同和招募说明书合法取得基金份额的投资人</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2</w:t>
      </w:r>
      <w:r>
        <w:rPr>
          <w:rFonts w:hint="eastAsia"/>
          <w:bCs/>
          <w:color w:val="000000" w:themeColor="text1"/>
          <w:sz w:val="24"/>
          <w14:textFill>
            <w14:solidFill>
              <w14:schemeClr w14:val="tx1"/>
            </w14:solidFill>
          </w14:textFill>
        </w:rPr>
        <w:t>3、</w:t>
      </w:r>
      <w:r>
        <w:rPr>
          <w:bCs/>
          <w:color w:val="000000" w:themeColor="text1"/>
          <w:sz w:val="24"/>
          <w14:textFill>
            <w14:solidFill>
              <w14:schemeClr w14:val="tx1"/>
            </w14:solidFill>
          </w14:textFill>
        </w:rPr>
        <w:t>基金销售业务：指基金管理人或销售机构宣传推介基金，发售基金份额，办理基金份额的申购、赎回、转换、转托管等业务</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2</w:t>
      </w:r>
      <w:r>
        <w:rPr>
          <w:rFonts w:hint="eastAsia"/>
          <w:bCs/>
          <w:color w:val="000000" w:themeColor="text1"/>
          <w:sz w:val="24"/>
          <w14:textFill>
            <w14:solidFill>
              <w14:schemeClr w14:val="tx1"/>
            </w14:solidFill>
          </w14:textFill>
        </w:rPr>
        <w:t>4、</w:t>
      </w:r>
      <w:r>
        <w:rPr>
          <w:bCs/>
          <w:color w:val="000000" w:themeColor="text1"/>
          <w:sz w:val="24"/>
          <w14:textFill>
            <w14:solidFill>
              <w14:schemeClr w14:val="tx1"/>
            </w14:solidFill>
          </w14:textFill>
        </w:rPr>
        <w:t>销售机构：指</w:t>
      </w:r>
      <w:r>
        <w:rPr>
          <w:rFonts w:hint="eastAsia"/>
          <w:bCs/>
          <w:color w:val="000000" w:themeColor="text1"/>
          <w:sz w:val="24"/>
          <w:lang w:eastAsia="zh-CN"/>
          <w14:textFill>
            <w14:solidFill>
              <w14:schemeClr w14:val="tx1"/>
            </w14:solidFill>
          </w14:textFill>
        </w:rPr>
        <w:t>国新国证</w:t>
      </w:r>
      <w:r>
        <w:rPr>
          <w:bCs/>
          <w:color w:val="000000" w:themeColor="text1"/>
          <w:sz w:val="24"/>
          <w14:textFill>
            <w14:solidFill>
              <w14:schemeClr w14:val="tx1"/>
            </w14:solidFill>
          </w14:textFill>
        </w:rPr>
        <w:t>基金管理有限公司以及符合《销售办法》和中国证监会规定的其他条件，取得基金</w:t>
      </w:r>
      <w:r>
        <w:rPr>
          <w:rFonts w:hint="eastAsia"/>
          <w:bCs/>
          <w:color w:val="000000" w:themeColor="text1"/>
          <w:sz w:val="24"/>
          <w14:textFill>
            <w14:solidFill>
              <w14:schemeClr w14:val="tx1"/>
            </w14:solidFill>
          </w14:textFill>
        </w:rPr>
        <w:t>销售</w:t>
      </w:r>
      <w:r>
        <w:rPr>
          <w:bCs/>
          <w:color w:val="000000" w:themeColor="text1"/>
          <w:sz w:val="24"/>
          <w14:textFill>
            <w14:solidFill>
              <w14:schemeClr w14:val="tx1"/>
            </w14:solidFill>
          </w14:textFill>
        </w:rPr>
        <w:t>业务资格并与基金管理人签订了基金销售服务协议，办理基金销售业务的机构</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25、</w:t>
      </w:r>
      <w:r>
        <w:rPr>
          <w:bCs/>
          <w:color w:val="000000" w:themeColor="text1"/>
          <w:sz w:val="24"/>
          <w14:textFill>
            <w14:solidFill>
              <w14:schemeClr w14:val="tx1"/>
            </w14:solidFill>
          </w14:textFill>
        </w:rPr>
        <w:t>登记业务：指基金登记、存管、过户、清算和结算业务，具体内容包括投资人基金账户的建立和管理、基金份额登记、基金销售业务的确认、清算和结算、代理发放红利、建立并保管基金份额持有人名册</w:t>
      </w:r>
      <w:r>
        <w:rPr>
          <w:rFonts w:hint="eastAsia"/>
          <w:bCs/>
          <w:color w:val="000000" w:themeColor="text1"/>
          <w:sz w:val="24"/>
          <w14:textFill>
            <w14:solidFill>
              <w14:schemeClr w14:val="tx1"/>
            </w14:solidFill>
          </w14:textFill>
        </w:rPr>
        <w:t>和办理非交易过户</w:t>
      </w:r>
      <w:r>
        <w:rPr>
          <w:bCs/>
          <w:color w:val="000000" w:themeColor="text1"/>
          <w:sz w:val="24"/>
          <w14:textFill>
            <w14:solidFill>
              <w14:schemeClr w14:val="tx1"/>
            </w14:solidFill>
          </w14:textFill>
        </w:rPr>
        <w:t>等</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2</w:t>
      </w:r>
      <w:r>
        <w:rPr>
          <w:rFonts w:hint="eastAsia"/>
          <w:bCs/>
          <w:color w:val="000000" w:themeColor="text1"/>
          <w:sz w:val="24"/>
          <w14:textFill>
            <w14:solidFill>
              <w14:schemeClr w14:val="tx1"/>
            </w14:solidFill>
          </w14:textFill>
        </w:rPr>
        <w:t>6、</w:t>
      </w:r>
      <w:r>
        <w:rPr>
          <w:bCs/>
          <w:color w:val="000000" w:themeColor="text1"/>
          <w:sz w:val="24"/>
          <w14:textFill>
            <w14:solidFill>
              <w14:schemeClr w14:val="tx1"/>
            </w14:solidFill>
          </w14:textFill>
        </w:rPr>
        <w:t>登记机构：指办理登记业务的机构。基金的登记机构为</w:t>
      </w:r>
      <w:r>
        <w:rPr>
          <w:rFonts w:hint="eastAsia"/>
          <w:bCs/>
          <w:color w:val="000000" w:themeColor="text1"/>
          <w:sz w:val="24"/>
          <w:lang w:eastAsia="zh-CN"/>
          <w14:textFill>
            <w14:solidFill>
              <w14:schemeClr w14:val="tx1"/>
            </w14:solidFill>
          </w14:textFill>
        </w:rPr>
        <w:t>国新国证</w:t>
      </w:r>
      <w:r>
        <w:rPr>
          <w:rFonts w:hint="eastAsia"/>
          <w:bCs/>
          <w:color w:val="000000" w:themeColor="text1"/>
          <w:sz w:val="24"/>
          <w14:textFill>
            <w14:solidFill>
              <w14:schemeClr w14:val="tx1"/>
            </w14:solidFill>
          </w14:textFill>
        </w:rPr>
        <w:t>基金管理有限公司</w:t>
      </w:r>
      <w:r>
        <w:rPr>
          <w:bCs/>
          <w:color w:val="000000" w:themeColor="text1"/>
          <w:sz w:val="24"/>
          <w14:textFill>
            <w14:solidFill>
              <w14:schemeClr w14:val="tx1"/>
            </w14:solidFill>
          </w14:textFill>
        </w:rPr>
        <w:t>或接受</w:t>
      </w:r>
      <w:r>
        <w:rPr>
          <w:rFonts w:hint="eastAsia"/>
          <w:bCs/>
          <w:color w:val="000000" w:themeColor="text1"/>
          <w:sz w:val="24"/>
          <w:lang w:eastAsia="zh-CN"/>
          <w14:textFill>
            <w14:solidFill>
              <w14:schemeClr w14:val="tx1"/>
            </w14:solidFill>
          </w14:textFill>
        </w:rPr>
        <w:t>国新国证</w:t>
      </w:r>
      <w:r>
        <w:rPr>
          <w:rFonts w:hint="eastAsia"/>
          <w:bCs/>
          <w:color w:val="000000" w:themeColor="text1"/>
          <w:sz w:val="24"/>
          <w14:textFill>
            <w14:solidFill>
              <w14:schemeClr w14:val="tx1"/>
            </w14:solidFill>
          </w14:textFill>
        </w:rPr>
        <w:t>基金管理有限公司</w:t>
      </w:r>
      <w:r>
        <w:rPr>
          <w:bCs/>
          <w:color w:val="000000" w:themeColor="text1"/>
          <w:sz w:val="24"/>
          <w14:textFill>
            <w14:solidFill>
              <w14:schemeClr w14:val="tx1"/>
            </w14:solidFill>
          </w14:textFill>
        </w:rPr>
        <w:t>委托代为办理登记业务的机构</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2</w:t>
      </w:r>
      <w:r>
        <w:rPr>
          <w:rFonts w:hint="eastAsia"/>
          <w:bCs/>
          <w:color w:val="000000" w:themeColor="text1"/>
          <w:sz w:val="24"/>
          <w14:textFill>
            <w14:solidFill>
              <w14:schemeClr w14:val="tx1"/>
            </w14:solidFill>
          </w14:textFill>
        </w:rPr>
        <w:t>7、</w:t>
      </w:r>
      <w:r>
        <w:rPr>
          <w:bCs/>
          <w:color w:val="000000" w:themeColor="text1"/>
          <w:sz w:val="24"/>
          <w14:textFill>
            <w14:solidFill>
              <w14:schemeClr w14:val="tx1"/>
            </w14:solidFill>
          </w14:textFill>
        </w:rPr>
        <w:t>基金账户：指登记机构为投资人开立的、记录其持有的、基金管理人所管理的基金份额余额及其变动情况的账户</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2</w:t>
      </w:r>
      <w:r>
        <w:rPr>
          <w:rFonts w:hint="eastAsia"/>
          <w:bCs/>
          <w:color w:val="000000" w:themeColor="text1"/>
          <w:sz w:val="24"/>
          <w14:textFill>
            <w14:solidFill>
              <w14:schemeClr w14:val="tx1"/>
            </w14:solidFill>
          </w14:textFill>
        </w:rPr>
        <w:t>8、</w:t>
      </w:r>
      <w:r>
        <w:rPr>
          <w:bCs/>
          <w:color w:val="000000" w:themeColor="text1"/>
          <w:sz w:val="24"/>
          <w14:textFill>
            <w14:solidFill>
              <w14:schemeClr w14:val="tx1"/>
            </w14:solidFill>
          </w14:textFill>
        </w:rPr>
        <w:t>基金交易账户：指销售机构为投资人开立的、记录投资人通过该销售机构办理认购、申购、赎回</w:t>
      </w:r>
      <w:r>
        <w:rPr>
          <w:rFonts w:hint="eastAsia"/>
          <w:bCs/>
          <w:color w:val="000000" w:themeColor="text1"/>
          <w:sz w:val="24"/>
          <w14:textFill>
            <w14:solidFill>
              <w14:schemeClr w14:val="tx1"/>
            </w14:solidFill>
          </w14:textFill>
        </w:rPr>
        <w:t>、转换、转托管</w:t>
      </w:r>
      <w:r>
        <w:rPr>
          <w:bCs/>
          <w:color w:val="000000" w:themeColor="text1"/>
          <w:sz w:val="24"/>
          <w14:textFill>
            <w14:solidFill>
              <w14:schemeClr w14:val="tx1"/>
            </w14:solidFill>
          </w14:textFill>
        </w:rPr>
        <w:t>等业务而引起的基金份额变动及结余情况的账户</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2</w:t>
      </w:r>
      <w:r>
        <w:rPr>
          <w:rFonts w:hint="eastAsia"/>
          <w:bCs/>
          <w:color w:val="000000" w:themeColor="text1"/>
          <w:sz w:val="24"/>
          <w14:textFill>
            <w14:solidFill>
              <w14:schemeClr w14:val="tx1"/>
            </w14:solidFill>
          </w14:textFill>
        </w:rPr>
        <w:t>9、</w:t>
      </w:r>
      <w:r>
        <w:rPr>
          <w:bCs/>
          <w:color w:val="000000" w:themeColor="text1"/>
          <w:sz w:val="24"/>
          <w14:textFill>
            <w14:solidFill>
              <w14:schemeClr w14:val="tx1"/>
            </w14:solidFill>
          </w14:textFill>
        </w:rPr>
        <w:t>基金合同生效日：指基金募集达到法律法规规定及基金合同规定的条件，基金管理人向中国证监会办理基金备案手续完毕，并获得中国证监会书面确认的日期</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30、</w:t>
      </w:r>
      <w:r>
        <w:rPr>
          <w:bCs/>
          <w:color w:val="000000" w:themeColor="text1"/>
          <w:sz w:val="24"/>
          <w14:textFill>
            <w14:solidFill>
              <w14:schemeClr w14:val="tx1"/>
            </w14:solidFill>
          </w14:textFill>
        </w:rPr>
        <w:t>基金合同终止日：指基金合同规定的基金合同终止事由出现后，基金财产清算完毕，清算结果报中国证监会备案并予以公告的日期</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31、</w:t>
      </w:r>
      <w:r>
        <w:rPr>
          <w:bCs/>
          <w:color w:val="000000" w:themeColor="text1"/>
          <w:sz w:val="24"/>
          <w14:textFill>
            <w14:solidFill>
              <w14:schemeClr w14:val="tx1"/>
            </w14:solidFill>
          </w14:textFill>
        </w:rPr>
        <w:t>基金募集期：指自基金份额发售之日起至发售结束之日止的期间，最长不得超过</w:t>
      </w:r>
      <w:r>
        <w:rPr>
          <w:rFonts w:hint="eastAsia"/>
          <w:bCs/>
          <w:color w:val="000000" w:themeColor="text1"/>
          <w:sz w:val="24"/>
          <w14:textFill>
            <w14:solidFill>
              <w14:schemeClr w14:val="tx1"/>
            </w14:solidFill>
          </w14:textFill>
        </w:rPr>
        <w:t>3</w:t>
      </w:r>
      <w:r>
        <w:rPr>
          <w:bCs/>
          <w:color w:val="000000" w:themeColor="text1"/>
          <w:sz w:val="24"/>
          <w14:textFill>
            <w14:solidFill>
              <w14:schemeClr w14:val="tx1"/>
            </w14:solidFill>
          </w14:textFill>
        </w:rPr>
        <w:t>个月</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32、</w:t>
      </w:r>
      <w:r>
        <w:rPr>
          <w:bCs/>
          <w:color w:val="000000" w:themeColor="text1"/>
          <w:sz w:val="24"/>
          <w14:textFill>
            <w14:solidFill>
              <w14:schemeClr w14:val="tx1"/>
            </w14:solidFill>
          </w14:textFill>
        </w:rPr>
        <w:t>存续期：指基金合同生效至终止之间的不定期期限</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3</w:t>
      </w:r>
      <w:r>
        <w:rPr>
          <w:rFonts w:hint="eastAsia"/>
          <w:bCs/>
          <w:color w:val="000000" w:themeColor="text1"/>
          <w:sz w:val="24"/>
          <w14:textFill>
            <w14:solidFill>
              <w14:schemeClr w14:val="tx1"/>
            </w14:solidFill>
          </w14:textFill>
        </w:rPr>
        <w:t>3、</w:t>
      </w:r>
      <w:r>
        <w:rPr>
          <w:bCs/>
          <w:color w:val="000000" w:themeColor="text1"/>
          <w:sz w:val="24"/>
          <w14:textFill>
            <w14:solidFill>
              <w14:schemeClr w14:val="tx1"/>
            </w14:solidFill>
          </w14:textFill>
        </w:rPr>
        <w:t>工作日：指上海证券交易所、深圳证券交易所的正常交易日</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3</w:t>
      </w:r>
      <w:r>
        <w:rPr>
          <w:rFonts w:hint="eastAsia"/>
          <w:bCs/>
          <w:color w:val="000000" w:themeColor="text1"/>
          <w:sz w:val="24"/>
          <w14:textFill>
            <w14:solidFill>
              <w14:schemeClr w14:val="tx1"/>
            </w14:solidFill>
          </w14:textFill>
        </w:rPr>
        <w:t>4、</w:t>
      </w:r>
      <w:r>
        <w:rPr>
          <w:bCs/>
          <w:color w:val="000000" w:themeColor="text1"/>
          <w:sz w:val="24"/>
          <w14:textFill>
            <w14:solidFill>
              <w14:schemeClr w14:val="tx1"/>
            </w14:solidFill>
          </w14:textFill>
        </w:rPr>
        <w:t>T日：指销售机构在规定时间受理投资人申购、赎回或其他业务申请的开放日</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3</w:t>
      </w:r>
      <w:r>
        <w:rPr>
          <w:rFonts w:hint="eastAsia"/>
          <w:bCs/>
          <w:color w:val="000000" w:themeColor="text1"/>
          <w:sz w:val="24"/>
          <w14:textFill>
            <w14:solidFill>
              <w14:schemeClr w14:val="tx1"/>
            </w14:solidFill>
          </w14:textFill>
        </w:rPr>
        <w:t>5、</w:t>
      </w:r>
      <w:r>
        <w:rPr>
          <w:bCs/>
          <w:color w:val="000000" w:themeColor="text1"/>
          <w:sz w:val="24"/>
          <w14:textFill>
            <w14:solidFill>
              <w14:schemeClr w14:val="tx1"/>
            </w14:solidFill>
          </w14:textFill>
        </w:rPr>
        <w:t>T+n日：指自T日起第n个工作日（不包含T日）</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36</w:t>
      </w:r>
      <w:r>
        <w:rPr>
          <w:rFonts w:hint="eastAsia"/>
          <w:bCs/>
          <w:color w:val="000000" w:themeColor="text1"/>
          <w:sz w:val="24"/>
          <w14:textFill>
            <w14:solidFill>
              <w14:schemeClr w14:val="tx1"/>
            </w14:solidFill>
          </w14:textFill>
        </w:rPr>
        <w:t>、封闭期：指自《基金合同》生效之日起（包括该日）或自每一开放期结束之日次日起（包括该日）6个月的期间。本基金的第一个封闭期为自《基金合同》生效之日起（包括该日）至该日6个月后的对应日的前一日止。下一个封闭期为首个开放期结束之日次日起（</w:t>
      </w:r>
      <w:r>
        <w:rPr>
          <w:bCs/>
          <w:color w:val="000000" w:themeColor="text1"/>
          <w:sz w:val="24"/>
          <w14:textFill>
            <w14:solidFill>
              <w14:schemeClr w14:val="tx1"/>
            </w14:solidFill>
          </w14:textFill>
        </w:rPr>
        <w:t>包括</w:t>
      </w:r>
      <w:r>
        <w:rPr>
          <w:rFonts w:hint="eastAsia"/>
          <w:bCs/>
          <w:color w:val="000000" w:themeColor="text1"/>
          <w:sz w:val="24"/>
          <w14:textFill>
            <w14:solidFill>
              <w14:schemeClr w14:val="tx1"/>
            </w14:solidFill>
          </w14:textFill>
        </w:rPr>
        <w:t>该日</w:t>
      </w:r>
      <w:r>
        <w:rPr>
          <w:bCs/>
          <w:color w:val="000000" w:themeColor="text1"/>
          <w:sz w:val="24"/>
          <w14:textFill>
            <w14:solidFill>
              <w14:schemeClr w14:val="tx1"/>
            </w14:solidFill>
          </w14:textFill>
        </w:rPr>
        <w:t>）</w:t>
      </w:r>
      <w:r>
        <w:rPr>
          <w:rFonts w:hint="eastAsia"/>
          <w:bCs/>
          <w:color w:val="000000" w:themeColor="text1"/>
          <w:sz w:val="24"/>
          <w14:textFill>
            <w14:solidFill>
              <w14:schemeClr w14:val="tx1"/>
            </w14:solidFill>
          </w14:textFill>
        </w:rPr>
        <w:t>至该日6个月后的对应日的前一日止，以此类推。如该日历月不存在对应日期，则顺延至该日历月对应月份最后一日的下一工作日，如对应日为非工作日，则顺延至下一工作日。本基金封闭期内不办理申购与赎回业务，也不上市交易</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37</w:t>
      </w: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开放期</w:t>
      </w:r>
      <w:r>
        <w:rPr>
          <w:rFonts w:hint="eastAsia"/>
          <w:bCs/>
          <w:color w:val="000000" w:themeColor="text1"/>
          <w:sz w:val="24"/>
          <w14:textFill>
            <w14:solidFill>
              <w14:schemeClr w14:val="tx1"/>
            </w14:solidFill>
          </w14:textFill>
        </w:rPr>
        <w:t>：指本基金可办理投资者申购、赎回或其他业务申请的期间。每个开放期自每个封闭期结束之日后第一个工作日起（含该日）不超过二十个工作日，具体期间由基金管理人在每一开放期前依照《信息披露办法》的有关规定在规定媒介予以公告。开放期内，本基金采取开放运作模式，投资人可办理基金份额申购、赎回或其他业务，开放期未赎回的份额将自动转入下一个封闭期。如封闭期结束后在开放期内发生不可抗力或其他情形致使基金无法按时开放或需依据《基金合同》暂停申购与赎回业务的，开放期时间中止计算，在不可抗力或其他情形影响因素消除之日下一个工作日起，继续计算该开放期时间，基金管理人有权合理调整申购或赎回业务的办理期间并予以公告</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38</w:t>
      </w: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开放日：指</w:t>
      </w:r>
      <w:r>
        <w:rPr>
          <w:rFonts w:hint="eastAsia"/>
          <w:bCs/>
          <w:color w:val="000000" w:themeColor="text1"/>
          <w:sz w:val="24"/>
          <w14:textFill>
            <w14:solidFill>
              <w14:schemeClr w14:val="tx1"/>
            </w14:solidFill>
          </w14:textFill>
        </w:rPr>
        <w:t>在开放期内，</w:t>
      </w:r>
      <w:r>
        <w:rPr>
          <w:bCs/>
          <w:color w:val="000000" w:themeColor="text1"/>
          <w:sz w:val="24"/>
          <w14:textFill>
            <w14:solidFill>
              <w14:schemeClr w14:val="tx1"/>
            </w14:solidFill>
          </w14:textFill>
        </w:rPr>
        <w:t>为投资人办理基金份额申购、赎回或其他业务的工作日</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39</w:t>
      </w: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开放时间：指开放日基金接受申购、赎回或其他交易的时间段</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40</w:t>
      </w: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《业务规则》：指《</w:t>
      </w:r>
      <w:r>
        <w:rPr>
          <w:rFonts w:hint="eastAsia"/>
          <w:bCs/>
          <w:color w:val="000000" w:themeColor="text1"/>
          <w:sz w:val="24"/>
          <w:lang w:eastAsia="zh-CN"/>
          <w14:textFill>
            <w14:solidFill>
              <w14:schemeClr w14:val="tx1"/>
            </w14:solidFill>
          </w14:textFill>
        </w:rPr>
        <w:t>国新国证</w:t>
      </w:r>
      <w:r>
        <w:rPr>
          <w:rFonts w:hint="eastAsia"/>
          <w:bCs/>
          <w:color w:val="000000" w:themeColor="text1"/>
          <w:sz w:val="24"/>
          <w14:textFill>
            <w14:solidFill>
              <w14:schemeClr w14:val="tx1"/>
            </w14:solidFill>
          </w14:textFill>
        </w:rPr>
        <w:t>基金管理有限公司</w:t>
      </w:r>
      <w:r>
        <w:rPr>
          <w:bCs/>
          <w:color w:val="000000" w:themeColor="text1"/>
          <w:sz w:val="24"/>
          <w14:textFill>
            <w14:solidFill>
              <w14:schemeClr w14:val="tx1"/>
            </w14:solidFill>
          </w14:textFill>
        </w:rPr>
        <w:t>开放式基金业务规则》及其不时作出的修订，是规范基金管理人所管理的开放式证券投资基金登记方面的业务规则，由基金管理人和投资人共同遵守</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41</w:t>
      </w: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认购：指在基金募集期内，投资人</w:t>
      </w:r>
      <w:r>
        <w:rPr>
          <w:rFonts w:hint="eastAsia"/>
          <w:bCs/>
          <w:color w:val="000000" w:themeColor="text1"/>
          <w:sz w:val="24"/>
          <w14:textFill>
            <w14:solidFill>
              <w14:schemeClr w14:val="tx1"/>
            </w14:solidFill>
          </w14:textFill>
        </w:rPr>
        <w:t>根据基金合同和招募说明书的规定</w:t>
      </w:r>
      <w:r>
        <w:rPr>
          <w:bCs/>
          <w:color w:val="000000" w:themeColor="text1"/>
          <w:sz w:val="24"/>
          <w14:textFill>
            <w14:solidFill>
              <w14:schemeClr w14:val="tx1"/>
            </w14:solidFill>
          </w14:textFill>
        </w:rPr>
        <w:t>申请购买基金份额的行为</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4</w:t>
      </w:r>
      <w:r>
        <w:rPr>
          <w:bCs/>
          <w:color w:val="000000" w:themeColor="text1"/>
          <w:sz w:val="24"/>
          <w14:textFill>
            <w14:solidFill>
              <w14:schemeClr w14:val="tx1"/>
            </w14:solidFill>
          </w14:textFill>
        </w:rPr>
        <w:t>2</w:t>
      </w: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申购：指基金合同生效后的开放期内，投资人根据基金合同和招募说明书的规定申请购买基金份额的行为</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4</w:t>
      </w:r>
      <w:r>
        <w:rPr>
          <w:bCs/>
          <w:color w:val="000000" w:themeColor="text1"/>
          <w:sz w:val="24"/>
          <w14:textFill>
            <w14:solidFill>
              <w14:schemeClr w14:val="tx1"/>
            </w14:solidFill>
          </w14:textFill>
        </w:rPr>
        <w:t>3</w:t>
      </w: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赎回：指基金合同生效后</w:t>
      </w:r>
      <w:r>
        <w:rPr>
          <w:rFonts w:hint="eastAsia"/>
          <w:bCs/>
          <w:color w:val="000000" w:themeColor="text1"/>
          <w:sz w:val="24"/>
          <w14:textFill>
            <w14:solidFill>
              <w14:schemeClr w14:val="tx1"/>
            </w14:solidFill>
          </w14:textFill>
        </w:rPr>
        <w:t>的开放期内</w:t>
      </w:r>
      <w:r>
        <w:rPr>
          <w:bCs/>
          <w:color w:val="000000" w:themeColor="text1"/>
          <w:sz w:val="24"/>
          <w14:textFill>
            <w14:solidFill>
              <w14:schemeClr w14:val="tx1"/>
            </w14:solidFill>
          </w14:textFill>
        </w:rPr>
        <w:t>，基金份额持有人按基金合同</w:t>
      </w:r>
      <w:r>
        <w:rPr>
          <w:rFonts w:hint="eastAsia"/>
          <w:bCs/>
          <w:color w:val="000000" w:themeColor="text1"/>
          <w:sz w:val="24"/>
          <w14:textFill>
            <w14:solidFill>
              <w14:schemeClr w14:val="tx1"/>
            </w14:solidFill>
          </w14:textFill>
        </w:rPr>
        <w:t>和招募说明书</w:t>
      </w:r>
      <w:r>
        <w:rPr>
          <w:bCs/>
          <w:color w:val="000000" w:themeColor="text1"/>
          <w:sz w:val="24"/>
          <w14:textFill>
            <w14:solidFill>
              <w14:schemeClr w14:val="tx1"/>
            </w14:solidFill>
          </w14:textFill>
        </w:rPr>
        <w:t>规定的条件要求将基金份额兑换为现金的行为</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4</w:t>
      </w:r>
      <w:r>
        <w:rPr>
          <w:bCs/>
          <w:color w:val="000000" w:themeColor="text1"/>
          <w:sz w:val="24"/>
          <w14:textFill>
            <w14:solidFill>
              <w14:schemeClr w14:val="tx1"/>
            </w14:solidFill>
          </w14:textFill>
        </w:rPr>
        <w:t>4</w:t>
      </w: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基金转换：指基金份额持有人按照本基金合同和基金管理人届时有效公告规定的条件，申请将其持有基金管理人管理的、某一基金的基金份额转换为基金管理人管理的其他基金基金份额的行为</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45</w:t>
      </w: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转托管：指基金份额持有人在本基金的不同销售机构之间实施的变更所持基金份额销售机构的操作</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46</w:t>
      </w: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巨额赎回：指本基金</w:t>
      </w:r>
      <w:r>
        <w:rPr>
          <w:rFonts w:hint="eastAsia"/>
          <w:bCs/>
          <w:color w:val="000000" w:themeColor="text1"/>
          <w:sz w:val="24"/>
          <w14:textFill>
            <w14:solidFill>
              <w14:schemeClr w14:val="tx1"/>
            </w14:solidFill>
          </w14:textFill>
        </w:rPr>
        <w:t>开放期内的</w:t>
      </w:r>
      <w:r>
        <w:rPr>
          <w:bCs/>
          <w:color w:val="000000" w:themeColor="text1"/>
          <w:sz w:val="24"/>
          <w14:textFill>
            <w14:solidFill>
              <w14:schemeClr w14:val="tx1"/>
            </w14:solidFill>
          </w14:textFill>
        </w:rPr>
        <w:t>单个开放日，基金净赎回申请（赎回申请份额总数加上基金转换中转出申请份额总数后扣除申购申请份额总数及基金转换中转入申请份额总数后的余额）超过上一</w:t>
      </w:r>
      <w:r>
        <w:rPr>
          <w:rFonts w:hint="eastAsia"/>
          <w:bCs/>
          <w:color w:val="000000" w:themeColor="text1"/>
          <w:sz w:val="24"/>
          <w14:textFill>
            <w14:solidFill>
              <w14:schemeClr w14:val="tx1"/>
            </w14:solidFill>
          </w14:textFill>
        </w:rPr>
        <w:t>工作</w:t>
      </w:r>
      <w:r>
        <w:rPr>
          <w:bCs/>
          <w:color w:val="000000" w:themeColor="text1"/>
          <w:sz w:val="24"/>
          <w14:textFill>
            <w14:solidFill>
              <w14:schemeClr w14:val="tx1"/>
            </w14:solidFill>
          </w14:textFill>
        </w:rPr>
        <w:t>日基金总份额的20%</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47</w:t>
      </w: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元：指人民币元</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4</w:t>
      </w:r>
      <w:r>
        <w:rPr>
          <w:bCs/>
          <w:color w:val="000000" w:themeColor="text1"/>
          <w:sz w:val="24"/>
          <w14:textFill>
            <w14:solidFill>
              <w14:schemeClr w14:val="tx1"/>
            </w14:solidFill>
          </w14:textFill>
        </w:rPr>
        <w:t>8</w:t>
      </w: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基金收益：指基金投资所得债券利息、买卖证券价差、银行存款利息、已实现的其他合法收入及因运用基金财产带来的成本和费用的节约</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49</w:t>
      </w: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基金资产总值：指基金拥有的各类有价证券、银行存款本息、基金应收申购款及其他资产的价值总和</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50</w:t>
      </w: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基金资产净值：指基金资产总值减去基金负债后的价值</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5</w:t>
      </w:r>
      <w:r>
        <w:rPr>
          <w:bCs/>
          <w:color w:val="000000" w:themeColor="text1"/>
          <w:sz w:val="24"/>
          <w14:textFill>
            <w14:solidFill>
              <w14:schemeClr w14:val="tx1"/>
            </w14:solidFill>
          </w14:textFill>
        </w:rPr>
        <w:t>1</w:t>
      </w: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基金份额净值：指计算日基金资产净值除以计算日基金份额总数</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5</w:t>
      </w:r>
      <w:r>
        <w:rPr>
          <w:bCs/>
          <w:color w:val="000000" w:themeColor="text1"/>
          <w:sz w:val="24"/>
          <w14:textFill>
            <w14:solidFill>
              <w14:schemeClr w14:val="tx1"/>
            </w14:solidFill>
          </w14:textFill>
        </w:rPr>
        <w:t>2</w:t>
      </w: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基金资产估值：指计算评估基金资产和负债的价值，以确定基金资产净值和基金份额净值的过程</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5</w:t>
      </w:r>
      <w:r>
        <w:rPr>
          <w:bCs/>
          <w:color w:val="000000" w:themeColor="text1"/>
          <w:sz w:val="24"/>
          <w14:textFill>
            <w14:solidFill>
              <w14:schemeClr w14:val="tx1"/>
            </w14:solidFill>
          </w14:textFill>
        </w:rPr>
        <w:t>3</w:t>
      </w:r>
      <w:r>
        <w:rPr>
          <w:rFonts w:hint="eastAsia"/>
          <w:bCs/>
          <w:color w:val="000000" w:themeColor="text1"/>
          <w:sz w:val="24"/>
          <w14:textFill>
            <w14:solidFill>
              <w14:schemeClr w14:val="tx1"/>
            </w14:solidFill>
          </w14:textFill>
        </w:rPr>
        <w:t>、规</w:t>
      </w:r>
      <w:r>
        <w:rPr>
          <w:bCs/>
          <w:color w:val="000000" w:themeColor="text1"/>
          <w:sz w:val="24"/>
          <w14:textFill>
            <w14:solidFill>
              <w14:schemeClr w14:val="tx1"/>
            </w14:solidFill>
          </w14:textFill>
        </w:rPr>
        <w:t>定</w:t>
      </w:r>
      <w:r>
        <w:rPr>
          <w:rFonts w:hint="eastAsia"/>
          <w:bCs/>
          <w:color w:val="000000" w:themeColor="text1"/>
          <w:sz w:val="24"/>
          <w14:textFill>
            <w14:solidFill>
              <w14:schemeClr w14:val="tx1"/>
            </w14:solidFill>
          </w14:textFill>
        </w:rPr>
        <w:t>媒介</w:t>
      </w:r>
      <w:r>
        <w:rPr>
          <w:bCs/>
          <w:color w:val="000000" w:themeColor="text1"/>
          <w:sz w:val="24"/>
          <w14:textFill>
            <w14:solidFill>
              <w14:schemeClr w14:val="tx1"/>
            </w14:solidFill>
          </w14:textFill>
        </w:rPr>
        <w:t>：指符合中国证监会</w:t>
      </w:r>
      <w:r>
        <w:rPr>
          <w:rFonts w:hint="eastAsia"/>
          <w:bCs/>
          <w:color w:val="000000" w:themeColor="text1"/>
          <w:sz w:val="24"/>
          <w14:textFill>
            <w14:solidFill>
              <w14:schemeClr w14:val="tx1"/>
            </w14:solidFill>
          </w14:textFill>
        </w:rPr>
        <w:t>规定</w:t>
      </w:r>
      <w:r>
        <w:rPr>
          <w:bCs/>
          <w:color w:val="000000" w:themeColor="text1"/>
          <w:sz w:val="24"/>
          <w14:textFill>
            <w14:solidFill>
              <w14:schemeClr w14:val="tx1"/>
            </w14:solidFill>
          </w14:textFill>
        </w:rPr>
        <w:t>条件的用以进行信息披露的全国性报刊</w:t>
      </w:r>
      <w:r>
        <w:rPr>
          <w:rFonts w:hint="eastAsia"/>
          <w:bCs/>
          <w:color w:val="000000" w:themeColor="text1"/>
          <w:sz w:val="24"/>
          <w14:textFill>
            <w14:solidFill>
              <w14:schemeClr w14:val="tx1"/>
            </w14:solidFill>
          </w14:textFill>
        </w:rPr>
        <w:t>（以下简称规定报刊）及《信息披露办法》规定的</w:t>
      </w:r>
      <w:r>
        <w:rPr>
          <w:bCs/>
          <w:color w:val="000000" w:themeColor="text1"/>
          <w:sz w:val="24"/>
          <w14:textFill>
            <w14:solidFill>
              <w14:schemeClr w14:val="tx1"/>
            </w14:solidFill>
          </w14:textFill>
        </w:rPr>
        <w:t>互联网网站</w:t>
      </w:r>
      <w:r>
        <w:rPr>
          <w:rFonts w:hint="eastAsia"/>
          <w:bCs/>
          <w:color w:val="000000" w:themeColor="text1"/>
          <w:sz w:val="24"/>
          <w14:textFill>
            <w14:solidFill>
              <w14:schemeClr w14:val="tx1"/>
            </w14:solidFill>
          </w14:textFill>
        </w:rPr>
        <w:t>（以下简称规定网站）等媒介；规定网站包括基金管理人网站、基金托管人网站、中国证监会基金电子披露网站</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54、流动性受限资产：指由于法律法规、监管、合同或操作障碍等原因无法以合理价格予以变现的资产，包括但不限于到期日在10个交易日以上的逆回购与银行定期存款（含协议约定有条件提前支取的银行存款）、资产支持证券、因发行人债务违约无法进行转让或交易的债券等</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55、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5</w:t>
      </w:r>
      <w:r>
        <w:rPr>
          <w:color w:val="000000" w:themeColor="text1"/>
          <w:sz w:val="24"/>
          <w14:textFill>
            <w14:solidFill>
              <w14:schemeClr w14:val="tx1"/>
            </w14:solidFill>
          </w14:textFill>
        </w:rPr>
        <w:t>6</w:t>
      </w:r>
      <w:r>
        <w:rPr>
          <w:rFonts w:hint="eastAsia"/>
          <w:color w:val="000000" w:themeColor="text1"/>
          <w:sz w:val="24"/>
          <w14:textFill>
            <w14:solidFill>
              <w14:schemeClr w14:val="tx1"/>
            </w14:solidFill>
          </w14:textFill>
        </w:rPr>
        <w:t>、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5</w:t>
      </w:r>
      <w:r>
        <w:rPr>
          <w:color w:val="000000" w:themeColor="text1"/>
          <w:sz w:val="24"/>
          <w14:textFill>
            <w14:solidFill>
              <w14:schemeClr w14:val="tx1"/>
            </w14:solidFill>
          </w14:textFill>
        </w:rPr>
        <w:t>7</w:t>
      </w:r>
      <w:r>
        <w:rPr>
          <w:rFonts w:hint="eastAsia"/>
          <w:color w:val="000000" w:themeColor="text1"/>
          <w:sz w:val="24"/>
          <w14:textFill>
            <w14:solidFill>
              <w14:schemeClr w14:val="tx1"/>
            </w14:solidFill>
          </w14:textFill>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58</w:t>
      </w:r>
      <w:r>
        <w:rPr>
          <w:rFonts w:hint="eastAsia"/>
          <w:bCs/>
          <w:color w:val="000000" w:themeColor="text1"/>
          <w:sz w:val="24"/>
          <w14:textFill>
            <w14:solidFill>
              <w14:schemeClr w14:val="tx1"/>
            </w14:solidFill>
          </w14:textFill>
        </w:rPr>
        <w:t>、基金产品资料概要：指《</w:t>
      </w:r>
      <w:r>
        <w:rPr>
          <w:rFonts w:hint="eastAsia"/>
          <w:bCs/>
          <w:color w:val="000000" w:themeColor="text1"/>
          <w:sz w:val="24"/>
          <w:lang w:eastAsia="zh-CN"/>
          <w14:textFill>
            <w14:solidFill>
              <w14:schemeClr w14:val="tx1"/>
            </w14:solidFill>
          </w14:textFill>
        </w:rPr>
        <w:t>国新国证</w:t>
      </w:r>
      <w:r>
        <w:rPr>
          <w:rFonts w:hint="eastAsia"/>
          <w:bCs/>
          <w:color w:val="000000" w:themeColor="text1"/>
          <w:sz w:val="24"/>
          <w14:textFill>
            <w14:solidFill>
              <w14:schemeClr w14:val="tx1"/>
            </w14:solidFill>
          </w14:textFill>
        </w:rPr>
        <w:t>鑫裕央企债六个月定期开放债券型证券投资基金基金产品资料概要》及其更新</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5</w:t>
      </w:r>
      <w:r>
        <w:rPr>
          <w:bCs/>
          <w:color w:val="000000" w:themeColor="text1"/>
          <w:sz w:val="24"/>
          <w14:textFill>
            <w14:solidFill>
              <w14:schemeClr w14:val="tx1"/>
            </w14:solidFill>
          </w14:textFill>
        </w:rPr>
        <w:t>9</w:t>
      </w: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不可抗力：指本</w:t>
      </w:r>
      <w:r>
        <w:rPr>
          <w:rFonts w:hint="eastAsia"/>
          <w:bCs/>
          <w:color w:val="000000" w:themeColor="text1"/>
          <w:sz w:val="24"/>
          <w14:textFill>
            <w14:solidFill>
              <w14:schemeClr w14:val="tx1"/>
            </w14:solidFill>
          </w14:textFill>
        </w:rPr>
        <w:t>基金</w:t>
      </w:r>
      <w:r>
        <w:rPr>
          <w:bCs/>
          <w:color w:val="000000" w:themeColor="text1"/>
          <w:sz w:val="24"/>
          <w14:textFill>
            <w14:solidFill>
              <w14:schemeClr w14:val="tx1"/>
            </w14:solidFill>
          </w14:textFill>
        </w:rPr>
        <w:t>合同当事人不能预见、不能避免且不能克服的客观事件。</w:t>
      </w:r>
    </w:p>
    <w:p>
      <w:pPr>
        <w:pStyle w:val="2"/>
        <w:spacing w:before="0" w:after="0"/>
        <w:jc w:val="center"/>
        <w:rPr>
          <w:rFonts w:ascii="Times New Roman"/>
          <w:color w:val="000000" w:themeColor="text1"/>
          <w:sz w:val="30"/>
          <w14:textFill>
            <w14:solidFill>
              <w14:schemeClr w14:val="tx1"/>
            </w14:solidFill>
          </w14:textFill>
        </w:rPr>
      </w:pPr>
      <w:r>
        <w:rPr>
          <w:rFonts w:ascii="Times New Roman"/>
          <w:b w:val="0"/>
          <w:bCs/>
          <w:color w:val="000000" w:themeColor="text1"/>
          <w14:textFill>
            <w14:solidFill>
              <w14:schemeClr w14:val="tx1"/>
            </w14:solidFill>
          </w14:textFill>
        </w:rPr>
        <w:br w:type="page"/>
      </w:r>
      <w:bookmarkStart w:id="58" w:name="_Toc6149"/>
      <w:bookmarkStart w:id="59" w:name="_Toc733"/>
      <w:bookmarkStart w:id="60" w:name="_Toc545"/>
      <w:bookmarkStart w:id="61" w:name="_Toc20318"/>
      <w:bookmarkStart w:id="62" w:name="_Toc13288"/>
      <w:bookmarkStart w:id="63" w:name="_Toc24571"/>
      <w:bookmarkStart w:id="64" w:name="_Toc95997114"/>
      <w:bookmarkStart w:id="65" w:name="_Toc22708"/>
      <w:bookmarkStart w:id="66" w:name="_Toc6683"/>
      <w:bookmarkStart w:id="67" w:name="_Toc18631"/>
      <w:bookmarkStart w:id="68" w:name="_Toc20627"/>
      <w:bookmarkStart w:id="69" w:name="_Toc258829400"/>
      <w:bookmarkStart w:id="70" w:name="_Toc233456272"/>
      <w:r>
        <w:rPr>
          <w:rFonts w:ascii="Times New Roman"/>
          <w:color w:val="000000" w:themeColor="text1"/>
          <w:sz w:val="30"/>
          <w14:textFill>
            <w14:solidFill>
              <w14:schemeClr w14:val="tx1"/>
            </w14:solidFill>
          </w14:textFill>
        </w:rPr>
        <w:t>第三部分  基金的基本情况</w:t>
      </w:r>
      <w:bookmarkEnd w:id="58"/>
      <w:bookmarkEnd w:id="59"/>
      <w:bookmarkEnd w:id="60"/>
      <w:bookmarkEnd w:id="61"/>
      <w:bookmarkEnd w:id="62"/>
      <w:bookmarkEnd w:id="63"/>
      <w:bookmarkEnd w:id="64"/>
      <w:bookmarkEnd w:id="65"/>
      <w:bookmarkEnd w:id="66"/>
      <w:bookmarkEnd w:id="67"/>
      <w:bookmarkEnd w:id="68"/>
      <w:bookmarkStart w:id="71" w:name="_Toc79392573"/>
    </w:p>
    <w:p>
      <w:pPr>
        <w:spacing w:line="360" w:lineRule="auto"/>
        <w:ind w:firstLine="540"/>
        <w:rPr>
          <w:bCs/>
          <w:color w:val="000000" w:themeColor="text1"/>
          <w:sz w:val="24"/>
          <w14:textFill>
            <w14:solidFill>
              <w14:schemeClr w14:val="tx1"/>
            </w14:solidFill>
          </w14:textFill>
        </w:rPr>
      </w:pPr>
      <w:bookmarkStart w:id="72" w:name="_Hlt88031774"/>
      <w:bookmarkEnd w:id="72"/>
      <w:bookmarkStart w:id="73" w:name="_Hlt88031741"/>
    </w:p>
    <w:bookmarkEnd w:id="73"/>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一、基金名称</w:t>
      </w:r>
      <w:bookmarkEnd w:id="71"/>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lang w:eastAsia="zh-CN"/>
          <w14:textFill>
            <w14:solidFill>
              <w14:schemeClr w14:val="tx1"/>
            </w14:solidFill>
          </w14:textFill>
        </w:rPr>
        <w:t>国新国证</w:t>
      </w:r>
      <w:r>
        <w:rPr>
          <w:rFonts w:hint="eastAsia"/>
          <w:bCs/>
          <w:color w:val="000000" w:themeColor="text1"/>
          <w:sz w:val="24"/>
          <w14:textFill>
            <w14:solidFill>
              <w14:schemeClr w14:val="tx1"/>
            </w14:solidFill>
          </w14:textFill>
        </w:rPr>
        <w:t>鑫裕央企债六个月定期开放债券型</w:t>
      </w:r>
      <w:r>
        <w:rPr>
          <w:bCs/>
          <w:color w:val="000000" w:themeColor="text1"/>
          <w:sz w:val="24"/>
          <w14:textFill>
            <w14:solidFill>
              <w14:schemeClr w14:val="tx1"/>
            </w14:solidFill>
          </w14:textFill>
        </w:rPr>
        <w:t>证券投资基金</w:t>
      </w:r>
    </w:p>
    <w:p>
      <w:pPr>
        <w:spacing w:line="360" w:lineRule="auto"/>
        <w:ind w:firstLine="480" w:firstLineChars="200"/>
        <w:rPr>
          <w:bCs/>
          <w:color w:val="000000" w:themeColor="text1"/>
          <w:sz w:val="24"/>
          <w14:textFill>
            <w14:solidFill>
              <w14:schemeClr w14:val="tx1"/>
            </w14:solidFill>
          </w14:textFill>
        </w:rPr>
      </w:pPr>
    </w:p>
    <w:p>
      <w:pPr>
        <w:spacing w:line="360" w:lineRule="auto"/>
        <w:ind w:firstLine="480" w:firstLineChars="200"/>
        <w:rPr>
          <w:bCs/>
          <w:color w:val="000000" w:themeColor="text1"/>
          <w:sz w:val="24"/>
          <w14:textFill>
            <w14:solidFill>
              <w14:schemeClr w14:val="tx1"/>
            </w14:solidFill>
          </w14:textFill>
        </w:rPr>
      </w:pPr>
      <w:bookmarkStart w:id="74" w:name="_Toc79392574"/>
      <w:r>
        <w:rPr>
          <w:bCs/>
          <w:color w:val="000000" w:themeColor="text1"/>
          <w:sz w:val="24"/>
          <w14:textFill>
            <w14:solidFill>
              <w14:schemeClr w14:val="tx1"/>
            </w14:solidFill>
          </w14:textFill>
        </w:rPr>
        <w:t>二、基金的类别</w:t>
      </w:r>
      <w:bookmarkEnd w:id="74"/>
    </w:p>
    <w:p>
      <w:pPr>
        <w:spacing w:line="360" w:lineRule="auto"/>
        <w:ind w:left="796" w:leftChars="257" w:hanging="256"/>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债券型</w:t>
      </w:r>
      <w:r>
        <w:rPr>
          <w:bCs/>
          <w:color w:val="000000" w:themeColor="text1"/>
          <w:sz w:val="24"/>
          <w14:textFill>
            <w14:solidFill>
              <w14:schemeClr w14:val="tx1"/>
            </w14:solidFill>
          </w14:textFill>
        </w:rPr>
        <w:t>证券投资基金</w:t>
      </w:r>
    </w:p>
    <w:p>
      <w:pPr>
        <w:spacing w:line="360" w:lineRule="auto"/>
        <w:ind w:left="796" w:leftChars="257" w:hanging="256"/>
        <w:rPr>
          <w:bCs/>
          <w:color w:val="000000" w:themeColor="text1"/>
          <w:sz w:val="24"/>
          <w14:textFill>
            <w14:solidFill>
              <w14:schemeClr w14:val="tx1"/>
            </w14:solidFill>
          </w14:textFill>
        </w:rPr>
      </w:pPr>
    </w:p>
    <w:p>
      <w:pPr>
        <w:spacing w:line="360" w:lineRule="auto"/>
        <w:ind w:firstLine="480" w:firstLineChars="200"/>
        <w:rPr>
          <w:bCs/>
          <w:color w:val="000000" w:themeColor="text1"/>
          <w:sz w:val="24"/>
          <w14:textFill>
            <w14:solidFill>
              <w14:schemeClr w14:val="tx1"/>
            </w14:solidFill>
          </w14:textFill>
        </w:rPr>
      </w:pPr>
      <w:bookmarkStart w:id="75" w:name="_Toc79392575"/>
      <w:r>
        <w:rPr>
          <w:bCs/>
          <w:color w:val="000000" w:themeColor="text1"/>
          <w:sz w:val="24"/>
          <w14:textFill>
            <w14:solidFill>
              <w14:schemeClr w14:val="tx1"/>
            </w14:solidFill>
          </w14:textFill>
        </w:rPr>
        <w:t>三、基金的运作方式</w:t>
      </w:r>
    </w:p>
    <w:p>
      <w:pPr>
        <w:spacing w:line="360" w:lineRule="auto"/>
        <w:ind w:left="796" w:leftChars="257" w:hanging="256"/>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契约型</w:t>
      </w:r>
      <w:r>
        <w:rPr>
          <w:rFonts w:hint="eastAsia"/>
          <w:bCs/>
          <w:color w:val="000000" w:themeColor="text1"/>
          <w:sz w:val="24"/>
          <w14:textFill>
            <w14:solidFill>
              <w14:schemeClr w14:val="tx1"/>
            </w14:solidFill>
          </w14:textFill>
        </w:rPr>
        <w:t>、定期</w:t>
      </w:r>
      <w:r>
        <w:rPr>
          <w:bCs/>
          <w:color w:val="000000" w:themeColor="text1"/>
          <w:sz w:val="24"/>
          <w14:textFill>
            <w14:solidFill>
              <w14:schemeClr w14:val="tx1"/>
            </w14:solidFill>
          </w14:textFill>
        </w:rPr>
        <w:t>开放式</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本基金以定期开放的方式运作，即采用封闭运作和开放运作交替循环的方式。自《基金合同》生效之日起（包括该日）或自每一开放期结束之日次日起（包括该日）6个月的期间内，本基金采取封闭运作模式，基金份额持有人不得申请申购、赎回本基金。本基金的第一个封闭期为自《基金合同》生效之日起（包括该日）至该日6个月后的对应日的前一日止。下一个封闭期为首个开放期结束之日次日起（包括该日）至该日6个月后的对应日的前一日止，以此类推。如该日历月不存在对应日期，则顺延至该日历月对应月份最后一日的下一工作日，如对应日为非工作日，则顺延至下一工作日。本基金封闭期内不办理申购与赎回业务，也不上市交易。</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每一个封闭期结束后，本基金即进入开放期，开放期的期限为自每个封闭期结束之日后第一个工作日起（含该日）不超过二十个工作日，具体期间由基金管理人在封闭期结束前公告说明。开放期内，本基金采取开放运作模式，投资人可办理基金份额申购、赎回或其他业务。开放期未赎回的份额将自动转入下一个封闭期。</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如封闭期结束后或在开放期内发生不可抗力或其他情形致使基金无法按时开放或需依据《基金合同》暂停申购与赎回业务的，开放期时间中止计算，在不可抗力或其他情形影响因素消除之日下一个工作日起，继续计算该开放期时间，基金管理人有权合理调整申购或赎回业务的办理期间并予以公告。</w:t>
      </w:r>
    </w:p>
    <w:p>
      <w:pPr>
        <w:spacing w:line="360" w:lineRule="auto"/>
        <w:ind w:left="796" w:leftChars="257" w:hanging="256"/>
        <w:rPr>
          <w:bCs/>
          <w:color w:val="000000" w:themeColor="text1"/>
          <w:sz w:val="24"/>
          <w14:textFill>
            <w14:solidFill>
              <w14:schemeClr w14:val="tx1"/>
            </w14:solidFill>
          </w14:textFill>
        </w:rPr>
      </w:pP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四、基金的投资目标</w:t>
      </w:r>
      <w:bookmarkEnd w:id="75"/>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本基金在严格控制投资组合风险的前提下，重点投资央企债，力争为基金份额持有人获取超越业绩比较基准的投资回报。</w:t>
      </w:r>
    </w:p>
    <w:p>
      <w:pPr>
        <w:pStyle w:val="11"/>
        <w:rPr>
          <w:rFonts w:ascii="Times New Roman" w:eastAsia="宋体"/>
          <w:bCs/>
          <w:color w:val="000000" w:themeColor="text1"/>
          <w:sz w:val="24"/>
          <w14:textFill>
            <w14:solidFill>
              <w14:schemeClr w14:val="tx1"/>
            </w14:solidFill>
          </w14:textFill>
        </w:rPr>
      </w:pPr>
    </w:p>
    <w:p>
      <w:pPr>
        <w:spacing w:line="360" w:lineRule="auto"/>
        <w:ind w:firstLine="480" w:firstLineChars="200"/>
        <w:rPr>
          <w:bCs/>
          <w:color w:val="000000" w:themeColor="text1"/>
          <w:sz w:val="24"/>
          <w14:textFill>
            <w14:solidFill>
              <w14:schemeClr w14:val="tx1"/>
            </w14:solidFill>
          </w14:textFill>
        </w:rPr>
      </w:pPr>
      <w:bookmarkStart w:id="76" w:name="_Toc79392576"/>
      <w:r>
        <w:rPr>
          <w:bCs/>
          <w:color w:val="000000" w:themeColor="text1"/>
          <w:sz w:val="24"/>
          <w14:textFill>
            <w14:solidFill>
              <w14:schemeClr w14:val="tx1"/>
            </w14:solidFill>
          </w14:textFill>
        </w:rPr>
        <w:t>五、基金的最低募集份额总额</w:t>
      </w:r>
      <w:bookmarkEnd w:id="76"/>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本基金的最低募集份额总额为2亿份。</w:t>
      </w:r>
    </w:p>
    <w:p>
      <w:pPr>
        <w:spacing w:line="360" w:lineRule="auto"/>
        <w:ind w:firstLine="480" w:firstLineChars="200"/>
        <w:rPr>
          <w:bCs/>
          <w:color w:val="000000" w:themeColor="text1"/>
          <w:sz w:val="24"/>
          <w14:textFill>
            <w14:solidFill>
              <w14:schemeClr w14:val="tx1"/>
            </w14:solidFill>
          </w14:textFill>
        </w:rPr>
      </w:pPr>
    </w:p>
    <w:p>
      <w:pPr>
        <w:spacing w:line="360" w:lineRule="auto"/>
        <w:ind w:firstLine="480" w:firstLineChars="200"/>
        <w:rPr>
          <w:bCs/>
          <w:color w:val="000000" w:themeColor="text1"/>
          <w:sz w:val="24"/>
          <w14:textFill>
            <w14:solidFill>
              <w14:schemeClr w14:val="tx1"/>
            </w14:solidFill>
          </w14:textFill>
        </w:rPr>
      </w:pPr>
      <w:bookmarkStart w:id="77" w:name="_Toc79392577"/>
      <w:r>
        <w:rPr>
          <w:bCs/>
          <w:color w:val="000000" w:themeColor="text1"/>
          <w:sz w:val="24"/>
          <w14:textFill>
            <w14:solidFill>
              <w14:schemeClr w14:val="tx1"/>
            </w14:solidFill>
          </w14:textFill>
        </w:rPr>
        <w:t>六、基金份额发售面值</w:t>
      </w:r>
      <w:bookmarkEnd w:id="77"/>
      <w:r>
        <w:rPr>
          <w:bCs/>
          <w:color w:val="000000" w:themeColor="text1"/>
          <w:sz w:val="24"/>
          <w14:textFill>
            <w14:solidFill>
              <w14:schemeClr w14:val="tx1"/>
            </w14:solidFill>
          </w14:textFill>
        </w:rPr>
        <w:t>和认购费用</w:t>
      </w:r>
    </w:p>
    <w:p>
      <w:pPr>
        <w:spacing w:line="360" w:lineRule="auto"/>
        <w:ind w:firstLine="48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本基金基金份额发售面值为人民币1.00元。</w:t>
      </w:r>
    </w:p>
    <w:p>
      <w:pPr>
        <w:autoSpaceDE w:val="0"/>
        <w:autoSpaceDN w:val="0"/>
        <w:adjustRightInd w:val="0"/>
        <w:spacing w:line="360" w:lineRule="auto"/>
        <w:ind w:firstLine="480" w:firstLineChars="200"/>
        <w:jc w:val="left"/>
        <w:rPr>
          <w:bCs/>
          <w:color w:val="000000" w:themeColor="text1"/>
          <w:sz w:val="24"/>
          <w14:textFill>
            <w14:solidFill>
              <w14:schemeClr w14:val="tx1"/>
            </w14:solidFill>
          </w14:textFill>
        </w:rPr>
      </w:pPr>
      <w:r>
        <w:rPr>
          <w:bCs/>
          <w:color w:val="000000" w:themeColor="text1"/>
          <w:sz w:val="24"/>
          <w14:textFill>
            <w14:solidFill>
              <w14:schemeClr w14:val="tx1"/>
            </w14:solidFill>
          </w14:textFill>
        </w:rPr>
        <w:t>本基金认购费率按招募说明书</w:t>
      </w:r>
      <w:r>
        <w:rPr>
          <w:rFonts w:hint="eastAsia"/>
          <w:bCs/>
          <w:color w:val="000000" w:themeColor="text1"/>
          <w:sz w:val="24"/>
          <w14:textFill>
            <w14:solidFill>
              <w14:schemeClr w14:val="tx1"/>
            </w14:solidFill>
          </w14:textFill>
        </w:rPr>
        <w:t>及基金产品资料概要</w:t>
      </w:r>
      <w:r>
        <w:rPr>
          <w:bCs/>
          <w:color w:val="000000" w:themeColor="text1"/>
          <w:sz w:val="24"/>
          <w14:textFill>
            <w14:solidFill>
              <w14:schemeClr w14:val="tx1"/>
            </w14:solidFill>
          </w14:textFill>
        </w:rPr>
        <w:t>的规定执行。</w:t>
      </w:r>
    </w:p>
    <w:p>
      <w:pPr>
        <w:autoSpaceDE w:val="0"/>
        <w:autoSpaceDN w:val="0"/>
        <w:adjustRightInd w:val="0"/>
        <w:spacing w:line="360" w:lineRule="auto"/>
        <w:ind w:firstLine="480" w:firstLineChars="200"/>
        <w:jc w:val="left"/>
        <w:rPr>
          <w:bCs/>
          <w:color w:val="000000" w:themeColor="text1"/>
          <w:sz w:val="24"/>
          <w14:textFill>
            <w14:solidFill>
              <w14:schemeClr w14:val="tx1"/>
            </w14:solidFill>
          </w14:textFill>
        </w:rPr>
      </w:pPr>
    </w:p>
    <w:p>
      <w:pPr>
        <w:spacing w:line="360" w:lineRule="auto"/>
        <w:ind w:firstLine="480" w:firstLineChars="200"/>
        <w:rPr>
          <w:bCs/>
          <w:color w:val="000000" w:themeColor="text1"/>
          <w:sz w:val="24"/>
          <w14:textFill>
            <w14:solidFill>
              <w14:schemeClr w14:val="tx1"/>
            </w14:solidFill>
          </w14:textFill>
        </w:rPr>
      </w:pPr>
      <w:bookmarkStart w:id="78" w:name="_Toc79392578"/>
      <w:r>
        <w:rPr>
          <w:bCs/>
          <w:color w:val="000000" w:themeColor="text1"/>
          <w:sz w:val="24"/>
          <w14:textFill>
            <w14:solidFill>
              <w14:schemeClr w14:val="tx1"/>
            </w14:solidFill>
          </w14:textFill>
        </w:rPr>
        <w:t>七、基金存续期限</w:t>
      </w:r>
      <w:bookmarkEnd w:id="78"/>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不定期</w:t>
      </w:r>
    </w:p>
    <w:p>
      <w:pPr>
        <w:spacing w:line="360" w:lineRule="auto"/>
        <w:ind w:firstLine="480" w:firstLineChars="200"/>
        <w:rPr>
          <w:bCs/>
          <w:color w:val="000000" w:themeColor="text1"/>
          <w:sz w:val="24"/>
          <w14:textFill>
            <w14:solidFill>
              <w14:schemeClr w14:val="tx1"/>
            </w14:solidFill>
          </w14:textFill>
        </w:rPr>
      </w:pPr>
    </w:p>
    <w:p>
      <w:pPr>
        <w:spacing w:line="360" w:lineRule="auto"/>
        <w:ind w:left="199" w:firstLine="425"/>
        <w:rPr>
          <w:bCs/>
          <w:color w:val="000000" w:themeColor="text1"/>
          <w:sz w:val="24"/>
          <w14:textFill>
            <w14:solidFill>
              <w14:schemeClr w14:val="tx1"/>
            </w14:solidFill>
          </w14:textFill>
        </w:rPr>
      </w:pPr>
    </w:p>
    <w:p>
      <w:pPr>
        <w:pStyle w:val="2"/>
        <w:spacing w:before="0" w:after="0"/>
        <w:jc w:val="center"/>
        <w:rPr>
          <w:rFonts w:ascii="Times New Roman"/>
          <w:color w:val="000000" w:themeColor="text1"/>
          <w:sz w:val="30"/>
          <w14:textFill>
            <w14:solidFill>
              <w14:schemeClr w14:val="tx1"/>
            </w14:solidFill>
          </w14:textFill>
        </w:rPr>
      </w:pPr>
      <w:r>
        <w:rPr>
          <w:rFonts w:ascii="Times New Roman"/>
          <w:b w:val="0"/>
          <w:bCs/>
          <w:color w:val="000000" w:themeColor="text1"/>
          <w:kern w:val="44"/>
          <w:sz w:val="21"/>
          <w14:textFill>
            <w14:solidFill>
              <w14:schemeClr w14:val="tx1"/>
            </w14:solidFill>
          </w14:textFill>
        </w:rPr>
        <w:br w:type="page"/>
      </w:r>
      <w:bookmarkStart w:id="79" w:name="_Toc90742321"/>
      <w:bookmarkStart w:id="80" w:name="_Toc95997115"/>
      <w:bookmarkStart w:id="81" w:name="_Toc22074"/>
      <w:bookmarkStart w:id="82" w:name="_Toc15203"/>
      <w:bookmarkStart w:id="83" w:name="_Toc7151"/>
      <w:bookmarkStart w:id="84" w:name="_Toc27226"/>
      <w:bookmarkStart w:id="85" w:name="_Toc3266"/>
      <w:bookmarkStart w:id="86" w:name="_Toc90742688"/>
      <w:bookmarkStart w:id="87" w:name="_Toc29948"/>
      <w:bookmarkStart w:id="88" w:name="_Toc16265"/>
      <w:bookmarkStart w:id="89" w:name="_Toc90742390"/>
      <w:bookmarkStart w:id="90" w:name="_Toc27189"/>
      <w:bookmarkStart w:id="91" w:name="_Toc6714"/>
      <w:bookmarkStart w:id="92" w:name="_Toc29784"/>
      <w:r>
        <w:rPr>
          <w:rFonts w:ascii="Times New Roman"/>
          <w:color w:val="000000" w:themeColor="text1"/>
          <w:sz w:val="30"/>
          <w14:textFill>
            <w14:solidFill>
              <w14:schemeClr w14:val="tx1"/>
            </w14:solidFill>
          </w14:textFill>
        </w:rPr>
        <w:t>第四部分  基金份额的发售</w:t>
      </w:r>
      <w:bookmarkEnd w:id="79"/>
      <w:bookmarkEnd w:id="80"/>
      <w:bookmarkEnd w:id="81"/>
      <w:bookmarkEnd w:id="82"/>
      <w:bookmarkEnd w:id="83"/>
      <w:bookmarkEnd w:id="84"/>
      <w:bookmarkEnd w:id="85"/>
      <w:bookmarkEnd w:id="86"/>
      <w:bookmarkEnd w:id="87"/>
      <w:bookmarkEnd w:id="88"/>
      <w:bookmarkEnd w:id="89"/>
      <w:bookmarkEnd w:id="90"/>
      <w:bookmarkEnd w:id="91"/>
      <w:bookmarkEnd w:id="92"/>
    </w:p>
    <w:p>
      <w:pPr>
        <w:spacing w:line="360" w:lineRule="auto"/>
        <w:ind w:firstLine="420" w:firstLineChars="200"/>
        <w:rPr>
          <w:bCs/>
          <w:color w:val="000000" w:themeColor="text1"/>
          <w:kern w:val="44"/>
          <w14:textFill>
            <w14:solidFill>
              <w14:schemeClr w14:val="tx1"/>
            </w14:solidFill>
          </w14:textFill>
        </w:rPr>
      </w:pP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一、基金份额的发售时间、发售方式、发售对象</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1、发售时间</w:t>
      </w:r>
    </w:p>
    <w:p>
      <w:pPr>
        <w:spacing w:line="360" w:lineRule="auto"/>
        <w:ind w:firstLine="480" w:firstLineChars="200"/>
        <w:rPr>
          <w:bCs/>
          <w:color w:val="000000" w:themeColor="text1"/>
          <w14:textFill>
            <w14:solidFill>
              <w14:schemeClr w14:val="tx1"/>
            </w14:solidFill>
          </w14:textFill>
        </w:rPr>
      </w:pPr>
      <w:r>
        <w:rPr>
          <w:bCs/>
          <w:color w:val="000000" w:themeColor="text1"/>
          <w:sz w:val="24"/>
          <w14:textFill>
            <w14:solidFill>
              <w14:schemeClr w14:val="tx1"/>
            </w14:solidFill>
          </w14:textFill>
        </w:rPr>
        <w:t>自基金份额发售之日起最长不得超过</w:t>
      </w:r>
      <w:r>
        <w:rPr>
          <w:rFonts w:hint="eastAsia"/>
          <w:bCs/>
          <w:color w:val="000000" w:themeColor="text1"/>
          <w:sz w:val="24"/>
          <w14:textFill>
            <w14:solidFill>
              <w14:schemeClr w14:val="tx1"/>
            </w14:solidFill>
          </w14:textFill>
        </w:rPr>
        <w:t>3</w:t>
      </w:r>
      <w:r>
        <w:rPr>
          <w:bCs/>
          <w:color w:val="000000" w:themeColor="text1"/>
          <w:sz w:val="24"/>
          <w14:textFill>
            <w14:solidFill>
              <w14:schemeClr w14:val="tx1"/>
            </w14:solidFill>
          </w14:textFill>
        </w:rPr>
        <w:t>个月，具体发售时间见基金份额发售公告。</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2、发售方式</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通过各销售机构的基金销售网点公开发售，各销售机构的具体名单见基金份额发售公告以及基金管理人</w:t>
      </w:r>
      <w:r>
        <w:rPr>
          <w:rFonts w:hint="eastAsia"/>
          <w:bCs/>
          <w:color w:val="000000" w:themeColor="text1"/>
          <w:sz w:val="24"/>
          <w14:textFill>
            <w14:solidFill>
              <w14:schemeClr w14:val="tx1"/>
            </w14:solidFill>
          </w14:textFill>
        </w:rPr>
        <w:t>网站</w:t>
      </w:r>
      <w:r>
        <w:rPr>
          <w:bCs/>
          <w:color w:val="000000" w:themeColor="text1"/>
          <w:sz w:val="24"/>
          <w14:textFill>
            <w14:solidFill>
              <w14:schemeClr w14:val="tx1"/>
            </w14:solidFill>
          </w14:textFill>
        </w:rPr>
        <w:t>。</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3、发售对象</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符合法律法规规定的可投资于证券投资基金的个人投资者、机构投资者</w:t>
      </w: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合格境外机构投资者</w:t>
      </w:r>
      <w:r>
        <w:rPr>
          <w:rFonts w:hint="eastAsia"/>
          <w:bCs/>
          <w:color w:val="000000" w:themeColor="text1"/>
          <w:sz w:val="24"/>
          <w14:textFill>
            <w14:solidFill>
              <w14:schemeClr w14:val="tx1"/>
            </w14:solidFill>
          </w14:textFill>
        </w:rPr>
        <w:t>和人民币合格境外机构投资者</w:t>
      </w:r>
      <w:r>
        <w:rPr>
          <w:bCs/>
          <w:color w:val="000000" w:themeColor="text1"/>
          <w:sz w:val="24"/>
          <w14:textFill>
            <w14:solidFill>
              <w14:schemeClr w14:val="tx1"/>
            </w14:solidFill>
          </w14:textFill>
        </w:rPr>
        <w:t>以及法律法规或中国证监会允许购买证券投资基金的其他投资人</w:t>
      </w:r>
      <w:r>
        <w:rPr>
          <w:rFonts w:hint="eastAsia"/>
          <w:bCs/>
          <w:color w:val="000000" w:themeColor="text1"/>
          <w:sz w:val="24"/>
          <w14:textFill>
            <w14:solidFill>
              <w14:schemeClr w14:val="tx1"/>
            </w14:solidFill>
          </w14:textFill>
        </w:rPr>
        <w:t>。</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二、基金份额的认购</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1、认购费用</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本基金的认购费率由基金管理人决定，并在招募说明书</w:t>
      </w:r>
      <w:r>
        <w:rPr>
          <w:rFonts w:hint="eastAsia"/>
          <w:bCs/>
          <w:color w:val="000000" w:themeColor="text1"/>
          <w:sz w:val="24"/>
          <w14:textFill>
            <w14:solidFill>
              <w14:schemeClr w14:val="tx1"/>
            </w14:solidFill>
          </w14:textFill>
        </w:rPr>
        <w:t>及基金产品资料概要</w:t>
      </w:r>
      <w:r>
        <w:rPr>
          <w:bCs/>
          <w:color w:val="000000" w:themeColor="text1"/>
          <w:sz w:val="24"/>
          <w14:textFill>
            <w14:solidFill>
              <w14:schemeClr w14:val="tx1"/>
            </w14:solidFill>
          </w14:textFill>
        </w:rPr>
        <w:t>中列示。基金认购费用不列入基金财产。</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2、募集期利息的处理方式</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有效认购款项在募集期间产生的利息将折算为基金份额归基金份额持有人所有，其中利息转份额以登记机构的记录为准。</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3、基金认购份额的计算</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基金认购份额具体的计算方法在招募说明书中列示。</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4</w:t>
      </w: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认购份额余额的处理方式</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认购份额</w:t>
      </w:r>
      <w:bookmarkStart w:id="93" w:name="OLE_LINK1"/>
      <w:r>
        <w:rPr>
          <w:bCs/>
          <w:color w:val="000000" w:themeColor="text1"/>
          <w:sz w:val="24"/>
          <w14:textFill>
            <w14:solidFill>
              <w14:schemeClr w14:val="tx1"/>
            </w14:solidFill>
          </w14:textFill>
        </w:rPr>
        <w:t>的计算</w:t>
      </w:r>
      <w:bookmarkEnd w:id="93"/>
      <w:r>
        <w:rPr>
          <w:bCs/>
          <w:color w:val="000000" w:themeColor="text1"/>
          <w:sz w:val="24"/>
          <w14:textFill>
            <w14:solidFill>
              <w14:schemeClr w14:val="tx1"/>
            </w14:solidFill>
          </w14:textFill>
        </w:rPr>
        <w:t>保留到小数点后</w:t>
      </w:r>
      <w:r>
        <w:rPr>
          <w:rFonts w:hint="eastAsia"/>
          <w:bCs/>
          <w:color w:val="000000" w:themeColor="text1"/>
          <w:sz w:val="24"/>
          <w14:textFill>
            <w14:solidFill>
              <w14:schemeClr w14:val="tx1"/>
            </w14:solidFill>
          </w14:textFill>
        </w:rPr>
        <w:t>2</w:t>
      </w:r>
      <w:r>
        <w:rPr>
          <w:bCs/>
          <w:color w:val="000000" w:themeColor="text1"/>
          <w:sz w:val="24"/>
          <w14:textFill>
            <w14:solidFill>
              <w14:schemeClr w14:val="tx1"/>
            </w14:solidFill>
          </w14:textFill>
        </w:rPr>
        <w:t>位，小数点</w:t>
      </w:r>
      <w:r>
        <w:rPr>
          <w:rFonts w:hint="eastAsia"/>
          <w:bCs/>
          <w:color w:val="000000" w:themeColor="text1"/>
          <w:sz w:val="24"/>
          <w14:textFill>
            <w14:solidFill>
              <w14:schemeClr w14:val="tx1"/>
            </w14:solidFill>
          </w14:textFill>
        </w:rPr>
        <w:t>2</w:t>
      </w:r>
      <w:r>
        <w:rPr>
          <w:bCs/>
          <w:color w:val="000000" w:themeColor="text1"/>
          <w:sz w:val="24"/>
          <w14:textFill>
            <w14:solidFill>
              <w14:schemeClr w14:val="tx1"/>
            </w14:solidFill>
          </w14:textFill>
        </w:rPr>
        <w:t>位以后的部分四舍五入，由此误差产生的收益或损失由基金财产承担。</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5、认购申请的确认</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基金销售机构对认购申请的受理并不代表该申请一定成功，而仅代表销售机构确实接收到认购申请。认购申请的确认以登记机构的确认结果为准。对于认购申请及认购份额的确认情况，投资人应及时查询并妥善行使合法权利，否则，由此产生的任何损失由投资者自行承担。</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三</w:t>
      </w: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基金份额认购金额的限制</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w:t>
      </w: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投资人认购时，需按销售机构规定的方式全额缴款。</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2</w:t>
      </w: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基金管理人可以对每个基金交易账户的单笔最低认购金额进行限制，具体限制请参看招募说明书或</w:t>
      </w:r>
      <w:r>
        <w:rPr>
          <w:rFonts w:hint="eastAsia"/>
          <w:bCs/>
          <w:color w:val="000000" w:themeColor="text1"/>
          <w:sz w:val="24"/>
          <w14:textFill>
            <w14:solidFill>
              <w14:schemeClr w14:val="tx1"/>
            </w14:solidFill>
          </w14:textFill>
        </w:rPr>
        <w:t>相关</w:t>
      </w:r>
      <w:r>
        <w:rPr>
          <w:bCs/>
          <w:color w:val="000000" w:themeColor="text1"/>
          <w:sz w:val="24"/>
          <w14:textFill>
            <w14:solidFill>
              <w14:schemeClr w14:val="tx1"/>
            </w14:solidFill>
          </w14:textFill>
        </w:rPr>
        <w:t>公告。</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3</w:t>
      </w: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基金管理人可以对募集期间的单个投资人的累计认购金额进行限制，具体限制和处理方法请参看招募说明书或</w:t>
      </w:r>
      <w:r>
        <w:rPr>
          <w:rFonts w:hint="eastAsia"/>
          <w:bCs/>
          <w:color w:val="000000" w:themeColor="text1"/>
          <w:sz w:val="24"/>
          <w14:textFill>
            <w14:solidFill>
              <w14:schemeClr w14:val="tx1"/>
            </w14:solidFill>
          </w14:textFill>
        </w:rPr>
        <w:t>相关</w:t>
      </w:r>
      <w:r>
        <w:rPr>
          <w:bCs/>
          <w:color w:val="000000" w:themeColor="text1"/>
          <w:sz w:val="24"/>
          <w14:textFill>
            <w14:solidFill>
              <w14:schemeClr w14:val="tx1"/>
            </w14:solidFill>
          </w14:textFill>
        </w:rPr>
        <w:t>公告。</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4、</w:t>
      </w:r>
      <w:r>
        <w:rPr>
          <w:rFonts w:hint="eastAsia"/>
          <w:bCs/>
          <w:color w:val="000000" w:themeColor="text1"/>
          <w:sz w:val="24"/>
          <w14:textFill>
            <w14:solidFill>
              <w14:schemeClr w14:val="tx1"/>
            </w14:solidFill>
          </w14:textFill>
        </w:rPr>
        <w:t>基金管理人可以对本基金的募集规模上限进行限制，具体限制和处理方法请参看招募说明书或相关公告。</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5、如本基金单个投资人累计认购的基金份额数达到或者超过基金总份额的50%，基金管理人可以采取比例确认等方式对该投资人的认购申请进行限制。基金管理人接受某笔或者某些认购申请有可能导致投资者变相规避前述50%比例要求的，基金管理人有权拒绝该等全部或者部分认购申请。投资人认购的基金份额数以基金合同生效后登记机构的确认为准。</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6、投资人在募集期内可以多次认购基金份额，认购费按每笔认购申请单独计算，但已受理的认购申请不允许撤销。</w:t>
      </w:r>
    </w:p>
    <w:p>
      <w:pPr>
        <w:spacing w:line="360" w:lineRule="auto"/>
        <w:ind w:firstLine="480" w:firstLineChars="200"/>
        <w:rPr>
          <w:bCs/>
          <w:color w:val="000000" w:themeColor="text1"/>
          <w:sz w:val="24"/>
          <w14:textFill>
            <w14:solidFill>
              <w14:schemeClr w14:val="tx1"/>
            </w14:solidFill>
          </w14:textFill>
        </w:rPr>
      </w:pPr>
    </w:p>
    <w:p>
      <w:pPr>
        <w:pStyle w:val="2"/>
        <w:spacing w:before="0" w:after="0"/>
        <w:jc w:val="center"/>
        <w:rPr>
          <w:rFonts w:ascii="Times New Roman"/>
          <w:color w:val="000000" w:themeColor="text1"/>
          <w:sz w:val="30"/>
          <w14:textFill>
            <w14:solidFill>
              <w14:schemeClr w14:val="tx1"/>
            </w14:solidFill>
          </w14:textFill>
        </w:rPr>
      </w:pPr>
      <w:r>
        <w:rPr>
          <w:rFonts w:ascii="Times New Roman"/>
          <w:b w:val="0"/>
          <w:bCs/>
          <w:color w:val="000000" w:themeColor="text1"/>
          <w:kern w:val="44"/>
          <w:sz w:val="21"/>
          <w14:textFill>
            <w14:solidFill>
              <w14:schemeClr w14:val="tx1"/>
            </w14:solidFill>
          </w14:textFill>
        </w:rPr>
        <w:br w:type="page"/>
      </w:r>
      <w:bookmarkStart w:id="94" w:name="_Toc18329"/>
      <w:bookmarkStart w:id="95" w:name="_Toc18526"/>
      <w:bookmarkStart w:id="96" w:name="_Toc4741"/>
      <w:bookmarkStart w:id="97" w:name="_Toc17912"/>
      <w:bookmarkStart w:id="98" w:name="_Toc18797"/>
      <w:bookmarkStart w:id="99" w:name="_Toc141703885"/>
      <w:bookmarkStart w:id="100" w:name="_Toc139991735"/>
      <w:bookmarkStart w:id="101" w:name="_Toc7848"/>
      <w:bookmarkStart w:id="102" w:name="_Toc14893"/>
      <w:bookmarkStart w:id="103" w:name="_Toc95997116"/>
      <w:bookmarkStart w:id="104" w:name="_Toc26986"/>
      <w:bookmarkStart w:id="105" w:name="_Toc21988"/>
      <w:bookmarkStart w:id="106" w:name="_Toc1823"/>
      <w:r>
        <w:rPr>
          <w:rFonts w:ascii="Times New Roman"/>
          <w:color w:val="000000" w:themeColor="text1"/>
          <w:sz w:val="30"/>
          <w14:textFill>
            <w14:solidFill>
              <w14:schemeClr w14:val="tx1"/>
            </w14:solidFill>
          </w14:textFill>
        </w:rPr>
        <w:t>第五部分  基金备案</w:t>
      </w:r>
      <w:bookmarkEnd w:id="94"/>
      <w:bookmarkEnd w:id="95"/>
      <w:bookmarkEnd w:id="96"/>
      <w:bookmarkEnd w:id="97"/>
      <w:bookmarkEnd w:id="98"/>
      <w:bookmarkEnd w:id="99"/>
      <w:bookmarkEnd w:id="100"/>
      <w:bookmarkEnd w:id="101"/>
      <w:bookmarkEnd w:id="102"/>
      <w:bookmarkEnd w:id="103"/>
      <w:bookmarkEnd w:id="104"/>
      <w:bookmarkEnd w:id="105"/>
      <w:bookmarkEnd w:id="106"/>
    </w:p>
    <w:p>
      <w:pPr>
        <w:spacing w:line="360" w:lineRule="auto"/>
        <w:ind w:firstLine="540"/>
        <w:rPr>
          <w:bCs/>
          <w:color w:val="000000" w:themeColor="text1"/>
          <w:sz w:val="24"/>
          <w14:textFill>
            <w14:solidFill>
              <w14:schemeClr w14:val="tx1"/>
            </w14:solidFill>
          </w14:textFill>
        </w:rPr>
      </w:pP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一、基金备案的条件</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本基金自基金份额发售之日起</w:t>
      </w:r>
      <w:r>
        <w:rPr>
          <w:rFonts w:hint="eastAsia"/>
          <w:bCs/>
          <w:color w:val="000000" w:themeColor="text1"/>
          <w:sz w:val="24"/>
          <w14:textFill>
            <w14:solidFill>
              <w14:schemeClr w14:val="tx1"/>
            </w14:solidFill>
          </w14:textFill>
        </w:rPr>
        <w:t>3</w:t>
      </w:r>
      <w:r>
        <w:rPr>
          <w:bCs/>
          <w:color w:val="000000" w:themeColor="text1"/>
          <w:sz w:val="24"/>
          <w14:textFill>
            <w14:solidFill>
              <w14:schemeClr w14:val="tx1"/>
            </w14:solidFill>
          </w14:textFill>
        </w:rPr>
        <w:t>个月内，在基金募集份额总额不少于</w:t>
      </w:r>
      <w:r>
        <w:rPr>
          <w:rFonts w:hint="eastAsia"/>
          <w:bCs/>
          <w:color w:val="000000" w:themeColor="text1"/>
          <w:sz w:val="24"/>
          <w14:textFill>
            <w14:solidFill>
              <w14:schemeClr w14:val="tx1"/>
            </w14:solidFill>
          </w14:textFill>
        </w:rPr>
        <w:t>2</w:t>
      </w:r>
      <w:r>
        <w:rPr>
          <w:bCs/>
          <w:color w:val="000000" w:themeColor="text1"/>
          <w:sz w:val="24"/>
          <w14:textFill>
            <w14:solidFill>
              <w14:schemeClr w14:val="tx1"/>
            </w14:solidFill>
          </w14:textFill>
        </w:rPr>
        <w:t>亿份，基金募集金额不少于</w:t>
      </w:r>
      <w:r>
        <w:rPr>
          <w:rFonts w:hint="eastAsia"/>
          <w:bCs/>
          <w:color w:val="000000" w:themeColor="text1"/>
          <w:sz w:val="24"/>
          <w14:textFill>
            <w14:solidFill>
              <w14:schemeClr w14:val="tx1"/>
            </w14:solidFill>
          </w14:textFill>
        </w:rPr>
        <w:t>2</w:t>
      </w:r>
      <w:r>
        <w:rPr>
          <w:bCs/>
          <w:color w:val="000000" w:themeColor="text1"/>
          <w:sz w:val="24"/>
          <w14:textFill>
            <w14:solidFill>
              <w14:schemeClr w14:val="tx1"/>
            </w14:solidFill>
          </w14:textFill>
        </w:rPr>
        <w:t>亿元人民币且基金认购人数不少于</w:t>
      </w:r>
      <w:r>
        <w:rPr>
          <w:rFonts w:hint="eastAsia"/>
          <w:bCs/>
          <w:color w:val="000000" w:themeColor="text1"/>
          <w:sz w:val="24"/>
          <w14:textFill>
            <w14:solidFill>
              <w14:schemeClr w14:val="tx1"/>
            </w14:solidFill>
          </w14:textFill>
        </w:rPr>
        <w:t>200</w:t>
      </w:r>
      <w:r>
        <w:rPr>
          <w:bCs/>
          <w:color w:val="000000" w:themeColor="text1"/>
          <w:sz w:val="24"/>
          <w14:textFill>
            <w14:solidFill>
              <w14:schemeClr w14:val="tx1"/>
            </w14:solidFill>
          </w14:textFill>
        </w:rPr>
        <w:t>人的条件下，</w:t>
      </w:r>
      <w:r>
        <w:rPr>
          <w:rFonts w:hint="eastAsia"/>
          <w:bCs/>
          <w:color w:val="000000" w:themeColor="text1"/>
          <w:sz w:val="24"/>
          <w14:textFill>
            <w14:solidFill>
              <w14:schemeClr w14:val="tx1"/>
            </w14:solidFill>
          </w14:textFill>
        </w:rPr>
        <w:t>基金募集期届满或</w:t>
      </w:r>
      <w:r>
        <w:rPr>
          <w:bCs/>
          <w:color w:val="000000" w:themeColor="text1"/>
          <w:sz w:val="24"/>
          <w14:textFill>
            <w14:solidFill>
              <w14:schemeClr w14:val="tx1"/>
            </w14:solidFill>
          </w14:textFill>
        </w:rPr>
        <w:t>基金管理人依据法律法规及招募说明书可以决定停止基金发售，并在</w:t>
      </w:r>
      <w:r>
        <w:rPr>
          <w:rFonts w:hint="eastAsia"/>
          <w:bCs/>
          <w:color w:val="000000" w:themeColor="text1"/>
          <w:sz w:val="24"/>
          <w14:textFill>
            <w14:solidFill>
              <w14:schemeClr w14:val="tx1"/>
            </w14:solidFill>
          </w14:textFill>
        </w:rPr>
        <w:t>10</w:t>
      </w:r>
      <w:r>
        <w:rPr>
          <w:bCs/>
          <w:color w:val="000000" w:themeColor="text1"/>
          <w:sz w:val="24"/>
          <w14:textFill>
            <w14:solidFill>
              <w14:schemeClr w14:val="tx1"/>
            </w14:solidFill>
          </w14:textFill>
        </w:rPr>
        <w:t>日内聘请法定验资机构验资，自收到验资报告之日起</w:t>
      </w:r>
      <w:r>
        <w:rPr>
          <w:rFonts w:hint="eastAsia"/>
          <w:bCs/>
          <w:color w:val="000000" w:themeColor="text1"/>
          <w:sz w:val="24"/>
          <w14:textFill>
            <w14:solidFill>
              <w14:schemeClr w14:val="tx1"/>
            </w14:solidFill>
          </w14:textFill>
        </w:rPr>
        <w:t>10</w:t>
      </w:r>
      <w:r>
        <w:rPr>
          <w:bCs/>
          <w:color w:val="000000" w:themeColor="text1"/>
          <w:sz w:val="24"/>
          <w14:textFill>
            <w14:solidFill>
              <w14:schemeClr w14:val="tx1"/>
            </w14:solidFill>
          </w14:textFill>
        </w:rPr>
        <w:t>日内，向中国证监会办理基金备案手续。</w:t>
      </w:r>
    </w:p>
    <w:p>
      <w:pPr>
        <w:spacing w:line="360" w:lineRule="auto"/>
        <w:ind w:firstLine="480" w:firstLineChars="200"/>
        <w:jc w:val="left"/>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二、基金合同不能生效时募集资金的处理方式</w:t>
      </w:r>
    </w:p>
    <w:p>
      <w:pPr>
        <w:spacing w:line="360" w:lineRule="auto"/>
        <w:ind w:firstLine="48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如果募集期限届满，未满足</w:t>
      </w:r>
      <w:r>
        <w:rPr>
          <w:rFonts w:hint="eastAsia"/>
          <w:bCs/>
          <w:color w:val="000000" w:themeColor="text1"/>
          <w:sz w:val="24"/>
          <w14:textFill>
            <w14:solidFill>
              <w14:schemeClr w14:val="tx1"/>
            </w14:solidFill>
          </w14:textFill>
        </w:rPr>
        <w:t>基金备案</w:t>
      </w:r>
      <w:r>
        <w:rPr>
          <w:bCs/>
          <w:color w:val="000000" w:themeColor="text1"/>
          <w:sz w:val="24"/>
          <w14:textFill>
            <w14:solidFill>
              <w14:schemeClr w14:val="tx1"/>
            </w14:solidFill>
          </w14:textFill>
        </w:rPr>
        <w:t>条件，基金管理人应当承担下列责任：</w:t>
      </w:r>
    </w:p>
    <w:p>
      <w:pPr>
        <w:spacing w:line="360" w:lineRule="auto"/>
        <w:ind w:firstLine="48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1、以其固有财产承担因募集行为而产生的债务和费用；</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2、在基金募集期限届满后</w:t>
      </w:r>
      <w:r>
        <w:rPr>
          <w:rFonts w:hint="eastAsia"/>
          <w:bCs/>
          <w:color w:val="000000" w:themeColor="text1"/>
          <w:sz w:val="24"/>
          <w14:textFill>
            <w14:solidFill>
              <w14:schemeClr w14:val="tx1"/>
            </w14:solidFill>
          </w14:textFill>
        </w:rPr>
        <w:t>30</w:t>
      </w:r>
      <w:r>
        <w:rPr>
          <w:bCs/>
          <w:color w:val="000000" w:themeColor="text1"/>
          <w:sz w:val="24"/>
          <w14:textFill>
            <w14:solidFill>
              <w14:schemeClr w14:val="tx1"/>
            </w14:solidFill>
          </w14:textFill>
        </w:rPr>
        <w:t>日内返还投资者已缴纳的款项，并加计银行同期活期存款利息</w:t>
      </w:r>
      <w:r>
        <w:rPr>
          <w:rFonts w:hint="eastAsia"/>
          <w:bCs/>
          <w:color w:val="000000" w:themeColor="text1"/>
          <w:sz w:val="24"/>
          <w14:textFill>
            <w14:solidFill>
              <w14:schemeClr w14:val="tx1"/>
            </w14:solidFill>
          </w14:textFill>
        </w:rPr>
        <w:t>；</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3、如基金募集失败，基金管理人、基金托管人及</w:t>
      </w:r>
      <w:r>
        <w:rPr>
          <w:rFonts w:hint="eastAsia"/>
          <w:bCs/>
          <w:color w:val="000000" w:themeColor="text1"/>
          <w:sz w:val="24"/>
          <w14:textFill>
            <w14:solidFill>
              <w14:schemeClr w14:val="tx1"/>
            </w14:solidFill>
          </w14:textFill>
        </w:rPr>
        <w:t>销售</w:t>
      </w:r>
      <w:r>
        <w:rPr>
          <w:bCs/>
          <w:color w:val="000000" w:themeColor="text1"/>
          <w:sz w:val="24"/>
          <w14:textFill>
            <w14:solidFill>
              <w14:schemeClr w14:val="tx1"/>
            </w14:solidFill>
          </w14:textFill>
        </w:rPr>
        <w:t>机构不得请求报酬。基金管理人、基金托管人和</w:t>
      </w:r>
      <w:r>
        <w:rPr>
          <w:rFonts w:hint="eastAsia"/>
          <w:bCs/>
          <w:color w:val="000000" w:themeColor="text1"/>
          <w:sz w:val="24"/>
          <w14:textFill>
            <w14:solidFill>
              <w14:schemeClr w14:val="tx1"/>
            </w14:solidFill>
          </w14:textFill>
        </w:rPr>
        <w:t>销售</w:t>
      </w:r>
      <w:r>
        <w:rPr>
          <w:bCs/>
          <w:color w:val="000000" w:themeColor="text1"/>
          <w:sz w:val="24"/>
          <w14:textFill>
            <w14:solidFill>
              <w14:schemeClr w14:val="tx1"/>
            </w14:solidFill>
          </w14:textFill>
        </w:rPr>
        <w:t>机构为基金募集支付之一切费用应由各方各自承担。</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三、基金存续期内的基金份额持有人数量和资产规模</w:t>
      </w:r>
    </w:p>
    <w:p>
      <w:pPr>
        <w:spacing w:line="360" w:lineRule="auto"/>
        <w:ind w:firstLine="48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《基金合同》生效后，连续20</w:t>
      </w:r>
      <w:r>
        <w:rPr>
          <w:rFonts w:hint="eastAsia"/>
          <w:bCs/>
          <w:color w:val="000000" w:themeColor="text1"/>
          <w:sz w:val="24"/>
          <w14:textFill>
            <w14:solidFill>
              <w14:schemeClr w14:val="tx1"/>
            </w14:solidFill>
          </w14:textFill>
        </w:rPr>
        <w:t>个工作日出现基金份额持有人数量不满</w:t>
      </w:r>
      <w:r>
        <w:rPr>
          <w:bCs/>
          <w:color w:val="000000" w:themeColor="text1"/>
          <w:sz w:val="24"/>
          <w14:textFill>
            <w14:solidFill>
              <w14:schemeClr w14:val="tx1"/>
            </w14:solidFill>
          </w14:textFill>
        </w:rPr>
        <w:t>200</w:t>
      </w:r>
      <w:r>
        <w:rPr>
          <w:rFonts w:hint="eastAsia"/>
          <w:bCs/>
          <w:color w:val="000000" w:themeColor="text1"/>
          <w:sz w:val="24"/>
          <w14:textFill>
            <w14:solidFill>
              <w14:schemeClr w14:val="tx1"/>
            </w14:solidFill>
          </w14:textFill>
        </w:rPr>
        <w:t>人或者基金资产净值低于</w:t>
      </w:r>
      <w:r>
        <w:rPr>
          <w:bCs/>
          <w:color w:val="000000" w:themeColor="text1"/>
          <w:sz w:val="24"/>
          <w14:textFill>
            <w14:solidFill>
              <w14:schemeClr w14:val="tx1"/>
            </w14:solidFill>
          </w14:textFill>
        </w:rPr>
        <w:t>5000</w:t>
      </w:r>
      <w:r>
        <w:rPr>
          <w:rFonts w:hint="eastAsia"/>
          <w:bCs/>
          <w:color w:val="000000" w:themeColor="text1"/>
          <w:sz w:val="24"/>
          <w14:textFill>
            <w14:solidFill>
              <w14:schemeClr w14:val="tx1"/>
            </w14:solidFill>
          </w14:textFill>
        </w:rPr>
        <w:t>万元情形的，基金管理人应当在定期报告中予以披露；连续</w:t>
      </w:r>
      <w:r>
        <w:rPr>
          <w:bCs/>
          <w:color w:val="000000" w:themeColor="text1"/>
          <w:sz w:val="24"/>
          <w14:textFill>
            <w14:solidFill>
              <w14:schemeClr w14:val="tx1"/>
            </w14:solidFill>
          </w14:textFill>
        </w:rPr>
        <w:t>60</w:t>
      </w:r>
      <w:r>
        <w:rPr>
          <w:rFonts w:hint="eastAsia"/>
          <w:bCs/>
          <w:color w:val="000000" w:themeColor="text1"/>
          <w:sz w:val="24"/>
          <w14:textFill>
            <w14:solidFill>
              <w14:schemeClr w14:val="tx1"/>
            </w14:solidFill>
          </w14:textFill>
        </w:rPr>
        <w:t>个工作日出现前述情形的，基金管理人应当在1</w:t>
      </w:r>
      <w:r>
        <w:rPr>
          <w:bCs/>
          <w:color w:val="000000" w:themeColor="text1"/>
          <w:sz w:val="24"/>
          <w14:textFill>
            <w14:solidFill>
              <w14:schemeClr w14:val="tx1"/>
            </w14:solidFill>
          </w14:textFill>
        </w:rPr>
        <w:t>0</w:t>
      </w:r>
      <w:r>
        <w:rPr>
          <w:rFonts w:hint="eastAsia"/>
          <w:bCs/>
          <w:color w:val="000000" w:themeColor="text1"/>
          <w:sz w:val="24"/>
          <w14:textFill>
            <w14:solidFill>
              <w14:schemeClr w14:val="tx1"/>
            </w14:solidFill>
          </w14:textFill>
        </w:rPr>
        <w:t>个工作日内向中国证监会报告并提出解决方案，如持续运作、转换运作方式、与其他基金合并或者终止基金合同等，并在6个月内召集基金份额持有人大会。</w:t>
      </w:r>
    </w:p>
    <w:p>
      <w:pPr>
        <w:spacing w:line="360" w:lineRule="auto"/>
        <w:ind w:firstLine="480"/>
        <w:rPr>
          <w:rFonts w:ascii="仿宋_GB2312" w:hAnsi="仿宋_GB2312" w:eastAsia="仿宋_GB2312" w:cs="仿宋_GB2312"/>
          <w:color w:val="000000" w:themeColor="text1"/>
          <w:sz w:val="32"/>
          <w:szCs w:val="32"/>
          <w14:textFill>
            <w14:solidFill>
              <w14:schemeClr w14:val="tx1"/>
            </w14:solidFill>
          </w14:textFill>
        </w:rPr>
      </w:pPr>
      <w:r>
        <w:rPr>
          <w:bCs/>
          <w:color w:val="000000" w:themeColor="text1"/>
          <w:sz w:val="24"/>
          <w14:textFill>
            <w14:solidFill>
              <w14:schemeClr w14:val="tx1"/>
            </w14:solidFill>
          </w14:textFill>
        </w:rPr>
        <w:t>法律法规</w:t>
      </w:r>
      <w:r>
        <w:rPr>
          <w:rFonts w:hint="eastAsia"/>
          <w:bCs/>
          <w:color w:val="000000" w:themeColor="text1"/>
          <w:sz w:val="24"/>
          <w14:textFill>
            <w14:solidFill>
              <w14:schemeClr w14:val="tx1"/>
            </w14:solidFill>
          </w14:textFill>
        </w:rPr>
        <w:t>、中国证监会或《基金合同》</w:t>
      </w:r>
      <w:r>
        <w:rPr>
          <w:bCs/>
          <w:color w:val="000000" w:themeColor="text1"/>
          <w:sz w:val="24"/>
          <w14:textFill>
            <w14:solidFill>
              <w14:schemeClr w14:val="tx1"/>
            </w14:solidFill>
          </w14:textFill>
        </w:rPr>
        <w:t>另有规定时，从其规定。</w:t>
      </w:r>
    </w:p>
    <w:p>
      <w:pPr>
        <w:pStyle w:val="2"/>
        <w:spacing w:before="0" w:after="0"/>
        <w:jc w:val="center"/>
        <w:rPr>
          <w:rFonts w:ascii="Times New Roman"/>
          <w:color w:val="000000" w:themeColor="text1"/>
          <w:sz w:val="30"/>
          <w14:textFill>
            <w14:solidFill>
              <w14:schemeClr w14:val="tx1"/>
            </w14:solidFill>
          </w14:textFill>
        </w:rPr>
      </w:pPr>
      <w:r>
        <w:rPr>
          <w:rFonts w:ascii="Times New Roman"/>
          <w:b w:val="0"/>
          <w:bCs/>
          <w:color w:val="000000" w:themeColor="text1"/>
          <w:kern w:val="44"/>
          <w:sz w:val="21"/>
          <w14:textFill>
            <w14:solidFill>
              <w14:schemeClr w14:val="tx1"/>
            </w14:solidFill>
          </w14:textFill>
        </w:rPr>
        <w:br w:type="page"/>
      </w:r>
      <w:bookmarkStart w:id="107" w:name="_Toc141703886"/>
      <w:bookmarkStart w:id="108" w:name="_Toc23822"/>
      <w:bookmarkStart w:id="109" w:name="_Toc1427"/>
      <w:bookmarkStart w:id="110" w:name="_Toc123102453"/>
      <w:bookmarkStart w:id="111" w:name="_Toc17244"/>
      <w:bookmarkStart w:id="112" w:name="_Toc95997117"/>
      <w:bookmarkStart w:id="113" w:name="_Toc123051452"/>
      <w:bookmarkStart w:id="114" w:name="_Toc123112234"/>
      <w:bookmarkStart w:id="115" w:name="_Toc20733"/>
      <w:bookmarkStart w:id="116" w:name="_Toc23261"/>
      <w:bookmarkStart w:id="117" w:name="_Toc98560352"/>
      <w:bookmarkStart w:id="118" w:name="_Toc79392606"/>
      <w:bookmarkStart w:id="119" w:name="_Toc10463"/>
      <w:bookmarkStart w:id="120" w:name="_Toc1270"/>
      <w:bookmarkStart w:id="121" w:name="_Toc4003"/>
      <w:bookmarkStart w:id="122" w:name="_Toc48649707"/>
      <w:bookmarkStart w:id="123" w:name="_Toc610"/>
      <w:bookmarkStart w:id="124" w:name="_Toc139991736"/>
      <w:bookmarkStart w:id="125" w:name="_Toc7920"/>
      <w:r>
        <w:rPr>
          <w:rFonts w:ascii="Times New Roman"/>
          <w:color w:val="000000" w:themeColor="text1"/>
          <w:sz w:val="30"/>
          <w14:textFill>
            <w14:solidFill>
              <w14:schemeClr w14:val="tx1"/>
            </w14:solidFill>
          </w14:textFill>
        </w:rPr>
        <w:t>第六部分  基金份额的申购与赎回</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pPr>
        <w:spacing w:line="360" w:lineRule="auto"/>
        <w:ind w:firstLine="540"/>
        <w:rPr>
          <w:bCs/>
          <w:color w:val="000000" w:themeColor="text1"/>
          <w:sz w:val="24"/>
          <w14:textFill>
            <w14:solidFill>
              <w14:schemeClr w14:val="tx1"/>
            </w14:solidFill>
          </w14:textFill>
        </w:rPr>
      </w:pP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一、申购和赎回场所</w:t>
      </w:r>
    </w:p>
    <w:p>
      <w:pPr>
        <w:spacing w:line="360" w:lineRule="auto"/>
        <w:ind w:firstLine="480" w:firstLineChars="200"/>
        <w:rPr>
          <w:bCs/>
          <w:color w:val="000000" w:themeColor="text1"/>
          <w14:textFill>
            <w14:solidFill>
              <w14:schemeClr w14:val="tx1"/>
            </w14:solidFill>
          </w14:textFill>
        </w:rPr>
      </w:pPr>
      <w:r>
        <w:rPr>
          <w:bCs/>
          <w:color w:val="000000" w:themeColor="text1"/>
          <w:sz w:val="24"/>
          <w14:textFill>
            <w14:solidFill>
              <w14:schemeClr w14:val="tx1"/>
            </w14:solidFill>
          </w14:textFill>
        </w:rPr>
        <w:t>本基金的申购与赎回将通过销售机构进行。具体的销售网点将由基金管理人在招募说明书或</w:t>
      </w:r>
      <w:r>
        <w:rPr>
          <w:rFonts w:ascii="宋体" w:hAnsi="宋体"/>
          <w:bCs/>
          <w:color w:val="000000" w:themeColor="text1"/>
          <w:sz w:val="24"/>
          <w:szCs w:val="24"/>
          <w14:textFill>
            <w14:solidFill>
              <w14:schemeClr w14:val="tx1"/>
            </w14:solidFill>
          </w14:textFill>
        </w:rPr>
        <w:t>基金管理人网站</w:t>
      </w:r>
      <w:r>
        <w:rPr>
          <w:bCs/>
          <w:color w:val="000000" w:themeColor="text1"/>
          <w:sz w:val="24"/>
          <w14:textFill>
            <w14:solidFill>
              <w14:schemeClr w14:val="tx1"/>
            </w14:solidFill>
          </w14:textFill>
        </w:rPr>
        <w:t>中列明。基金管理人可根据情况变更或增减销售机构，并</w:t>
      </w:r>
      <w:r>
        <w:rPr>
          <w:rFonts w:hint="eastAsia"/>
          <w:bCs/>
          <w:color w:val="000000" w:themeColor="text1"/>
          <w:sz w:val="24"/>
          <w14:textFill>
            <w14:solidFill>
              <w14:schemeClr w14:val="tx1"/>
            </w14:solidFill>
          </w14:textFill>
        </w:rPr>
        <w:t>在基金管理人网站公示</w:t>
      </w:r>
      <w:r>
        <w:rPr>
          <w:bCs/>
          <w:color w:val="000000" w:themeColor="text1"/>
          <w:sz w:val="24"/>
          <w14:textFill>
            <w14:solidFill>
              <w14:schemeClr w14:val="tx1"/>
            </w14:solidFill>
          </w14:textFill>
        </w:rPr>
        <w:t>。基金投资者应当</w:t>
      </w:r>
      <w:r>
        <w:rPr>
          <w:rFonts w:hint="eastAsia"/>
          <w:bCs/>
          <w:color w:val="000000" w:themeColor="text1"/>
          <w:sz w:val="24"/>
          <w14:textFill>
            <w14:solidFill>
              <w14:schemeClr w14:val="tx1"/>
            </w14:solidFill>
          </w14:textFill>
        </w:rPr>
        <w:t>在</w:t>
      </w:r>
      <w:r>
        <w:rPr>
          <w:bCs/>
          <w:color w:val="000000" w:themeColor="text1"/>
          <w:sz w:val="24"/>
          <w14:textFill>
            <w14:solidFill>
              <w14:schemeClr w14:val="tx1"/>
            </w14:solidFill>
          </w14:textFill>
        </w:rPr>
        <w:t>销售机构办理基金销售业务的营业场所或按销售机构提供的其他方式办理基金份额的申购与赎回。</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二、申购和赎回的开放日及时间</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w:t>
      </w: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开放日及开放时间</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投资人在</w:t>
      </w:r>
      <w:r>
        <w:rPr>
          <w:rFonts w:hint="eastAsia"/>
          <w:bCs/>
          <w:color w:val="000000" w:themeColor="text1"/>
          <w:sz w:val="24"/>
          <w14:textFill>
            <w14:solidFill>
              <w14:schemeClr w14:val="tx1"/>
            </w14:solidFill>
          </w14:textFill>
        </w:rPr>
        <w:t>本基金开放期内的</w:t>
      </w:r>
      <w:r>
        <w:rPr>
          <w:bCs/>
          <w:color w:val="000000" w:themeColor="text1"/>
          <w:sz w:val="24"/>
          <w14:textFill>
            <w14:solidFill>
              <w14:schemeClr w14:val="tx1"/>
            </w14:solidFill>
          </w14:textFill>
        </w:rPr>
        <w:t>开放日办理基金份额的申购和赎回，具体办理时间为上海证券交易所、深圳证券交易所的正常交易日的交易时间，但基金管理人根据法律法规、中国证监会的要求或本基金合同的规定公告暂停申购、赎回时除外。</w:t>
      </w:r>
      <w:r>
        <w:rPr>
          <w:rFonts w:hint="eastAsia"/>
          <w:bCs/>
          <w:color w:val="000000" w:themeColor="text1"/>
          <w:sz w:val="24"/>
          <w14:textFill>
            <w14:solidFill>
              <w14:schemeClr w14:val="tx1"/>
            </w14:solidFill>
          </w14:textFill>
        </w:rPr>
        <w:t>在封闭期内，本基金不办理申购、赎回业务，也不上市交易。</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基金合同生效后，若出现新的证券交易市场、证券交易所交易时间变更或其他特殊情况，基金管理人将视情况对前述开放日及开放时间进行相应的调整，但应在实施日前依照《信息披露办法》的有关规定在</w:t>
      </w:r>
      <w:r>
        <w:rPr>
          <w:rFonts w:hint="eastAsia"/>
          <w:bCs/>
          <w:color w:val="000000" w:themeColor="text1"/>
          <w:sz w:val="24"/>
          <w14:textFill>
            <w14:solidFill>
              <w14:schemeClr w14:val="tx1"/>
            </w14:solidFill>
          </w14:textFill>
        </w:rPr>
        <w:t>规</w:t>
      </w:r>
      <w:r>
        <w:rPr>
          <w:bCs/>
          <w:color w:val="000000" w:themeColor="text1"/>
          <w:sz w:val="24"/>
          <w14:textFill>
            <w14:solidFill>
              <w14:schemeClr w14:val="tx1"/>
            </w14:solidFill>
          </w14:textFill>
        </w:rPr>
        <w:t>定</w:t>
      </w:r>
      <w:r>
        <w:rPr>
          <w:rFonts w:hint="eastAsia"/>
          <w:bCs/>
          <w:color w:val="000000" w:themeColor="text1"/>
          <w:sz w:val="24"/>
          <w14:textFill>
            <w14:solidFill>
              <w14:schemeClr w14:val="tx1"/>
            </w14:solidFill>
          </w14:textFill>
        </w:rPr>
        <w:t>媒介</w:t>
      </w:r>
      <w:r>
        <w:rPr>
          <w:bCs/>
          <w:color w:val="000000" w:themeColor="text1"/>
          <w:sz w:val="24"/>
          <w14:textFill>
            <w14:solidFill>
              <w14:schemeClr w14:val="tx1"/>
            </w14:solidFill>
          </w14:textFill>
        </w:rPr>
        <w:t>上公告。</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2</w:t>
      </w: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申购、赎回开始日及业务办理时间</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本基金自每个封闭期结束之日后第一个工作日（包含该日）起进入开放期，期间可以办理申购与赎回业务。本基金每个开放期时长不超过20个工作日，开放期的具体时间以基金管理人届时公告为准。</w:t>
      </w:r>
    </w:p>
    <w:p>
      <w:pPr>
        <w:spacing w:line="360" w:lineRule="auto"/>
        <w:ind w:firstLine="480" w:firstLineChars="200"/>
        <w:rPr>
          <w:bCs/>
          <w:color w:val="000000" w:themeColor="text1"/>
          <w14:textFill>
            <w14:solidFill>
              <w14:schemeClr w14:val="tx1"/>
            </w14:solidFill>
          </w14:textFill>
        </w:rPr>
      </w:pPr>
      <w:r>
        <w:rPr>
          <w:rFonts w:hint="eastAsia"/>
          <w:bCs/>
          <w:color w:val="000000" w:themeColor="text1"/>
          <w:sz w:val="24"/>
          <w14:textFill>
            <w14:solidFill>
              <w14:schemeClr w14:val="tx1"/>
            </w14:solidFill>
          </w14:textFill>
        </w:rPr>
        <w:t>如封闭期结束后或在开放期内发生不可抗力或其他情形致使基金无法按时开放或需依据《基金合同》暂停申购与赎回业务的，开放期时间中止计算，在不可抗力或其他情形影响因素消除之日次一工作日起，继续计算该开放期时间，直至满足开放期的要求。</w:t>
      </w:r>
      <w:r>
        <w:rPr>
          <w:bCs/>
          <w:color w:val="000000" w:themeColor="text1"/>
          <w:sz w:val="24"/>
          <w14:textFill>
            <w14:solidFill>
              <w14:schemeClr w14:val="tx1"/>
            </w14:solidFill>
          </w14:textFill>
        </w:rPr>
        <w:t>基金管理人不得在基金合同约定之外的日期或者时间办理基金份额的申购</w:t>
      </w: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赎回或者转换。</w:t>
      </w:r>
      <w:r>
        <w:rPr>
          <w:rFonts w:hint="eastAsia"/>
          <w:bCs/>
          <w:color w:val="000000" w:themeColor="text1"/>
          <w:sz w:val="24"/>
          <w14:textFill>
            <w14:solidFill>
              <w14:schemeClr w14:val="tx1"/>
            </w14:solidFill>
          </w14:textFill>
        </w:rPr>
        <w:t>在开放期内，</w:t>
      </w:r>
      <w:r>
        <w:rPr>
          <w:bCs/>
          <w:color w:val="000000" w:themeColor="text1"/>
          <w:sz w:val="24"/>
          <w14:textFill>
            <w14:solidFill>
              <w14:schemeClr w14:val="tx1"/>
            </w14:solidFill>
          </w14:textFill>
        </w:rPr>
        <w:t>投资人在基金合同约定之外的日期和时间提出申购、赎回或转换申请</w:t>
      </w:r>
      <w:r>
        <w:rPr>
          <w:rFonts w:hint="eastAsia"/>
          <w:bCs/>
          <w:color w:val="000000" w:themeColor="text1"/>
          <w:sz w:val="24"/>
          <w14:textFill>
            <w14:solidFill>
              <w14:schemeClr w14:val="tx1"/>
            </w14:solidFill>
          </w14:textFill>
        </w:rPr>
        <w:t>且登记机构确认接受</w:t>
      </w:r>
      <w:r>
        <w:rPr>
          <w:bCs/>
          <w:color w:val="000000" w:themeColor="text1"/>
          <w:sz w:val="24"/>
          <w14:textFill>
            <w14:solidFill>
              <w14:schemeClr w14:val="tx1"/>
            </w14:solidFill>
          </w14:textFill>
        </w:rPr>
        <w:t>的，其基金份额申购、赎回价格为下一开放日基金份额申购、赎回的价格。</w:t>
      </w:r>
      <w:r>
        <w:rPr>
          <w:rFonts w:hint="eastAsia"/>
          <w:bCs/>
          <w:color w:val="000000" w:themeColor="text1"/>
          <w:sz w:val="24"/>
          <w14:textFill>
            <w14:solidFill>
              <w14:schemeClr w14:val="tx1"/>
            </w14:solidFill>
          </w14:textFill>
        </w:rPr>
        <w:t>在开放期最后一个开放日，投资人在基金合同约定之外的时间提出申购、赎回或转换申请的，视为无效申请。</w:t>
      </w:r>
      <w:r>
        <w:rPr>
          <w:rFonts w:hint="eastAsia" w:ascii="宋体" w:hAnsi="宋体"/>
          <w:color w:val="000000" w:themeColor="text1"/>
          <w:kern w:val="0"/>
          <w:sz w:val="24"/>
          <w14:textFill>
            <w14:solidFill>
              <w14:schemeClr w14:val="tx1"/>
            </w14:solidFill>
          </w14:textFill>
        </w:rPr>
        <w:t>开放期以及开放期办理申购与赎回业务的具体事宜见招募说明书及基金管理人届时发布的相关公告</w:t>
      </w:r>
      <w:r>
        <w:rPr>
          <w:bCs/>
          <w:color w:val="000000" w:themeColor="text1"/>
          <w:sz w:val="24"/>
          <w14:textFill>
            <w14:solidFill>
              <w14:schemeClr w14:val="tx1"/>
            </w14:solidFill>
          </w14:textFill>
        </w:rPr>
        <w:t>。</w:t>
      </w:r>
    </w:p>
    <w:p>
      <w:pPr>
        <w:spacing w:line="360" w:lineRule="auto"/>
        <w:ind w:firstLine="480" w:firstLineChars="200"/>
        <w:rPr>
          <w:rFonts w:ascii="宋体" w:hAnsi="宋体"/>
          <w:bCs/>
          <w:color w:val="000000" w:themeColor="text1"/>
          <w:sz w:val="24"/>
          <w14:textFill>
            <w14:solidFill>
              <w14:schemeClr w14:val="tx1"/>
            </w14:solidFill>
          </w14:textFill>
        </w:rPr>
      </w:pPr>
      <w:r>
        <w:rPr>
          <w:rFonts w:ascii="宋体" w:hAnsi="宋体"/>
          <w:bCs/>
          <w:color w:val="000000" w:themeColor="text1"/>
          <w:sz w:val="24"/>
          <w14:textFill>
            <w14:solidFill>
              <w14:schemeClr w14:val="tx1"/>
            </w14:solidFill>
          </w14:textFill>
        </w:rPr>
        <w:t>三、申购与赎回的原则</w:t>
      </w:r>
    </w:p>
    <w:p>
      <w:pPr>
        <w:spacing w:line="360" w:lineRule="auto"/>
        <w:ind w:firstLine="480" w:firstLineChars="200"/>
        <w:rPr>
          <w:rFonts w:ascii="宋体" w:hAnsi="宋体"/>
          <w:bCs/>
          <w:color w:val="000000" w:themeColor="text1"/>
          <w:sz w:val="24"/>
          <w14:textFill>
            <w14:solidFill>
              <w14:schemeClr w14:val="tx1"/>
            </w14:solidFill>
          </w14:textFill>
        </w:rPr>
      </w:pPr>
      <w:r>
        <w:rPr>
          <w:rFonts w:ascii="宋体" w:hAnsi="宋体"/>
          <w:bCs/>
          <w:color w:val="000000" w:themeColor="text1"/>
          <w:sz w:val="24"/>
          <w14:textFill>
            <w14:solidFill>
              <w14:schemeClr w14:val="tx1"/>
            </w14:solidFill>
          </w14:textFill>
        </w:rPr>
        <w:t>1</w:t>
      </w:r>
      <w:r>
        <w:rPr>
          <w:rFonts w:hint="eastAsia" w:ascii="宋体" w:hAnsi="宋体"/>
          <w:bCs/>
          <w:color w:val="000000" w:themeColor="text1"/>
          <w:sz w:val="24"/>
          <w14:textFill>
            <w14:solidFill>
              <w14:schemeClr w14:val="tx1"/>
            </w14:solidFill>
          </w14:textFill>
        </w:rPr>
        <w:t>、</w:t>
      </w:r>
      <w:r>
        <w:rPr>
          <w:rFonts w:ascii="宋体" w:hAnsi="宋体"/>
          <w:bCs/>
          <w:color w:val="000000" w:themeColor="text1"/>
          <w:sz w:val="24"/>
          <w14:textFill>
            <w14:solidFill>
              <w14:schemeClr w14:val="tx1"/>
            </w14:solidFill>
          </w14:textFill>
        </w:rPr>
        <w:t>“未知价”原则，即申购、赎回价格以申请当日收市后计算的基金份额净值为基准进行计算；</w:t>
      </w:r>
    </w:p>
    <w:p>
      <w:pPr>
        <w:spacing w:line="360" w:lineRule="auto"/>
        <w:ind w:firstLine="480" w:firstLineChars="200"/>
        <w:rPr>
          <w:rFonts w:ascii="宋体" w:hAnsi="宋体"/>
          <w:bCs/>
          <w:color w:val="000000" w:themeColor="text1"/>
          <w:sz w:val="24"/>
          <w14:textFill>
            <w14:solidFill>
              <w14:schemeClr w14:val="tx1"/>
            </w14:solidFill>
          </w14:textFill>
        </w:rPr>
      </w:pPr>
      <w:r>
        <w:rPr>
          <w:rFonts w:ascii="宋体" w:hAnsi="宋体"/>
          <w:bCs/>
          <w:color w:val="000000" w:themeColor="text1"/>
          <w:sz w:val="24"/>
          <w14:textFill>
            <w14:solidFill>
              <w14:schemeClr w14:val="tx1"/>
            </w14:solidFill>
          </w14:textFill>
        </w:rPr>
        <w:t>2</w:t>
      </w:r>
      <w:r>
        <w:rPr>
          <w:rFonts w:hint="eastAsia" w:ascii="宋体" w:hAnsi="宋体"/>
          <w:bCs/>
          <w:color w:val="000000" w:themeColor="text1"/>
          <w:sz w:val="24"/>
          <w14:textFill>
            <w14:solidFill>
              <w14:schemeClr w14:val="tx1"/>
            </w14:solidFill>
          </w14:textFill>
        </w:rPr>
        <w:t>、</w:t>
      </w:r>
      <w:r>
        <w:rPr>
          <w:rFonts w:ascii="宋体" w:hAnsi="宋体"/>
          <w:bCs/>
          <w:color w:val="000000" w:themeColor="text1"/>
          <w:sz w:val="24"/>
          <w14:textFill>
            <w14:solidFill>
              <w14:schemeClr w14:val="tx1"/>
            </w14:solidFill>
          </w14:textFill>
        </w:rPr>
        <w:t>“金额申购、份额赎回”原则，即申购以金额申请，赎回以份额申请；</w:t>
      </w:r>
    </w:p>
    <w:p>
      <w:pPr>
        <w:spacing w:line="360" w:lineRule="auto"/>
        <w:ind w:firstLine="480" w:firstLineChars="200"/>
        <w:rPr>
          <w:rFonts w:ascii="宋体" w:hAnsi="宋体"/>
          <w:bCs/>
          <w:color w:val="000000" w:themeColor="text1"/>
          <w:sz w:val="24"/>
          <w14:textFill>
            <w14:solidFill>
              <w14:schemeClr w14:val="tx1"/>
            </w14:solidFill>
          </w14:textFill>
        </w:rPr>
      </w:pPr>
      <w:r>
        <w:rPr>
          <w:rFonts w:ascii="宋体" w:hAnsi="宋体"/>
          <w:bCs/>
          <w:color w:val="000000" w:themeColor="text1"/>
          <w:sz w:val="24"/>
          <w14:textFill>
            <w14:solidFill>
              <w14:schemeClr w14:val="tx1"/>
            </w14:solidFill>
          </w14:textFill>
        </w:rPr>
        <w:t>3</w:t>
      </w:r>
      <w:r>
        <w:rPr>
          <w:rFonts w:hint="eastAsia" w:ascii="宋体" w:hAnsi="宋体"/>
          <w:bCs/>
          <w:color w:val="000000" w:themeColor="text1"/>
          <w:sz w:val="24"/>
          <w14:textFill>
            <w14:solidFill>
              <w14:schemeClr w14:val="tx1"/>
            </w14:solidFill>
          </w14:textFill>
        </w:rPr>
        <w:t>、</w:t>
      </w:r>
      <w:r>
        <w:rPr>
          <w:rFonts w:ascii="宋体" w:hAnsi="宋体"/>
          <w:bCs/>
          <w:color w:val="000000" w:themeColor="text1"/>
          <w:sz w:val="24"/>
          <w14:textFill>
            <w14:solidFill>
              <w14:schemeClr w14:val="tx1"/>
            </w14:solidFill>
          </w14:textFill>
        </w:rPr>
        <w:t>当日的申购与赎回申请可以在基金管理人规定的时间以内撤销；</w:t>
      </w:r>
    </w:p>
    <w:p>
      <w:pPr>
        <w:spacing w:line="360" w:lineRule="auto"/>
        <w:ind w:firstLine="480" w:firstLineChars="200"/>
        <w:rPr>
          <w:rFonts w:ascii="宋体" w:hAnsi="宋体"/>
          <w:bCs/>
          <w:color w:val="000000" w:themeColor="text1"/>
          <w:sz w:val="24"/>
          <w14:textFill>
            <w14:solidFill>
              <w14:schemeClr w14:val="tx1"/>
            </w14:solidFill>
          </w14:textFill>
        </w:rPr>
      </w:pPr>
      <w:r>
        <w:rPr>
          <w:rFonts w:ascii="宋体" w:hAnsi="宋体"/>
          <w:bCs/>
          <w:color w:val="000000" w:themeColor="text1"/>
          <w:sz w:val="24"/>
          <w14:textFill>
            <w14:solidFill>
              <w14:schemeClr w14:val="tx1"/>
            </w14:solidFill>
          </w14:textFill>
        </w:rPr>
        <w:t>4</w:t>
      </w:r>
      <w:r>
        <w:rPr>
          <w:rFonts w:hint="eastAsia" w:ascii="宋体" w:hAnsi="宋体"/>
          <w:bCs/>
          <w:color w:val="000000" w:themeColor="text1"/>
          <w:sz w:val="24"/>
          <w14:textFill>
            <w14:solidFill>
              <w14:schemeClr w14:val="tx1"/>
            </w14:solidFill>
          </w14:textFill>
        </w:rPr>
        <w:t>、</w:t>
      </w:r>
      <w:r>
        <w:rPr>
          <w:rFonts w:ascii="宋体" w:hAnsi="宋体"/>
          <w:bCs/>
          <w:color w:val="000000" w:themeColor="text1"/>
          <w:sz w:val="24"/>
          <w14:textFill>
            <w14:solidFill>
              <w14:schemeClr w14:val="tx1"/>
            </w14:solidFill>
          </w14:textFill>
        </w:rPr>
        <w:t>赎回遵循“先进先出”原则，即按照投资人认购、申购的先后次序进行顺序赎回；</w:t>
      </w:r>
    </w:p>
    <w:p>
      <w:pPr>
        <w:spacing w:line="360" w:lineRule="auto"/>
        <w:ind w:firstLine="480" w:firstLineChars="200"/>
        <w:rPr>
          <w:rFonts w:ascii="宋体" w:hAnsi="宋体"/>
          <w:bCs/>
          <w:color w:val="000000" w:themeColor="text1"/>
          <w:sz w:val="24"/>
          <w14:textFill>
            <w14:solidFill>
              <w14:schemeClr w14:val="tx1"/>
            </w14:solidFill>
          </w14:textFill>
        </w:rPr>
      </w:pPr>
      <w:r>
        <w:rPr>
          <w:rFonts w:ascii="宋体" w:hAnsi="宋体"/>
          <w:bCs/>
          <w:color w:val="000000" w:themeColor="text1"/>
          <w:sz w:val="24"/>
          <w14:textFill>
            <w14:solidFill>
              <w14:schemeClr w14:val="tx1"/>
            </w14:solidFill>
          </w14:textFill>
        </w:rPr>
        <w:t>5、办理申购、赎回业务时，应当遵循基金份额持有人利益优先原则</w:t>
      </w:r>
      <w:r>
        <w:rPr>
          <w:rFonts w:hint="eastAsia" w:ascii="宋体" w:hAnsi="宋体"/>
          <w:bCs/>
          <w:color w:val="000000" w:themeColor="text1"/>
          <w:sz w:val="24"/>
          <w14:textFill>
            <w14:solidFill>
              <w14:schemeClr w14:val="tx1"/>
            </w14:solidFill>
          </w14:textFill>
        </w:rPr>
        <w:t>，确保投资者的合法权益不受损害并得到公平对待</w:t>
      </w:r>
      <w:r>
        <w:rPr>
          <w:rFonts w:ascii="宋体" w:hAnsi="宋体"/>
          <w:bCs/>
          <w:color w:val="000000" w:themeColor="text1"/>
          <w:sz w:val="24"/>
          <w14:textFill>
            <w14:solidFill>
              <w14:schemeClr w14:val="tx1"/>
            </w14:solidFill>
          </w14:textFill>
        </w:rPr>
        <w:t>。</w:t>
      </w:r>
    </w:p>
    <w:p>
      <w:pPr>
        <w:spacing w:line="360" w:lineRule="auto"/>
        <w:ind w:firstLine="480" w:firstLineChars="200"/>
        <w:rPr>
          <w:rFonts w:ascii="宋体" w:hAnsi="宋体"/>
          <w:bCs/>
          <w:color w:val="000000" w:themeColor="text1"/>
          <w14:textFill>
            <w14:solidFill>
              <w14:schemeClr w14:val="tx1"/>
            </w14:solidFill>
          </w14:textFill>
        </w:rPr>
      </w:pPr>
      <w:r>
        <w:rPr>
          <w:rFonts w:ascii="宋体" w:hAnsi="宋体"/>
          <w:bCs/>
          <w:color w:val="000000" w:themeColor="text1"/>
          <w:sz w:val="24"/>
          <w14:textFill>
            <w14:solidFill>
              <w14:schemeClr w14:val="tx1"/>
            </w14:solidFill>
          </w14:textFill>
        </w:rPr>
        <w:t>基金管理人可在法律法规允许的情况下，对上述原则进行调整。基金管理人必须在新规则开始实施前依照《信息披露办法》的有关规定在</w:t>
      </w:r>
      <w:r>
        <w:rPr>
          <w:rFonts w:hint="eastAsia" w:ascii="宋体" w:hAnsi="宋体"/>
          <w:bCs/>
          <w:color w:val="000000" w:themeColor="text1"/>
          <w:sz w:val="24"/>
          <w14:textFill>
            <w14:solidFill>
              <w14:schemeClr w14:val="tx1"/>
            </w14:solidFill>
          </w14:textFill>
        </w:rPr>
        <w:t>规</w:t>
      </w:r>
      <w:r>
        <w:rPr>
          <w:rFonts w:ascii="宋体" w:hAnsi="宋体"/>
          <w:bCs/>
          <w:color w:val="000000" w:themeColor="text1"/>
          <w:sz w:val="24"/>
          <w14:textFill>
            <w14:solidFill>
              <w14:schemeClr w14:val="tx1"/>
            </w14:solidFill>
          </w14:textFill>
        </w:rPr>
        <w:t>定</w:t>
      </w:r>
      <w:r>
        <w:rPr>
          <w:rFonts w:hint="eastAsia" w:ascii="宋体" w:hAnsi="宋体"/>
          <w:bCs/>
          <w:color w:val="000000" w:themeColor="text1"/>
          <w:sz w:val="24"/>
          <w14:textFill>
            <w14:solidFill>
              <w14:schemeClr w14:val="tx1"/>
            </w14:solidFill>
          </w14:textFill>
        </w:rPr>
        <w:t>媒介</w:t>
      </w:r>
      <w:r>
        <w:rPr>
          <w:rFonts w:ascii="宋体" w:hAnsi="宋体"/>
          <w:bCs/>
          <w:color w:val="000000" w:themeColor="text1"/>
          <w:sz w:val="24"/>
          <w14:textFill>
            <w14:solidFill>
              <w14:schemeClr w14:val="tx1"/>
            </w14:solidFill>
          </w14:textFill>
        </w:rPr>
        <w:t>上公告。</w:t>
      </w:r>
    </w:p>
    <w:p>
      <w:pPr>
        <w:spacing w:line="360" w:lineRule="auto"/>
        <w:ind w:firstLine="480" w:firstLineChars="200"/>
        <w:rPr>
          <w:rFonts w:ascii="宋体" w:hAnsi="宋体"/>
          <w:bCs/>
          <w:color w:val="000000" w:themeColor="text1"/>
          <w:sz w:val="24"/>
          <w14:textFill>
            <w14:solidFill>
              <w14:schemeClr w14:val="tx1"/>
            </w14:solidFill>
          </w14:textFill>
        </w:rPr>
      </w:pPr>
      <w:r>
        <w:rPr>
          <w:rFonts w:ascii="宋体" w:hAnsi="宋体"/>
          <w:bCs/>
          <w:color w:val="000000" w:themeColor="text1"/>
          <w:sz w:val="24"/>
          <w14:textFill>
            <w14:solidFill>
              <w14:schemeClr w14:val="tx1"/>
            </w14:solidFill>
          </w14:textFill>
        </w:rPr>
        <w:t>四、申购与赎回的程序</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w:t>
      </w: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申购和赎回的申请方式</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投资人必须根据销售机构规定的程序，在开放日的具体业务办理时间内提出申购或赎回的申请。</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2</w:t>
      </w: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申购和赎回的款项支付</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lang w:val="zh-CN"/>
          <w14:textFill>
            <w14:solidFill>
              <w14:schemeClr w14:val="tx1"/>
            </w14:solidFill>
          </w14:textFill>
        </w:rPr>
        <w:t>投资人申购基金份额时，必须全额交付申购款项，投资人交付</w:t>
      </w:r>
      <w:r>
        <w:rPr>
          <w:rFonts w:hint="eastAsia"/>
          <w:bCs/>
          <w:color w:val="000000" w:themeColor="text1"/>
          <w:sz w:val="24"/>
          <w:lang w:val="zh-CN"/>
          <w14:textFill>
            <w14:solidFill>
              <w14:schemeClr w14:val="tx1"/>
            </w14:solidFill>
          </w14:textFill>
        </w:rPr>
        <w:t>申购</w:t>
      </w:r>
      <w:r>
        <w:rPr>
          <w:bCs/>
          <w:color w:val="000000" w:themeColor="text1"/>
          <w:sz w:val="24"/>
          <w:lang w:val="zh-CN"/>
          <w14:textFill>
            <w14:solidFill>
              <w14:schemeClr w14:val="tx1"/>
            </w14:solidFill>
          </w14:textFill>
        </w:rPr>
        <w:t>款项，申购成立；</w:t>
      </w:r>
      <w:r>
        <w:rPr>
          <w:rFonts w:hint="eastAsia"/>
          <w:bCs/>
          <w:color w:val="000000" w:themeColor="text1"/>
          <w:sz w:val="24"/>
          <w:lang w:val="zh-CN"/>
          <w14:textFill>
            <w14:solidFill>
              <w14:schemeClr w14:val="tx1"/>
            </w14:solidFill>
          </w14:textFill>
        </w:rPr>
        <w:t>基金份额</w:t>
      </w:r>
      <w:r>
        <w:rPr>
          <w:bCs/>
          <w:color w:val="000000" w:themeColor="text1"/>
          <w:sz w:val="24"/>
          <w:lang w:val="zh-CN"/>
          <w14:textFill>
            <w14:solidFill>
              <w14:schemeClr w14:val="tx1"/>
            </w14:solidFill>
          </w14:textFill>
        </w:rPr>
        <w:t>登记机构确认基金份额时，申购生效。</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基金份额持有人递交赎回申请，赎回成立；</w:t>
      </w:r>
      <w:r>
        <w:rPr>
          <w:rFonts w:hint="eastAsia"/>
          <w:bCs/>
          <w:color w:val="000000" w:themeColor="text1"/>
          <w:sz w:val="24"/>
          <w14:textFill>
            <w14:solidFill>
              <w14:schemeClr w14:val="tx1"/>
            </w14:solidFill>
          </w14:textFill>
        </w:rPr>
        <w:t>基金份额</w:t>
      </w:r>
      <w:r>
        <w:rPr>
          <w:bCs/>
          <w:color w:val="000000" w:themeColor="text1"/>
          <w:sz w:val="24"/>
          <w14:textFill>
            <w14:solidFill>
              <w14:schemeClr w14:val="tx1"/>
            </w14:solidFill>
          </w14:textFill>
        </w:rPr>
        <w:t>登记机构确认赎回时，赎回生效。投资者赎回申请生效后</w:t>
      </w: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基金管理人将在T＋7日（包括该日）内支付赎回款项。在发生巨额赎回时，款项的支付办法参照本基金合同有关条款处理。</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遇交易所或交易市场数据传输延迟、通讯系统故障、银行数据交换系统故障或其它非基金管理人及基金托管人所能控制的因素影响业务处理流程，则赎回款顺延至上述情形消除后的下一个工作日划往投资人银行账户。</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3</w:t>
      </w: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申购和赎回申请的确认</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基金管理人应以交易时间结束前受理</w:t>
      </w:r>
      <w:r>
        <w:rPr>
          <w:rFonts w:hint="eastAsia"/>
          <w:bCs/>
          <w:color w:val="000000" w:themeColor="text1"/>
          <w:sz w:val="24"/>
          <w14:textFill>
            <w14:solidFill>
              <w14:schemeClr w14:val="tx1"/>
            </w14:solidFill>
          </w14:textFill>
        </w:rPr>
        <w:t>有效</w:t>
      </w:r>
      <w:r>
        <w:rPr>
          <w:bCs/>
          <w:color w:val="000000" w:themeColor="text1"/>
          <w:sz w:val="24"/>
          <w14:textFill>
            <w14:solidFill>
              <w14:schemeClr w14:val="tx1"/>
            </w14:solidFill>
          </w14:textFill>
        </w:rPr>
        <w:t>申购和赎回申请的当天作为申购或赎回申请日（T日），在正常情况下，本基金登记机构在T+1日内对该交易的有效性进行确认。T日提交的有效申请，投资人</w:t>
      </w:r>
      <w:r>
        <w:rPr>
          <w:rFonts w:hint="eastAsia"/>
          <w:bCs/>
          <w:color w:val="000000" w:themeColor="text1"/>
          <w:sz w:val="24"/>
          <w14:textFill>
            <w14:solidFill>
              <w14:schemeClr w14:val="tx1"/>
            </w14:solidFill>
          </w14:textFill>
        </w:rPr>
        <w:t>应</w:t>
      </w:r>
      <w:r>
        <w:rPr>
          <w:bCs/>
          <w:color w:val="000000" w:themeColor="text1"/>
          <w:sz w:val="24"/>
          <w14:textFill>
            <w14:solidFill>
              <w14:schemeClr w14:val="tx1"/>
            </w14:solidFill>
          </w14:textFill>
        </w:rPr>
        <w:t>在T+2日后（包括该日）及时到销售网点柜台或以销售机构规定的其他方式查询申请的确认情况。若申购不成</w:t>
      </w:r>
      <w:r>
        <w:rPr>
          <w:rFonts w:hint="eastAsia"/>
          <w:bCs/>
          <w:color w:val="000000" w:themeColor="text1"/>
          <w:sz w:val="24"/>
          <w14:textFill>
            <w14:solidFill>
              <w14:schemeClr w14:val="tx1"/>
            </w14:solidFill>
          </w14:textFill>
        </w:rPr>
        <w:t>立</w:t>
      </w:r>
      <w:r>
        <w:rPr>
          <w:bCs/>
          <w:color w:val="000000" w:themeColor="text1"/>
          <w:sz w:val="24"/>
          <w14:textFill>
            <w14:solidFill>
              <w14:schemeClr w14:val="tx1"/>
            </w14:solidFill>
          </w14:textFill>
        </w:rPr>
        <w:t>或无效，则申购款项本金退还给投资人。</w:t>
      </w:r>
      <w:r>
        <w:rPr>
          <w:rFonts w:hint="eastAsia"/>
          <w:bCs/>
          <w:color w:val="000000" w:themeColor="text1"/>
          <w:sz w:val="24"/>
          <w14:textFill>
            <w14:solidFill>
              <w14:schemeClr w14:val="tx1"/>
            </w14:solidFill>
          </w14:textFill>
        </w:rPr>
        <w:t>销售机构对申购、赎回申请的受理并不代表该申请一定成功，而仅代表销售机构确实接收到申购、赎回申请。申购、赎回申请的确认以基金登记机构的确认结果为准。对于申购、赎回申请的确认情况，投资人应及时查询并妥善行使合法权利。</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基金管理人可以在法律法规和基金合同允许的范围内，对上述业务进行调整，并在调整实施前依照《信息披露办法》的有关规定在规定媒介上公告。</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五、申购和赎回的数量限制</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w:t>
      </w: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基金管理人可以规定投资人首次申购和每次申购的最低金额以及每次赎回的最低份额，具体规定请参见招募说明书</w:t>
      </w:r>
      <w:r>
        <w:rPr>
          <w:rFonts w:hint="eastAsia"/>
          <w:bCs/>
          <w:color w:val="000000" w:themeColor="text1"/>
          <w:sz w:val="24"/>
          <w14:textFill>
            <w14:solidFill>
              <w14:schemeClr w14:val="tx1"/>
            </w14:solidFill>
          </w14:textFill>
        </w:rPr>
        <w:t>或相关公告</w:t>
      </w:r>
      <w:r>
        <w:rPr>
          <w:bCs/>
          <w:color w:val="000000" w:themeColor="text1"/>
          <w:sz w:val="24"/>
          <w14:textFill>
            <w14:solidFill>
              <w14:schemeClr w14:val="tx1"/>
            </w14:solidFill>
          </w14:textFill>
        </w:rPr>
        <w:t>。</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2</w:t>
      </w: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基金管理人可以规定投资人每个基金交易账户的最低基金份额余额，具体规定请参见招募说明书</w:t>
      </w:r>
      <w:r>
        <w:rPr>
          <w:rFonts w:hint="eastAsia"/>
          <w:bCs/>
          <w:color w:val="000000" w:themeColor="text1"/>
          <w:sz w:val="24"/>
          <w14:textFill>
            <w14:solidFill>
              <w14:schemeClr w14:val="tx1"/>
            </w14:solidFill>
          </w14:textFill>
        </w:rPr>
        <w:t>或相关公告</w:t>
      </w:r>
      <w:r>
        <w:rPr>
          <w:bCs/>
          <w:color w:val="000000" w:themeColor="text1"/>
          <w:sz w:val="24"/>
          <w14:textFill>
            <w14:solidFill>
              <w14:schemeClr w14:val="tx1"/>
            </w14:solidFill>
          </w14:textFill>
        </w:rPr>
        <w:t>。</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3</w:t>
      </w: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基金管理人可以规定单个投资人累计持有的基金份额上限，具体规定请参见招募说明书</w:t>
      </w:r>
      <w:r>
        <w:rPr>
          <w:rFonts w:hint="eastAsia"/>
          <w:bCs/>
          <w:color w:val="000000" w:themeColor="text1"/>
          <w:sz w:val="24"/>
          <w14:textFill>
            <w14:solidFill>
              <w14:schemeClr w14:val="tx1"/>
            </w14:solidFill>
          </w14:textFill>
        </w:rPr>
        <w:t>或相关公告</w:t>
      </w:r>
      <w:r>
        <w:rPr>
          <w:bCs/>
          <w:color w:val="000000" w:themeColor="text1"/>
          <w:sz w:val="24"/>
          <w14:textFill>
            <w14:solidFill>
              <w14:schemeClr w14:val="tx1"/>
            </w14:solidFill>
          </w14:textFill>
        </w:rPr>
        <w:t>。</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4、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见基金管理人相关公告。</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5、</w:t>
      </w:r>
      <w:r>
        <w:rPr>
          <w:bCs/>
          <w:color w:val="000000" w:themeColor="text1"/>
          <w:sz w:val="24"/>
          <w14:textFill>
            <w14:solidFill>
              <w14:schemeClr w14:val="tx1"/>
            </w14:solidFill>
          </w14:textFill>
        </w:rPr>
        <w:t>基金管理人可在法律法规允许的情况下，调整上述规定申购金额和赎回份额</w:t>
      </w:r>
      <w:r>
        <w:rPr>
          <w:rFonts w:hint="eastAsia"/>
          <w:bCs/>
          <w:color w:val="000000" w:themeColor="text1"/>
          <w:sz w:val="24"/>
          <w14:textFill>
            <w14:solidFill>
              <w14:schemeClr w14:val="tx1"/>
            </w14:solidFill>
          </w14:textFill>
        </w:rPr>
        <w:t>等</w:t>
      </w:r>
      <w:r>
        <w:rPr>
          <w:bCs/>
          <w:color w:val="000000" w:themeColor="text1"/>
          <w:sz w:val="24"/>
          <w14:textFill>
            <w14:solidFill>
              <w14:schemeClr w14:val="tx1"/>
            </w14:solidFill>
          </w14:textFill>
        </w:rPr>
        <w:t>数量限制。基金管理人必须在调整实施前依照《信息披露办法》的有关规定在</w:t>
      </w:r>
      <w:r>
        <w:rPr>
          <w:rFonts w:hint="eastAsia"/>
          <w:bCs/>
          <w:color w:val="000000" w:themeColor="text1"/>
          <w:sz w:val="24"/>
          <w14:textFill>
            <w14:solidFill>
              <w14:schemeClr w14:val="tx1"/>
            </w14:solidFill>
          </w14:textFill>
        </w:rPr>
        <w:t>规</w:t>
      </w:r>
      <w:r>
        <w:rPr>
          <w:bCs/>
          <w:color w:val="000000" w:themeColor="text1"/>
          <w:sz w:val="24"/>
          <w14:textFill>
            <w14:solidFill>
              <w14:schemeClr w14:val="tx1"/>
            </w14:solidFill>
          </w14:textFill>
        </w:rPr>
        <w:t>定</w:t>
      </w:r>
      <w:r>
        <w:rPr>
          <w:rFonts w:hint="eastAsia"/>
          <w:bCs/>
          <w:color w:val="000000" w:themeColor="text1"/>
          <w:sz w:val="24"/>
          <w14:textFill>
            <w14:solidFill>
              <w14:schemeClr w14:val="tx1"/>
            </w14:solidFill>
          </w14:textFill>
        </w:rPr>
        <w:t>媒介</w:t>
      </w:r>
      <w:r>
        <w:rPr>
          <w:bCs/>
          <w:color w:val="000000" w:themeColor="text1"/>
          <w:sz w:val="24"/>
          <w14:textFill>
            <w14:solidFill>
              <w14:schemeClr w14:val="tx1"/>
            </w14:solidFill>
          </w14:textFill>
        </w:rPr>
        <w:t>上公告。</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六、申购和赎回的价格、费用及其用途</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w:t>
      </w: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本基金份额净值的计算，保留到小数点后</w:t>
      </w:r>
      <w:r>
        <w:rPr>
          <w:rFonts w:hint="eastAsia"/>
          <w:bCs/>
          <w:color w:val="000000" w:themeColor="text1"/>
          <w:sz w:val="24"/>
          <w14:textFill>
            <w14:solidFill>
              <w14:schemeClr w14:val="tx1"/>
            </w14:solidFill>
          </w14:textFill>
        </w:rPr>
        <w:t>4</w:t>
      </w:r>
      <w:r>
        <w:rPr>
          <w:bCs/>
          <w:color w:val="000000" w:themeColor="text1"/>
          <w:sz w:val="24"/>
          <w14:textFill>
            <w14:solidFill>
              <w14:schemeClr w14:val="tx1"/>
            </w14:solidFill>
          </w14:textFill>
        </w:rPr>
        <w:t>位，小数点后第</w:t>
      </w:r>
      <w:r>
        <w:rPr>
          <w:rFonts w:hint="eastAsia"/>
          <w:bCs/>
          <w:color w:val="000000" w:themeColor="text1"/>
          <w:sz w:val="24"/>
          <w14:textFill>
            <w14:solidFill>
              <w14:schemeClr w14:val="tx1"/>
            </w14:solidFill>
          </w14:textFill>
        </w:rPr>
        <w:t>5</w:t>
      </w:r>
      <w:r>
        <w:rPr>
          <w:bCs/>
          <w:color w:val="000000" w:themeColor="text1"/>
          <w:sz w:val="24"/>
          <w14:textFill>
            <w14:solidFill>
              <w14:schemeClr w14:val="tx1"/>
            </w14:solidFill>
          </w14:textFill>
        </w:rPr>
        <w:t>位四舍五入，由此产生的收益或损失由基金财产承担。T日的基金份额净值在当天收市后计算，</w:t>
      </w:r>
      <w:r>
        <w:rPr>
          <w:rFonts w:hint="eastAsia"/>
          <w:bCs/>
          <w:color w:val="000000" w:themeColor="text1"/>
          <w:sz w:val="24"/>
          <w14:textFill>
            <w14:solidFill>
              <w14:schemeClr w14:val="tx1"/>
            </w14:solidFill>
          </w14:textFill>
        </w:rPr>
        <w:t>根据基金合同的约定进行</w:t>
      </w:r>
      <w:r>
        <w:rPr>
          <w:bCs/>
          <w:color w:val="000000" w:themeColor="text1"/>
          <w:sz w:val="24"/>
          <w14:textFill>
            <w14:solidFill>
              <w14:schemeClr w14:val="tx1"/>
            </w14:solidFill>
          </w14:textFill>
        </w:rPr>
        <w:t>公告。遇特殊情况，</w:t>
      </w:r>
      <w:r>
        <w:rPr>
          <w:rFonts w:hint="eastAsia"/>
          <w:bCs/>
          <w:color w:val="000000" w:themeColor="text1"/>
          <w:sz w:val="24"/>
          <w14:textFill>
            <w14:solidFill>
              <w14:schemeClr w14:val="tx1"/>
            </w14:solidFill>
          </w14:textFill>
        </w:rPr>
        <w:t>经履行适当程序</w:t>
      </w:r>
      <w:r>
        <w:rPr>
          <w:bCs/>
          <w:color w:val="000000" w:themeColor="text1"/>
          <w:sz w:val="24"/>
          <w14:textFill>
            <w14:solidFill>
              <w14:schemeClr w14:val="tx1"/>
            </w14:solidFill>
          </w14:textFill>
        </w:rPr>
        <w:t>，可以适当延迟计算或公告。</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2</w:t>
      </w: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申购份额的计算及余额的处理方式：本基金申购份额的计算详见《招募说明书》。本基金的申购费率由基金管理人决定，并在招募说明书</w:t>
      </w:r>
      <w:r>
        <w:rPr>
          <w:rFonts w:hint="eastAsia"/>
          <w:bCs/>
          <w:color w:val="000000" w:themeColor="text1"/>
          <w:sz w:val="24"/>
          <w14:textFill>
            <w14:solidFill>
              <w14:schemeClr w14:val="tx1"/>
            </w14:solidFill>
          </w14:textFill>
        </w:rPr>
        <w:t>及基金产品资料概要</w:t>
      </w:r>
      <w:r>
        <w:rPr>
          <w:bCs/>
          <w:color w:val="000000" w:themeColor="text1"/>
          <w:sz w:val="24"/>
          <w14:textFill>
            <w14:solidFill>
              <w14:schemeClr w14:val="tx1"/>
            </w14:solidFill>
          </w14:textFill>
        </w:rPr>
        <w:t>中列示。申购的有效份额为净申购金额除以当日的基金份额净值，有效份额单位为份，上述计算结果均按四舍五入方法，保留到小数点后</w:t>
      </w:r>
      <w:r>
        <w:rPr>
          <w:rFonts w:hint="eastAsia"/>
          <w:bCs/>
          <w:color w:val="000000" w:themeColor="text1"/>
          <w:sz w:val="24"/>
          <w14:textFill>
            <w14:solidFill>
              <w14:schemeClr w14:val="tx1"/>
            </w14:solidFill>
          </w14:textFill>
        </w:rPr>
        <w:t>2</w:t>
      </w:r>
      <w:r>
        <w:rPr>
          <w:bCs/>
          <w:color w:val="000000" w:themeColor="text1"/>
          <w:sz w:val="24"/>
          <w14:textFill>
            <w14:solidFill>
              <w14:schemeClr w14:val="tx1"/>
            </w14:solidFill>
          </w14:textFill>
        </w:rPr>
        <w:t>位，由此产生的收益或损失由基金财产承担。</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3</w:t>
      </w: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赎回金额的计算及处理方式：本基金赎回金额的计算详见《招募说明书》。本基金的赎回费率由基金管理人决定，并在招募说明书及基金产品资料概要中列示。赎回金额为按实际确认的有效赎回份额乘以当日基金份额净值并扣除相应的费用，赎回金额单位为元。上述计算结果均按四舍五入方法，保留到小数点后</w:t>
      </w:r>
      <w:r>
        <w:rPr>
          <w:rFonts w:hint="eastAsia"/>
          <w:bCs/>
          <w:color w:val="000000" w:themeColor="text1"/>
          <w:sz w:val="24"/>
          <w14:textFill>
            <w14:solidFill>
              <w14:schemeClr w14:val="tx1"/>
            </w14:solidFill>
          </w14:textFill>
        </w:rPr>
        <w:t>2</w:t>
      </w:r>
      <w:r>
        <w:rPr>
          <w:bCs/>
          <w:color w:val="000000" w:themeColor="text1"/>
          <w:sz w:val="24"/>
          <w14:textFill>
            <w14:solidFill>
              <w14:schemeClr w14:val="tx1"/>
            </w14:solidFill>
          </w14:textFill>
        </w:rPr>
        <w:t>位，由此产生的收益或损失由基金财产承担。</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4</w:t>
      </w: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申购费用由投资人承担，不列入基金财产。</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5</w:t>
      </w: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赎回费用由赎回基金份额的基金份额持有人承担，在基金份额持有人赎回基金份额时收取。赎回费用归入基金财产的比例</w:t>
      </w:r>
      <w:r>
        <w:rPr>
          <w:rFonts w:hint="eastAsia"/>
          <w:bCs/>
          <w:color w:val="000000" w:themeColor="text1"/>
          <w:sz w:val="24"/>
          <w14:textFill>
            <w14:solidFill>
              <w14:schemeClr w14:val="tx1"/>
            </w14:solidFill>
          </w14:textFill>
        </w:rPr>
        <w:t>依照相关法律法规设定，具体</w:t>
      </w:r>
      <w:r>
        <w:rPr>
          <w:bCs/>
          <w:color w:val="000000" w:themeColor="text1"/>
          <w:sz w:val="24"/>
          <w14:textFill>
            <w14:solidFill>
              <w14:schemeClr w14:val="tx1"/>
            </w14:solidFill>
          </w14:textFill>
        </w:rPr>
        <w:t>见招募说明书</w:t>
      </w:r>
      <w:r>
        <w:rPr>
          <w:rFonts w:hint="eastAsia"/>
          <w:bCs/>
          <w:color w:val="000000" w:themeColor="text1"/>
          <w:sz w:val="24"/>
          <w14:textFill>
            <w14:solidFill>
              <w14:schemeClr w14:val="tx1"/>
            </w14:solidFill>
          </w14:textFill>
        </w:rPr>
        <w:t>的规定</w:t>
      </w:r>
      <w:r>
        <w:rPr>
          <w:bCs/>
          <w:color w:val="000000" w:themeColor="text1"/>
          <w:sz w:val="24"/>
          <w14:textFill>
            <w14:solidFill>
              <w14:schemeClr w14:val="tx1"/>
            </w14:solidFill>
          </w14:textFill>
        </w:rPr>
        <w:t>，未归入基金财产的部分用于支付登记费和其他必要的手续费。其中</w:t>
      </w: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对持续持有期少于7日的投资者收取不低于1.5%的赎回费</w:t>
      </w: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并全额计入基金财产</w:t>
      </w:r>
      <w:r>
        <w:rPr>
          <w:rFonts w:hint="eastAsia"/>
          <w:bCs/>
          <w:color w:val="000000" w:themeColor="text1"/>
          <w:sz w:val="24"/>
          <w14:textFill>
            <w14:solidFill>
              <w14:schemeClr w14:val="tx1"/>
            </w14:solidFill>
          </w14:textFill>
        </w:rPr>
        <w:t>。</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6</w:t>
      </w: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w:t>
      </w:r>
      <w:r>
        <w:rPr>
          <w:rFonts w:hint="eastAsia"/>
          <w:bCs/>
          <w:color w:val="000000" w:themeColor="text1"/>
          <w:sz w:val="24"/>
          <w14:textFill>
            <w14:solidFill>
              <w14:schemeClr w14:val="tx1"/>
            </w14:solidFill>
          </w14:textFill>
        </w:rPr>
        <w:t>规</w:t>
      </w:r>
      <w:r>
        <w:rPr>
          <w:bCs/>
          <w:color w:val="000000" w:themeColor="text1"/>
          <w:sz w:val="24"/>
          <w14:textFill>
            <w14:solidFill>
              <w14:schemeClr w14:val="tx1"/>
            </w14:solidFill>
          </w14:textFill>
        </w:rPr>
        <w:t>定</w:t>
      </w:r>
      <w:r>
        <w:rPr>
          <w:rFonts w:hint="eastAsia"/>
          <w:bCs/>
          <w:color w:val="000000" w:themeColor="text1"/>
          <w:sz w:val="24"/>
          <w14:textFill>
            <w14:solidFill>
              <w14:schemeClr w14:val="tx1"/>
            </w14:solidFill>
          </w14:textFill>
        </w:rPr>
        <w:t>媒介</w:t>
      </w:r>
      <w:r>
        <w:rPr>
          <w:bCs/>
          <w:color w:val="000000" w:themeColor="text1"/>
          <w:sz w:val="24"/>
          <w14:textFill>
            <w14:solidFill>
              <w14:schemeClr w14:val="tx1"/>
            </w14:solidFill>
          </w14:textFill>
        </w:rPr>
        <w:t>上公告。</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7、基金管理人可以在不违反法律法规规定及基金合同约定的情形下根据市场情况制定基金促销计划，定期或不定期地开展基金促销活动。在基金促销活动期间，按相关监管部门要求履行必要手续后，基金管理人可以适当调低基金申购费率</w:t>
      </w:r>
      <w:r>
        <w:rPr>
          <w:rFonts w:hint="eastAsia"/>
          <w:bCs/>
          <w:color w:val="000000" w:themeColor="text1"/>
          <w:sz w:val="24"/>
          <w14:textFill>
            <w14:solidFill>
              <w14:schemeClr w14:val="tx1"/>
            </w14:solidFill>
          </w14:textFill>
        </w:rPr>
        <w:t>或</w:t>
      </w:r>
      <w:r>
        <w:rPr>
          <w:bCs/>
          <w:color w:val="000000" w:themeColor="text1"/>
          <w:sz w:val="24"/>
          <w14:textFill>
            <w14:solidFill>
              <w14:schemeClr w14:val="tx1"/>
            </w14:solidFill>
          </w14:textFill>
        </w:rPr>
        <w:t>基金赎回费率并另行公告</w:t>
      </w:r>
      <w:r>
        <w:rPr>
          <w:rFonts w:hint="eastAsia"/>
          <w:bCs/>
          <w:color w:val="000000" w:themeColor="text1"/>
          <w:sz w:val="24"/>
          <w14:textFill>
            <w14:solidFill>
              <w14:schemeClr w14:val="tx1"/>
            </w14:solidFill>
          </w14:textFill>
        </w:rPr>
        <w:t>，或针对特定渠道、特定投资群体开展有差别的费率优惠活动。</w:t>
      </w:r>
    </w:p>
    <w:p>
      <w:pPr>
        <w:spacing w:line="360" w:lineRule="auto"/>
        <w:ind w:firstLine="480" w:firstLineChars="200"/>
        <w:rPr>
          <w:b/>
          <w:color w:val="000000" w:themeColor="text1"/>
          <w:sz w:val="24"/>
          <w:u w:val="single"/>
          <w14:textFill>
            <w14:solidFill>
              <w14:schemeClr w14:val="tx1"/>
            </w14:solidFill>
          </w14:textFill>
        </w:rPr>
      </w:pPr>
      <w:r>
        <w:rPr>
          <w:rFonts w:hint="eastAsia"/>
          <w:bCs/>
          <w:color w:val="000000" w:themeColor="text1"/>
          <w:sz w:val="24"/>
          <w14:textFill>
            <w14:solidFill>
              <w14:schemeClr w14:val="tx1"/>
            </w14:solidFill>
          </w14:textFill>
        </w:rPr>
        <w:t>8、</w:t>
      </w:r>
      <w:r>
        <w:rPr>
          <w:bCs/>
          <w:color w:val="000000" w:themeColor="text1"/>
          <w:sz w:val="24"/>
          <w14:textFill>
            <w14:solidFill>
              <w14:schemeClr w14:val="tx1"/>
            </w14:solidFill>
          </w14:textFill>
        </w:rPr>
        <w:t>当本基金发生大额申购或赎回情形时，基金管理人可以采用摆动定价机制，以确保基金估值的公平性。具体处理原则与操作规范遵循相关法律法规以及监管部门、自律规则的规定。</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七</w:t>
      </w: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拒绝或暂停申购的情形</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在开放期内，</w:t>
      </w:r>
      <w:r>
        <w:rPr>
          <w:bCs/>
          <w:color w:val="000000" w:themeColor="text1"/>
          <w:sz w:val="24"/>
          <w14:textFill>
            <w14:solidFill>
              <w14:schemeClr w14:val="tx1"/>
            </w14:solidFill>
          </w14:textFill>
        </w:rPr>
        <w:t>发生下列情况时，基金管理人可拒绝或暂停接受投资人的申购申请：</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w:t>
      </w: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因不可抗力导致基金无法正常运作。</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2、发生基金合同规定的暂停基金资产估值情况时，基金管理人可暂停接受投资人的申购申请。</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3、</w:t>
      </w:r>
      <w:r>
        <w:rPr>
          <w:bCs/>
          <w:color w:val="000000" w:themeColor="text1"/>
          <w:sz w:val="24"/>
          <w14:textFill>
            <w14:solidFill>
              <w14:schemeClr w14:val="tx1"/>
            </w14:solidFill>
          </w14:textFill>
        </w:rPr>
        <w:t>证券交易所交易时间非正常停市，导致基金管理人无法计算当日基金资产净值。</w:t>
      </w:r>
    </w:p>
    <w:p>
      <w:pPr>
        <w:spacing w:line="360" w:lineRule="auto"/>
        <w:ind w:firstLine="480" w:firstLineChars="200"/>
        <w:rPr>
          <w:bCs/>
          <w:color w:val="000000" w:themeColor="text1"/>
          <w:sz w:val="24"/>
          <w14:textFill>
            <w14:solidFill>
              <w14:schemeClr w14:val="tx1"/>
            </w14:solidFill>
          </w14:textFill>
        </w:rPr>
      </w:pPr>
      <w:bookmarkStart w:id="126" w:name="_Hlt70481650"/>
      <w:bookmarkEnd w:id="126"/>
      <w:r>
        <w:rPr>
          <w:rFonts w:hint="eastAsia"/>
          <w:bCs/>
          <w:color w:val="000000" w:themeColor="text1"/>
          <w:sz w:val="24"/>
          <w14:textFill>
            <w14:solidFill>
              <w14:schemeClr w14:val="tx1"/>
            </w14:solidFill>
          </w14:textFill>
        </w:rPr>
        <w:t>4、</w:t>
      </w:r>
      <w:r>
        <w:rPr>
          <w:bCs/>
          <w:color w:val="000000" w:themeColor="text1"/>
          <w:sz w:val="24"/>
          <w14:textFill>
            <w14:solidFill>
              <w14:schemeClr w14:val="tx1"/>
            </w14:solidFill>
          </w14:textFill>
        </w:rPr>
        <w:t>接受某笔或某些申购申请可能会影响或损害现有基金份额持有人利益时。</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5、</w:t>
      </w:r>
      <w:r>
        <w:rPr>
          <w:bCs/>
          <w:color w:val="000000" w:themeColor="text1"/>
          <w:sz w:val="24"/>
          <w14:textFill>
            <w14:solidFill>
              <w14:schemeClr w14:val="tx1"/>
            </w14:solidFill>
          </w14:textFill>
        </w:rPr>
        <w:t>基金资产规模过大，使基金管理人无法找到合适的投资品种，或其他可能对基金业绩产生负面影响，或发生其他损害现有基金份额持有人利益的情形。</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6、申购申请超过基金管理人设定的基金总规模、单日净申购比例上限、单一投资者单日或单笔申购金额上限的情形时。</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7、当前一估值日基金资产净值50%以上的资产出现无可参考的活跃市场价格且采用估值技术仍导致公允价值存在重大不确定性时，经与基金托管人协商确认后，基金管理人应当暂停接受基金申购申请。</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8</w:t>
      </w:r>
      <w:r>
        <w:rPr>
          <w:rFonts w:hint="eastAsia"/>
          <w:bCs/>
          <w:color w:val="000000" w:themeColor="text1"/>
          <w:sz w:val="24"/>
          <w14:textFill>
            <w14:solidFill>
              <w14:schemeClr w14:val="tx1"/>
            </w14:solidFill>
          </w14:textFill>
        </w:rPr>
        <w:t>、基金管理人接受某笔或者某些申购申请有可能导致单一投资者持有基金份额的比例达到或者超过50%，或者变相规避50%集中度的情形。</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9</w:t>
      </w:r>
      <w:r>
        <w:rPr>
          <w:rFonts w:hint="eastAsia"/>
          <w:bCs/>
          <w:color w:val="000000" w:themeColor="text1"/>
          <w:sz w:val="24"/>
          <w14:textFill>
            <w14:solidFill>
              <w14:schemeClr w14:val="tx1"/>
            </w14:solidFill>
          </w14:textFill>
        </w:rPr>
        <w:t>、基金管理人、基金托管人、登记机构、销售机构、支付结算机构等因异常情况导致基金销售系统、基金销售支付结算系统、基金登记系统、基金会计系统等无法正常运行。</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10、</w:t>
      </w:r>
      <w:r>
        <w:rPr>
          <w:bCs/>
          <w:color w:val="000000" w:themeColor="text1"/>
          <w:sz w:val="24"/>
          <w14:textFill>
            <w14:solidFill>
              <w14:schemeClr w14:val="tx1"/>
            </w14:solidFill>
          </w14:textFill>
        </w:rPr>
        <w:t>法律法规规定或中国证监会认定的其他情形。</w:t>
      </w:r>
    </w:p>
    <w:p>
      <w:pPr>
        <w:spacing w:line="360" w:lineRule="auto"/>
        <w:ind w:firstLine="480" w:firstLineChars="200"/>
        <w:rPr>
          <w:bCs/>
          <w:color w:val="000000" w:themeColor="text1"/>
          <w14:textFill>
            <w14:solidFill>
              <w14:schemeClr w14:val="tx1"/>
            </w14:solidFill>
          </w14:textFill>
        </w:rPr>
      </w:pPr>
      <w:r>
        <w:rPr>
          <w:bCs/>
          <w:color w:val="000000" w:themeColor="text1"/>
          <w:sz w:val="24"/>
          <w14:textFill>
            <w14:solidFill>
              <w14:schemeClr w14:val="tx1"/>
            </w14:solidFill>
          </w14:textFill>
        </w:rPr>
        <w:t>发生上述第1、2、</w:t>
      </w:r>
      <w:r>
        <w:rPr>
          <w:rFonts w:hint="eastAsia"/>
          <w:bCs/>
          <w:color w:val="000000" w:themeColor="text1"/>
          <w:sz w:val="24"/>
          <w14:textFill>
            <w14:solidFill>
              <w14:schemeClr w14:val="tx1"/>
            </w14:solidFill>
          </w14:textFill>
        </w:rPr>
        <w:t>3</w:t>
      </w:r>
      <w:r>
        <w:rPr>
          <w:bCs/>
          <w:color w:val="000000" w:themeColor="text1"/>
          <w:sz w:val="24"/>
          <w14:textFill>
            <w14:solidFill>
              <w14:schemeClr w14:val="tx1"/>
            </w14:solidFill>
          </w14:textFill>
        </w:rPr>
        <w:t>、5</w:t>
      </w: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7</w:t>
      </w: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9</w:t>
      </w:r>
      <w:r>
        <w:rPr>
          <w:rFonts w:hint="eastAsia"/>
          <w:bCs/>
          <w:color w:val="000000" w:themeColor="text1"/>
          <w:sz w:val="24"/>
          <w14:textFill>
            <w14:solidFill>
              <w14:schemeClr w14:val="tx1"/>
            </w14:solidFill>
          </w14:textFill>
        </w:rPr>
        <w:t>、10</w:t>
      </w:r>
      <w:r>
        <w:rPr>
          <w:bCs/>
          <w:color w:val="000000" w:themeColor="text1"/>
          <w:sz w:val="24"/>
          <w14:textFill>
            <w14:solidFill>
              <w14:schemeClr w14:val="tx1"/>
            </w14:solidFill>
          </w14:textFill>
        </w:rPr>
        <w:t>项暂停申购情形之一且基金管理人决定暂停接受投资人申购申请时，基金管理人应当根据</w:t>
      </w:r>
      <w:r>
        <w:rPr>
          <w:rFonts w:hint="eastAsia"/>
          <w:bCs/>
          <w:color w:val="000000" w:themeColor="text1"/>
          <w:sz w:val="24"/>
          <w14:textFill>
            <w14:solidFill>
              <w14:schemeClr w14:val="tx1"/>
            </w14:solidFill>
          </w14:textFill>
        </w:rPr>
        <w:t>《信息披露办法》的</w:t>
      </w:r>
      <w:r>
        <w:rPr>
          <w:bCs/>
          <w:color w:val="000000" w:themeColor="text1"/>
          <w:sz w:val="24"/>
          <w14:textFill>
            <w14:solidFill>
              <w14:schemeClr w14:val="tx1"/>
            </w14:solidFill>
          </w14:textFill>
        </w:rPr>
        <w:t>有关规定在</w:t>
      </w:r>
      <w:r>
        <w:rPr>
          <w:rFonts w:hint="eastAsia"/>
          <w:bCs/>
          <w:color w:val="000000" w:themeColor="text1"/>
          <w:sz w:val="24"/>
          <w14:textFill>
            <w14:solidFill>
              <w14:schemeClr w14:val="tx1"/>
            </w14:solidFill>
          </w14:textFill>
        </w:rPr>
        <w:t>规</w:t>
      </w:r>
      <w:r>
        <w:rPr>
          <w:bCs/>
          <w:color w:val="000000" w:themeColor="text1"/>
          <w:sz w:val="24"/>
          <w14:textFill>
            <w14:solidFill>
              <w14:schemeClr w14:val="tx1"/>
            </w14:solidFill>
          </w14:textFill>
        </w:rPr>
        <w:t>定</w:t>
      </w:r>
      <w:r>
        <w:rPr>
          <w:rFonts w:hint="eastAsia"/>
          <w:bCs/>
          <w:color w:val="000000" w:themeColor="text1"/>
          <w:sz w:val="24"/>
          <w14:textFill>
            <w14:solidFill>
              <w14:schemeClr w14:val="tx1"/>
            </w14:solidFill>
          </w14:textFill>
        </w:rPr>
        <w:t>媒介</w:t>
      </w:r>
      <w:r>
        <w:rPr>
          <w:bCs/>
          <w:color w:val="000000" w:themeColor="text1"/>
          <w:sz w:val="24"/>
          <w14:textFill>
            <w14:solidFill>
              <w14:schemeClr w14:val="tx1"/>
            </w14:solidFill>
          </w14:textFill>
        </w:rPr>
        <w:t>上刊登暂停申购公告。如果投资人的申购申请被</w:t>
      </w:r>
      <w:r>
        <w:rPr>
          <w:rFonts w:hint="eastAsia"/>
          <w:bCs/>
          <w:color w:val="000000" w:themeColor="text1"/>
          <w:sz w:val="24"/>
          <w:szCs w:val="24"/>
          <w14:textFill>
            <w14:solidFill>
              <w14:schemeClr w14:val="tx1"/>
            </w14:solidFill>
          </w14:textFill>
        </w:rPr>
        <w:t>全部或部分</w:t>
      </w:r>
      <w:r>
        <w:rPr>
          <w:bCs/>
          <w:color w:val="000000" w:themeColor="text1"/>
          <w:sz w:val="24"/>
          <w14:textFill>
            <w14:solidFill>
              <w14:schemeClr w14:val="tx1"/>
            </w14:solidFill>
          </w14:textFill>
        </w:rPr>
        <w:t>拒绝的，被拒绝的申购款项将退还给投资人。在暂停申购的情况消除时，基金管理人应及时恢复申购业务的办理</w:t>
      </w:r>
      <w:r>
        <w:rPr>
          <w:rFonts w:hint="eastAsia"/>
          <w:bCs/>
          <w:color w:val="000000" w:themeColor="text1"/>
          <w:sz w:val="24"/>
          <w14:textFill>
            <w14:solidFill>
              <w14:schemeClr w14:val="tx1"/>
            </w14:solidFill>
          </w14:textFill>
        </w:rPr>
        <w:t>，且开放期时间将相应顺延，具体时间见基金管理人届时的公告</w:t>
      </w:r>
      <w:r>
        <w:rPr>
          <w:bCs/>
          <w:color w:val="000000" w:themeColor="text1"/>
          <w:sz w:val="24"/>
          <w14:textFill>
            <w14:solidFill>
              <w14:schemeClr w14:val="tx1"/>
            </w14:solidFill>
          </w14:textFill>
        </w:rPr>
        <w:t>。</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八</w:t>
      </w: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暂停赎回或延缓支付赎回款项的情形</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在开放期内</w:t>
      </w:r>
      <w:r>
        <w:rPr>
          <w:bCs/>
          <w:color w:val="000000" w:themeColor="text1"/>
          <w:sz w:val="24"/>
          <w14:textFill>
            <w14:solidFill>
              <w14:schemeClr w14:val="tx1"/>
            </w14:solidFill>
          </w14:textFill>
        </w:rPr>
        <w:t>发生下列情形时，基金管理人可暂停接受投资人的赎回申请或延缓支付赎回款项：</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w:t>
      </w: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因不可抗力导致基金管理人不能支付赎回款项。</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2、发生基金合同规定的暂停基金资产估值情况时，基金管理人可暂停接受投资人的赎回申请或延缓支付赎回款项。</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3、</w:t>
      </w:r>
      <w:r>
        <w:rPr>
          <w:bCs/>
          <w:color w:val="000000" w:themeColor="text1"/>
          <w:sz w:val="24"/>
          <w14:textFill>
            <w14:solidFill>
              <w14:schemeClr w14:val="tx1"/>
            </w14:solidFill>
          </w14:textFill>
        </w:rPr>
        <w:t>证券交易所交易时间非正常停市，导致基金管理人无法计算当日基金资产</w:t>
      </w:r>
      <w:bookmarkStart w:id="127" w:name="_Hlt152500890"/>
      <w:r>
        <w:rPr>
          <w:bCs/>
          <w:color w:val="000000" w:themeColor="text1"/>
          <w:sz w:val="24"/>
          <w14:textFill>
            <w14:solidFill>
              <w14:schemeClr w14:val="tx1"/>
            </w14:solidFill>
          </w14:textFill>
        </w:rPr>
        <w:t>净值。</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4、发生继续接受赎回申请将损害现有基金份额持有人利益的情形时，基金管理人可暂停接受基金份额持有人的赎回申请。</w:t>
      </w:r>
    </w:p>
    <w:p>
      <w:pPr>
        <w:spacing w:line="360" w:lineRule="auto"/>
        <w:ind w:firstLine="480" w:firstLineChars="200"/>
        <w:rPr>
          <w:bCs/>
          <w:color w:val="000000" w:themeColor="text1"/>
          <w14:textFill>
            <w14:solidFill>
              <w14:schemeClr w14:val="tx1"/>
            </w14:solidFill>
          </w14:textFill>
        </w:rPr>
      </w:pPr>
      <w:r>
        <w:rPr>
          <w:bCs/>
          <w:color w:val="000000" w:themeColor="text1"/>
          <w:sz w:val="24"/>
          <w14:textFill>
            <w14:solidFill>
              <w14:schemeClr w14:val="tx1"/>
            </w14:solidFill>
          </w14:textFill>
        </w:rPr>
        <w:t>5、当前一估值日基金资产净值50%以上的资产出现无可参考的活跃市场价格且采用估值技术仍导致公允价值存在重大不确定性时，经与基金托管人协商确认后，基金管理人应当延缓支付赎回款项或暂停接受基金赎回申请。</w:t>
      </w:r>
    </w:p>
    <w:bookmarkEnd w:id="127"/>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6、本基金的资产组合中的重要部分发生暂停交易或其他重大事件，继续接受赎回可能会影响或损害基金份额持有人利益时。</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7、</w:t>
      </w:r>
      <w:r>
        <w:rPr>
          <w:bCs/>
          <w:color w:val="000000" w:themeColor="text1"/>
          <w:sz w:val="24"/>
          <w14:textFill>
            <w14:solidFill>
              <w14:schemeClr w14:val="tx1"/>
            </w14:solidFill>
          </w14:textFill>
        </w:rPr>
        <w:t>法律法规规定或中国证监会认定的其他情形。</w:t>
      </w:r>
    </w:p>
    <w:p>
      <w:pPr>
        <w:spacing w:line="360" w:lineRule="auto"/>
        <w:ind w:firstLine="480" w:firstLineChars="200"/>
        <w:rPr>
          <w:bCs/>
          <w:color w:val="000000" w:themeColor="text1"/>
          <w14:textFill>
            <w14:solidFill>
              <w14:schemeClr w14:val="tx1"/>
            </w14:solidFill>
          </w14:textFill>
        </w:rPr>
      </w:pPr>
      <w:r>
        <w:rPr>
          <w:bCs/>
          <w:color w:val="000000" w:themeColor="text1"/>
          <w:sz w:val="24"/>
          <w14:textFill>
            <w14:solidFill>
              <w14:schemeClr w14:val="tx1"/>
            </w14:solidFill>
          </w14:textFill>
        </w:rPr>
        <w:t>发生上述情形之一且基金管理人决定暂停赎回或延缓支付赎回款项时，基金管理人应</w:t>
      </w:r>
      <w:r>
        <w:rPr>
          <w:rFonts w:hint="eastAsia"/>
          <w:bCs/>
          <w:color w:val="000000" w:themeColor="text1"/>
          <w:sz w:val="24"/>
          <w14:textFill>
            <w14:solidFill>
              <w14:schemeClr w14:val="tx1"/>
            </w14:solidFill>
          </w14:textFill>
        </w:rPr>
        <w:t>根据《信息披露办法》有关规定</w:t>
      </w:r>
      <w:r>
        <w:rPr>
          <w:bCs/>
          <w:color w:val="000000" w:themeColor="text1"/>
          <w:sz w:val="24"/>
          <w14:textFill>
            <w14:solidFill>
              <w14:schemeClr w14:val="tx1"/>
            </w14:solidFill>
          </w14:textFill>
        </w:rPr>
        <w:t>在</w:t>
      </w:r>
      <w:r>
        <w:rPr>
          <w:rFonts w:hint="eastAsia"/>
          <w:bCs/>
          <w:color w:val="000000" w:themeColor="text1"/>
          <w:sz w:val="24"/>
          <w14:textFill>
            <w14:solidFill>
              <w14:schemeClr w14:val="tx1"/>
            </w14:solidFill>
          </w14:textFill>
        </w:rPr>
        <w:t>规定媒介上公告并</w:t>
      </w:r>
      <w:r>
        <w:rPr>
          <w:bCs/>
          <w:color w:val="000000" w:themeColor="text1"/>
          <w:sz w:val="24"/>
          <w14:textFill>
            <w14:solidFill>
              <w14:schemeClr w14:val="tx1"/>
            </w14:solidFill>
          </w14:textFill>
        </w:rPr>
        <w:t>报中国证监会备案，已确认的赎回申请，基金管理人应足额支付；如暂时不能足额支付，应将可支付部分按单个账户申请量占申请总量的比例分配给赎回申请人，未支付部分可延期支付。基金份额持有人在申请赎回时可事先选择将当日可能未获受理部分予以撤销。在暂停赎回的情况消除时，基金管理人应及时恢复赎回业务的办理</w:t>
      </w:r>
      <w:r>
        <w:rPr>
          <w:rFonts w:hint="eastAsia"/>
          <w:bCs/>
          <w:color w:val="000000" w:themeColor="text1"/>
          <w:sz w:val="24"/>
          <w14:textFill>
            <w14:solidFill>
              <w14:schemeClr w14:val="tx1"/>
            </w14:solidFill>
          </w14:textFill>
        </w:rPr>
        <w:t>，且开放期时间将相应顺延，具体时间见基金管理人届时的</w:t>
      </w:r>
      <w:r>
        <w:rPr>
          <w:bCs/>
          <w:color w:val="000000" w:themeColor="text1"/>
          <w:sz w:val="24"/>
          <w14:textFill>
            <w14:solidFill>
              <w14:schemeClr w14:val="tx1"/>
            </w14:solidFill>
          </w14:textFill>
        </w:rPr>
        <w:t>公告。</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九</w:t>
      </w: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巨额赎回的情形及处理方式</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w:t>
      </w: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巨额赎回的认定</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若本基金</w:t>
      </w:r>
      <w:r>
        <w:rPr>
          <w:rFonts w:hint="eastAsia"/>
          <w:bCs/>
          <w:color w:val="000000" w:themeColor="text1"/>
          <w:sz w:val="24"/>
          <w14:textFill>
            <w14:solidFill>
              <w14:schemeClr w14:val="tx1"/>
            </w14:solidFill>
          </w14:textFill>
        </w:rPr>
        <w:t>开放期</w:t>
      </w:r>
      <w:r>
        <w:rPr>
          <w:bCs/>
          <w:color w:val="000000" w:themeColor="text1"/>
          <w:sz w:val="24"/>
          <w14:textFill>
            <w14:solidFill>
              <w14:schemeClr w14:val="tx1"/>
            </w14:solidFill>
          </w14:textFill>
        </w:rPr>
        <w:t>单个开放日内的基金份额净赎回申请（赎回申请份额总数加上基金转换中转出申请份额总数后扣除申购申请份额总数及基金转换中转入申请份额总数后的余额）超过前一</w:t>
      </w:r>
      <w:r>
        <w:rPr>
          <w:rFonts w:hint="eastAsia"/>
          <w:bCs/>
          <w:color w:val="000000" w:themeColor="text1"/>
          <w:sz w:val="24"/>
          <w14:textFill>
            <w14:solidFill>
              <w14:schemeClr w14:val="tx1"/>
            </w14:solidFill>
          </w14:textFill>
        </w:rPr>
        <w:t>工作</w:t>
      </w:r>
      <w:r>
        <w:rPr>
          <w:bCs/>
          <w:color w:val="000000" w:themeColor="text1"/>
          <w:sz w:val="24"/>
          <w14:textFill>
            <w14:solidFill>
              <w14:schemeClr w14:val="tx1"/>
            </w14:solidFill>
          </w14:textFill>
        </w:rPr>
        <w:t>日的基金总份额的20%，即认为是发生了巨额赎回。</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2</w:t>
      </w: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巨额赎回的处理方式</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当基金出现巨额赎回时，基金管理人可以根据基金当时的资产组合状况决定全额赎回或</w:t>
      </w:r>
      <w:r>
        <w:rPr>
          <w:rFonts w:hint="eastAsia" w:ascii="宋体" w:hAnsi="宋体"/>
          <w:bCs/>
          <w:color w:val="000000" w:themeColor="text1"/>
          <w:sz w:val="24"/>
          <w:szCs w:val="24"/>
          <w14:textFill>
            <w14:solidFill>
              <w14:schemeClr w14:val="tx1"/>
            </w14:solidFill>
          </w14:textFill>
        </w:rPr>
        <w:t>延缓支付</w:t>
      </w:r>
      <w:r>
        <w:rPr>
          <w:bCs/>
          <w:color w:val="000000" w:themeColor="text1"/>
          <w:sz w:val="24"/>
          <w14:textFill>
            <w14:solidFill>
              <w14:schemeClr w14:val="tx1"/>
            </w14:solidFill>
          </w14:textFill>
        </w:rPr>
        <w:t>赎回款项。</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（1）全额赎回：当基金管理人认为有能力支付投资人的全部赎回申请时，按正常赎回程序执行。</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w:t>
      </w:r>
      <w:r>
        <w:rPr>
          <w:rFonts w:hint="eastAsia"/>
          <w:bCs/>
          <w:color w:val="000000" w:themeColor="text1"/>
          <w:sz w:val="24"/>
          <w14:textFill>
            <w14:solidFill>
              <w14:schemeClr w14:val="tx1"/>
            </w14:solidFill>
          </w14:textFill>
        </w:rPr>
        <w:t>2</w:t>
      </w:r>
      <w:r>
        <w:rPr>
          <w:bCs/>
          <w:color w:val="000000" w:themeColor="text1"/>
          <w:sz w:val="24"/>
          <w14:textFill>
            <w14:solidFill>
              <w14:schemeClr w14:val="tx1"/>
            </w14:solidFill>
          </w14:textFill>
        </w:rPr>
        <w:t>）</w:t>
      </w:r>
      <w:r>
        <w:rPr>
          <w:rFonts w:hint="eastAsia" w:ascii="宋体" w:hAnsi="宋体"/>
          <w:bCs/>
          <w:color w:val="000000" w:themeColor="text1"/>
          <w:sz w:val="24"/>
          <w:szCs w:val="24"/>
          <w14:textFill>
            <w14:solidFill>
              <w14:schemeClr w14:val="tx1"/>
            </w14:solidFill>
          </w14:textFill>
        </w:rPr>
        <w:t>延缓支付赎回款项：当</w:t>
      </w:r>
      <w:r>
        <w:rPr>
          <w:rFonts w:hint="eastAsia"/>
          <w:bCs/>
          <w:color w:val="000000" w:themeColor="text1"/>
          <w:sz w:val="24"/>
          <w14:textFill>
            <w14:solidFill>
              <w14:schemeClr w14:val="tx1"/>
            </w14:solidFill>
          </w14:textFill>
        </w:rPr>
        <w:t>本基金开放期内单个开放日出现巨额赎回时，基金管理人对符合法律法规及基金合同约定的赎回申请应全部予以接受和确认。但对于已接受的赎回申请，如</w:t>
      </w:r>
      <w:r>
        <w:rPr>
          <w:bCs/>
          <w:color w:val="000000" w:themeColor="text1"/>
          <w:sz w:val="24"/>
          <w14:textFill>
            <w14:solidFill>
              <w14:schemeClr w14:val="tx1"/>
            </w14:solidFill>
          </w14:textFill>
        </w:rPr>
        <w:t>基金管理人认为全额支付投资人的赎回</w:t>
      </w:r>
      <w:r>
        <w:rPr>
          <w:rFonts w:hint="eastAsia"/>
          <w:bCs/>
          <w:color w:val="000000" w:themeColor="text1"/>
          <w:sz w:val="24"/>
          <w14:textFill>
            <w14:solidFill>
              <w14:schemeClr w14:val="tx1"/>
            </w14:solidFill>
          </w14:textFill>
        </w:rPr>
        <w:t>款项</w:t>
      </w:r>
      <w:r>
        <w:rPr>
          <w:bCs/>
          <w:color w:val="000000" w:themeColor="text1"/>
          <w:sz w:val="24"/>
          <w14:textFill>
            <w14:solidFill>
              <w14:schemeClr w14:val="tx1"/>
            </w14:solidFill>
          </w14:textFill>
        </w:rPr>
        <w:t>有困难或因全额支付投资人的赎回</w:t>
      </w:r>
      <w:r>
        <w:rPr>
          <w:rFonts w:hint="eastAsia"/>
          <w:bCs/>
          <w:color w:val="000000" w:themeColor="text1"/>
          <w:sz w:val="24"/>
          <w14:textFill>
            <w14:solidFill>
              <w14:schemeClr w14:val="tx1"/>
            </w14:solidFill>
          </w14:textFill>
        </w:rPr>
        <w:t>款项</w:t>
      </w:r>
      <w:r>
        <w:rPr>
          <w:bCs/>
          <w:color w:val="000000" w:themeColor="text1"/>
          <w:sz w:val="24"/>
          <w14:textFill>
            <w14:solidFill>
              <w14:schemeClr w14:val="tx1"/>
            </w14:solidFill>
          </w14:textFill>
        </w:rPr>
        <w:t>而进行的财产变现可能会对基金资产净值造成较大波动</w:t>
      </w:r>
      <w:r>
        <w:rPr>
          <w:rFonts w:hint="eastAsia"/>
          <w:bCs/>
          <w:color w:val="000000" w:themeColor="text1"/>
          <w:sz w:val="24"/>
          <w14:textFill>
            <w14:solidFill>
              <w14:schemeClr w14:val="tx1"/>
            </w14:solidFill>
          </w14:textFill>
        </w:rPr>
        <w:t>的</w:t>
      </w:r>
      <w:r>
        <w:rPr>
          <w:bCs/>
          <w:color w:val="000000" w:themeColor="text1"/>
          <w:sz w:val="24"/>
          <w14:textFill>
            <w14:solidFill>
              <w14:schemeClr w14:val="tx1"/>
            </w14:solidFill>
          </w14:textFill>
        </w:rPr>
        <w:t>，基金管理人在当日</w:t>
      </w:r>
      <w:r>
        <w:rPr>
          <w:rFonts w:hint="eastAsia"/>
          <w:bCs/>
          <w:color w:val="000000" w:themeColor="text1"/>
          <w:sz w:val="24"/>
          <w14:textFill>
            <w14:solidFill>
              <w14:schemeClr w14:val="tx1"/>
            </w14:solidFill>
          </w14:textFill>
        </w:rPr>
        <w:t>按</w:t>
      </w:r>
      <w:r>
        <w:rPr>
          <w:bCs/>
          <w:color w:val="000000" w:themeColor="text1"/>
          <w:sz w:val="24"/>
          <w14:textFill>
            <w14:solidFill>
              <w14:schemeClr w14:val="tx1"/>
            </w14:solidFill>
          </w14:textFill>
        </w:rPr>
        <w:t>比例</w:t>
      </w:r>
      <w:r>
        <w:rPr>
          <w:rFonts w:hint="eastAsia"/>
          <w:bCs/>
          <w:color w:val="000000" w:themeColor="text1"/>
          <w:sz w:val="24"/>
          <w14:textFill>
            <w14:solidFill>
              <w14:schemeClr w14:val="tx1"/>
            </w14:solidFill>
          </w14:textFill>
        </w:rPr>
        <w:t>办理的赎回份额</w:t>
      </w:r>
      <w:r>
        <w:rPr>
          <w:bCs/>
          <w:color w:val="000000" w:themeColor="text1"/>
          <w:sz w:val="24"/>
          <w14:textFill>
            <w14:solidFill>
              <w14:schemeClr w14:val="tx1"/>
            </w14:solidFill>
          </w14:textFill>
        </w:rPr>
        <w:t>不低于基金总份额的</w:t>
      </w:r>
      <w:r>
        <w:rPr>
          <w:rFonts w:hint="eastAsia"/>
          <w:bCs/>
          <w:color w:val="000000" w:themeColor="text1"/>
          <w:sz w:val="24"/>
          <w14:textFill>
            <w14:solidFill>
              <w14:schemeClr w14:val="tx1"/>
            </w14:solidFill>
          </w14:textFill>
        </w:rPr>
        <w:t>2</w:t>
      </w:r>
      <w:r>
        <w:rPr>
          <w:bCs/>
          <w:color w:val="000000" w:themeColor="text1"/>
          <w:sz w:val="24"/>
          <w14:textFill>
            <w14:solidFill>
              <w14:schemeClr w14:val="tx1"/>
            </w14:solidFill>
          </w14:textFill>
        </w:rPr>
        <w:t>0</w:t>
      </w: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的</w:t>
      </w:r>
      <w:r>
        <w:rPr>
          <w:rFonts w:hint="eastAsia"/>
          <w:bCs/>
          <w:color w:val="000000" w:themeColor="text1"/>
          <w:sz w:val="24"/>
          <w14:textFill>
            <w14:solidFill>
              <w14:schemeClr w14:val="tx1"/>
            </w14:solidFill>
          </w14:textFill>
        </w:rPr>
        <w:t>情形</w:t>
      </w:r>
      <w:r>
        <w:rPr>
          <w:bCs/>
          <w:color w:val="000000" w:themeColor="text1"/>
          <w:sz w:val="24"/>
          <w14:textFill>
            <w14:solidFill>
              <w14:schemeClr w14:val="tx1"/>
            </w14:solidFill>
          </w14:textFill>
        </w:rPr>
        <w:t>下，可对</w:t>
      </w:r>
      <w:r>
        <w:rPr>
          <w:rFonts w:hint="eastAsia"/>
          <w:bCs/>
          <w:color w:val="000000" w:themeColor="text1"/>
          <w:sz w:val="24"/>
          <w14:textFill>
            <w14:solidFill>
              <w14:schemeClr w14:val="tx1"/>
            </w14:solidFill>
          </w14:textFill>
        </w:rPr>
        <w:t>赎回款项进行延缓支付，但不得超过20个工作日。延缓支付的赎回申请以赎回申请当日的基金份额净值为基础计算赎回金额。</w:t>
      </w:r>
    </w:p>
    <w:p>
      <w:pPr>
        <w:spacing w:line="360" w:lineRule="auto"/>
        <w:ind w:firstLine="420" w:firstLineChars="175"/>
        <w:rPr>
          <w:bCs/>
          <w:color w:val="000000" w:themeColor="text1"/>
          <w:sz w:val="24"/>
          <w14:textFill>
            <w14:solidFill>
              <w14:schemeClr w14:val="tx1"/>
            </w14:solidFill>
          </w14:textFill>
        </w:rPr>
      </w:pPr>
      <w:r>
        <w:rPr>
          <w:bCs/>
          <w:color w:val="000000" w:themeColor="text1"/>
          <w:sz w:val="24"/>
          <w14:textFill>
            <w14:solidFill>
              <w14:schemeClr w14:val="tx1"/>
            </w14:solidFill>
          </w14:textFill>
        </w:rPr>
        <w:t>（3）</w:t>
      </w:r>
      <w:r>
        <w:rPr>
          <w:rFonts w:hint="eastAsia" w:ascii="宋体" w:hAnsi="宋体"/>
          <w:bCs/>
          <w:color w:val="000000" w:themeColor="text1"/>
          <w:sz w:val="24"/>
          <w:szCs w:val="24"/>
          <w14:textFill>
            <w14:solidFill>
              <w14:schemeClr w14:val="tx1"/>
            </w14:solidFill>
          </w14:textFill>
        </w:rPr>
        <w:t>在开放期内，</w:t>
      </w:r>
      <w:r>
        <w:rPr>
          <w:bCs/>
          <w:color w:val="000000" w:themeColor="text1"/>
          <w:sz w:val="24"/>
          <w14:textFill>
            <w14:solidFill>
              <w14:schemeClr w14:val="tx1"/>
            </w14:solidFill>
          </w14:textFill>
        </w:rPr>
        <w:t>如</w:t>
      </w:r>
      <w:r>
        <w:rPr>
          <w:rFonts w:hint="eastAsia"/>
          <w:bCs/>
          <w:color w:val="000000" w:themeColor="text1"/>
          <w:sz w:val="24"/>
          <w14:textFill>
            <w14:solidFill>
              <w14:schemeClr w14:val="tx1"/>
            </w14:solidFill>
          </w14:textFill>
        </w:rPr>
        <w:t>本基金发生巨额赎回且</w:t>
      </w:r>
      <w:r>
        <w:rPr>
          <w:bCs/>
          <w:color w:val="000000" w:themeColor="text1"/>
          <w:sz w:val="24"/>
          <w14:textFill>
            <w14:solidFill>
              <w14:schemeClr w14:val="tx1"/>
            </w14:solidFill>
          </w14:textFill>
        </w:rPr>
        <w:t>单个基金份额持有人</w:t>
      </w:r>
      <w:r>
        <w:rPr>
          <w:rFonts w:hint="eastAsia" w:ascii="宋体" w:hAnsi="宋体"/>
          <w:bCs/>
          <w:color w:val="000000" w:themeColor="text1"/>
          <w:sz w:val="24"/>
          <w:szCs w:val="24"/>
          <w14:textFill>
            <w14:solidFill>
              <w14:schemeClr w14:val="tx1"/>
            </w14:solidFill>
          </w14:textFill>
        </w:rPr>
        <w:t>的单日赎回申请</w:t>
      </w:r>
      <w:r>
        <w:rPr>
          <w:bCs/>
          <w:color w:val="000000" w:themeColor="text1"/>
          <w:sz w:val="24"/>
          <w14:textFill>
            <w14:solidFill>
              <w14:schemeClr w14:val="tx1"/>
            </w14:solidFill>
          </w14:textFill>
        </w:rPr>
        <w:t>超过</w:t>
      </w:r>
      <w:r>
        <w:rPr>
          <w:rFonts w:hint="eastAsia" w:ascii="宋体" w:hAnsi="宋体"/>
          <w:bCs/>
          <w:color w:val="000000" w:themeColor="text1"/>
          <w:sz w:val="24"/>
          <w:szCs w:val="24"/>
          <w14:textFill>
            <w14:solidFill>
              <w14:schemeClr w14:val="tx1"/>
            </w14:solidFill>
          </w14:textFill>
        </w:rPr>
        <w:t>上一工作日</w:t>
      </w:r>
      <w:r>
        <w:rPr>
          <w:bCs/>
          <w:color w:val="000000" w:themeColor="text1"/>
          <w:sz w:val="24"/>
          <w14:textFill>
            <w14:solidFill>
              <w14:schemeClr w14:val="tx1"/>
            </w14:solidFill>
          </w14:textFill>
        </w:rPr>
        <w:t>基金总份额的20%</w:t>
      </w:r>
      <w:r>
        <w:rPr>
          <w:rFonts w:hint="eastAsia"/>
          <w:bCs/>
          <w:color w:val="000000" w:themeColor="text1"/>
          <w:sz w:val="24"/>
          <w14:textFill>
            <w14:solidFill>
              <w14:schemeClr w14:val="tx1"/>
            </w14:solidFill>
          </w14:textFill>
        </w:rPr>
        <w:t>的</w:t>
      </w:r>
      <w:r>
        <w:rPr>
          <w:bCs/>
          <w:color w:val="000000" w:themeColor="text1"/>
          <w:sz w:val="24"/>
          <w14:textFill>
            <w14:solidFill>
              <w14:schemeClr w14:val="tx1"/>
            </w14:solidFill>
          </w14:textFill>
        </w:rPr>
        <w:t>，基金管理人</w:t>
      </w:r>
      <w:r>
        <w:rPr>
          <w:rFonts w:hint="eastAsia" w:ascii="宋体" w:hAnsi="宋体"/>
          <w:bCs/>
          <w:color w:val="000000" w:themeColor="text1"/>
          <w:sz w:val="24"/>
          <w:szCs w:val="24"/>
          <w14:textFill>
            <w14:solidFill>
              <w14:schemeClr w14:val="tx1"/>
            </w14:solidFill>
          </w14:textFill>
        </w:rPr>
        <w:t>有权对</w:t>
      </w:r>
      <w:r>
        <w:rPr>
          <w:bCs/>
          <w:color w:val="000000" w:themeColor="text1"/>
          <w:sz w:val="24"/>
          <w14:textFill>
            <w14:solidFill>
              <w14:schemeClr w14:val="tx1"/>
            </w14:solidFill>
          </w14:textFill>
        </w:rPr>
        <w:t>该单个基金份额</w:t>
      </w:r>
      <w:r>
        <w:rPr>
          <w:rFonts w:hint="eastAsia"/>
          <w:bCs/>
          <w:color w:val="000000" w:themeColor="text1"/>
          <w:sz w:val="24"/>
          <w14:textFill>
            <w14:solidFill>
              <w14:schemeClr w14:val="tx1"/>
            </w14:solidFill>
          </w14:textFill>
        </w:rPr>
        <w:t>持有人</w:t>
      </w:r>
      <w:r>
        <w:rPr>
          <w:rFonts w:hint="eastAsia" w:ascii="宋体" w:hAnsi="宋体"/>
          <w:bCs/>
          <w:color w:val="000000" w:themeColor="text1"/>
          <w:sz w:val="24"/>
          <w:szCs w:val="24"/>
          <w14:textFill>
            <w14:solidFill>
              <w14:schemeClr w14:val="tx1"/>
            </w14:solidFill>
          </w14:textFill>
        </w:rPr>
        <w:t>超出该比例的</w:t>
      </w:r>
      <w:r>
        <w:rPr>
          <w:bCs/>
          <w:color w:val="000000" w:themeColor="text1"/>
          <w:sz w:val="24"/>
          <w14:textFill>
            <w14:solidFill>
              <w14:schemeClr w14:val="tx1"/>
            </w14:solidFill>
          </w14:textFill>
        </w:rPr>
        <w:t>赎回申请实施</w:t>
      </w:r>
      <w:r>
        <w:rPr>
          <w:rFonts w:hint="eastAsia"/>
          <w:bCs/>
          <w:color w:val="000000" w:themeColor="text1"/>
          <w:sz w:val="24"/>
          <w14:textFill>
            <w14:solidFill>
              <w14:schemeClr w14:val="tx1"/>
            </w14:solidFill>
          </w14:textFill>
        </w:rPr>
        <w:t>延期办理，</w:t>
      </w:r>
      <w:r>
        <w:rPr>
          <w:rFonts w:hint="eastAsia" w:ascii="宋体" w:hAnsi="宋体"/>
          <w:bCs/>
          <w:color w:val="000000" w:themeColor="text1"/>
          <w:sz w:val="24"/>
          <w:szCs w:val="24"/>
          <w14:textFill>
            <w14:solidFill>
              <w14:schemeClr w14:val="tx1"/>
            </w14:solidFill>
          </w14:textFill>
        </w:rPr>
        <w:t>对于该单个基金份额持有人的剩余赎回申请基金管理人有权根据前段“（</w:t>
      </w:r>
      <w:r>
        <w:rPr>
          <w:rFonts w:ascii="宋体" w:hAnsi="宋体"/>
          <w:bCs/>
          <w:color w:val="000000" w:themeColor="text1"/>
          <w:sz w:val="24"/>
          <w:szCs w:val="24"/>
          <w14:textFill>
            <w14:solidFill>
              <w14:schemeClr w14:val="tx1"/>
            </w14:solidFill>
          </w14:textFill>
        </w:rPr>
        <w:t>1）全</w:t>
      </w:r>
      <w:r>
        <w:rPr>
          <w:rFonts w:hint="eastAsia" w:ascii="宋体" w:hAnsi="宋体"/>
          <w:bCs/>
          <w:color w:val="000000" w:themeColor="text1"/>
          <w:sz w:val="24"/>
          <w:szCs w:val="24"/>
          <w14:textFill>
            <w14:solidFill>
              <w14:schemeClr w14:val="tx1"/>
            </w14:solidFill>
          </w14:textFill>
        </w:rPr>
        <w:t>额</w:t>
      </w:r>
      <w:r>
        <w:rPr>
          <w:rFonts w:ascii="宋体" w:hAnsi="宋体"/>
          <w:bCs/>
          <w:color w:val="000000" w:themeColor="text1"/>
          <w:sz w:val="24"/>
          <w:szCs w:val="24"/>
          <w14:textFill>
            <w14:solidFill>
              <w14:schemeClr w14:val="tx1"/>
            </w14:solidFill>
          </w14:textFill>
        </w:rPr>
        <w:t>赎回</w:t>
      </w:r>
      <w:r>
        <w:rPr>
          <w:rFonts w:hint="eastAsia" w:ascii="宋体" w:hAnsi="宋体"/>
          <w:bCs/>
          <w:color w:val="000000" w:themeColor="text1"/>
          <w:sz w:val="24"/>
          <w:szCs w:val="24"/>
          <w14:textFill>
            <w14:solidFill>
              <w14:schemeClr w14:val="tx1"/>
            </w14:solidFill>
          </w14:textFill>
        </w:rPr>
        <w:t>”</w:t>
      </w:r>
      <w:r>
        <w:rPr>
          <w:rFonts w:ascii="宋体" w:hAnsi="宋体"/>
          <w:bCs/>
          <w:color w:val="000000" w:themeColor="text1"/>
          <w:sz w:val="24"/>
          <w:szCs w:val="24"/>
          <w14:textFill>
            <w14:solidFill>
              <w14:schemeClr w14:val="tx1"/>
            </w14:solidFill>
          </w14:textFill>
        </w:rPr>
        <w:t>或</w:t>
      </w:r>
      <w:r>
        <w:rPr>
          <w:rFonts w:hint="eastAsia" w:ascii="宋体" w:hAnsi="宋体"/>
          <w:bCs/>
          <w:color w:val="000000" w:themeColor="text1"/>
          <w:sz w:val="24"/>
          <w:szCs w:val="24"/>
          <w14:textFill>
            <w14:solidFill>
              <w14:schemeClr w14:val="tx1"/>
            </w14:solidFill>
          </w14:textFill>
        </w:rPr>
        <w:t>“</w:t>
      </w:r>
      <w:r>
        <w:rPr>
          <w:rFonts w:ascii="宋体" w:hAnsi="宋体"/>
          <w:bCs/>
          <w:color w:val="000000" w:themeColor="text1"/>
          <w:sz w:val="24"/>
          <w:szCs w:val="24"/>
          <w14:textFill>
            <w14:solidFill>
              <w14:schemeClr w14:val="tx1"/>
            </w14:solidFill>
          </w14:textFill>
        </w:rPr>
        <w:t>（2）</w:t>
      </w:r>
      <w:r>
        <w:rPr>
          <w:rFonts w:hint="eastAsia" w:ascii="宋体" w:hAnsi="宋体"/>
          <w:bCs/>
          <w:color w:val="000000" w:themeColor="text1"/>
          <w:sz w:val="24"/>
          <w:szCs w:val="24"/>
          <w14:textFill>
            <w14:solidFill>
              <w14:schemeClr w14:val="tx1"/>
            </w14:solidFill>
          </w14:textFill>
        </w:rPr>
        <w:t>延缓支付赎回款项”与其他基金份额持有人的赎回申请一并办理。如延期办理期限超过开放期的，开放期相应延长，延长的开放期内不办理申购，亦不接受新的赎回申请，即基金管理人仅为原开放期内因提交赎回申请超过基金总份额20%以上而被延期办理赎回的单个基金份额持有人办理赎回业务</w:t>
      </w:r>
      <w:r>
        <w:rPr>
          <w:bCs/>
          <w:color w:val="000000" w:themeColor="text1"/>
          <w:sz w:val="24"/>
          <w14:textFill>
            <w14:solidFill>
              <w14:schemeClr w14:val="tx1"/>
            </w14:solidFill>
          </w14:textFill>
        </w:rPr>
        <w:t>。</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3</w:t>
      </w: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巨额赎回的公告</w:t>
      </w:r>
    </w:p>
    <w:p>
      <w:pPr>
        <w:spacing w:line="360" w:lineRule="auto"/>
        <w:ind w:firstLine="480" w:firstLineChars="200"/>
        <w:rPr>
          <w:bCs/>
          <w:color w:val="000000" w:themeColor="text1"/>
          <w14:textFill>
            <w14:solidFill>
              <w14:schemeClr w14:val="tx1"/>
            </w14:solidFill>
          </w14:textFill>
        </w:rPr>
      </w:pPr>
      <w:r>
        <w:rPr>
          <w:bCs/>
          <w:color w:val="000000" w:themeColor="text1"/>
          <w:sz w:val="24"/>
          <w14:textFill>
            <w14:solidFill>
              <w14:schemeClr w14:val="tx1"/>
            </w14:solidFill>
          </w14:textFill>
        </w:rPr>
        <w:t>当发生上述</w:t>
      </w:r>
      <w:r>
        <w:rPr>
          <w:rFonts w:hint="eastAsia"/>
          <w:bCs/>
          <w:color w:val="000000" w:themeColor="text1"/>
          <w:sz w:val="24"/>
          <w14:textFill>
            <w14:solidFill>
              <w14:schemeClr w14:val="tx1"/>
            </w14:solidFill>
          </w14:textFill>
        </w:rPr>
        <w:t>巨额</w:t>
      </w:r>
      <w:r>
        <w:rPr>
          <w:bCs/>
          <w:color w:val="000000" w:themeColor="text1"/>
          <w:sz w:val="24"/>
          <w14:textFill>
            <w14:solidFill>
              <w14:schemeClr w14:val="tx1"/>
            </w14:solidFill>
          </w14:textFill>
        </w:rPr>
        <w:t>赎回并</w:t>
      </w:r>
      <w:r>
        <w:rPr>
          <w:rFonts w:hint="eastAsia"/>
          <w:bCs/>
          <w:color w:val="000000" w:themeColor="text1"/>
          <w:sz w:val="24"/>
          <w14:textFill>
            <w14:solidFill>
              <w14:schemeClr w14:val="tx1"/>
            </w14:solidFill>
          </w14:textFill>
        </w:rPr>
        <w:t>延缓支付赎回款项</w:t>
      </w:r>
      <w:r>
        <w:rPr>
          <w:bCs/>
          <w:color w:val="000000" w:themeColor="text1"/>
          <w:sz w:val="24"/>
          <w14:textFill>
            <w14:solidFill>
              <w14:schemeClr w14:val="tx1"/>
            </w14:solidFill>
          </w14:textFill>
        </w:rPr>
        <w:t>时，基金管理人应当通过邮寄、传真或者招募说明书规定的其他方式在</w:t>
      </w:r>
      <w:r>
        <w:rPr>
          <w:rFonts w:hint="eastAsia"/>
          <w:bCs/>
          <w:color w:val="000000" w:themeColor="text1"/>
          <w:sz w:val="24"/>
          <w14:textFill>
            <w14:solidFill>
              <w14:schemeClr w14:val="tx1"/>
            </w14:solidFill>
          </w14:textFill>
        </w:rPr>
        <w:t>3</w:t>
      </w:r>
      <w:r>
        <w:rPr>
          <w:bCs/>
          <w:color w:val="000000" w:themeColor="text1"/>
          <w:sz w:val="24"/>
          <w14:textFill>
            <w14:solidFill>
              <w14:schemeClr w14:val="tx1"/>
            </w14:solidFill>
          </w14:textFill>
        </w:rPr>
        <w:t>个交易日内通知基金份额持有人，说明有关处理方法，</w:t>
      </w:r>
      <w:r>
        <w:rPr>
          <w:rFonts w:hint="eastAsia"/>
          <w:bCs/>
          <w:color w:val="000000" w:themeColor="text1"/>
          <w:sz w:val="24"/>
          <w14:textFill>
            <w14:solidFill>
              <w14:schemeClr w14:val="tx1"/>
            </w14:solidFill>
          </w14:textFill>
        </w:rPr>
        <w:t>并根据《信息披露办法》的规定</w:t>
      </w:r>
      <w:r>
        <w:rPr>
          <w:bCs/>
          <w:color w:val="000000" w:themeColor="text1"/>
          <w:sz w:val="24"/>
          <w14:textFill>
            <w14:solidFill>
              <w14:schemeClr w14:val="tx1"/>
            </w14:solidFill>
          </w14:textFill>
        </w:rPr>
        <w:t>在</w:t>
      </w:r>
      <w:r>
        <w:rPr>
          <w:rFonts w:hint="eastAsia"/>
          <w:bCs/>
          <w:color w:val="000000" w:themeColor="text1"/>
          <w:sz w:val="24"/>
          <w14:textFill>
            <w14:solidFill>
              <w14:schemeClr w14:val="tx1"/>
            </w14:solidFill>
          </w14:textFill>
        </w:rPr>
        <w:t>规</w:t>
      </w:r>
      <w:r>
        <w:rPr>
          <w:bCs/>
          <w:color w:val="000000" w:themeColor="text1"/>
          <w:sz w:val="24"/>
          <w14:textFill>
            <w14:solidFill>
              <w14:schemeClr w14:val="tx1"/>
            </w14:solidFill>
          </w14:textFill>
        </w:rPr>
        <w:t>定</w:t>
      </w:r>
      <w:r>
        <w:rPr>
          <w:rFonts w:hint="eastAsia"/>
          <w:bCs/>
          <w:color w:val="000000" w:themeColor="text1"/>
          <w:sz w:val="24"/>
          <w14:textFill>
            <w14:solidFill>
              <w14:schemeClr w14:val="tx1"/>
            </w14:solidFill>
          </w14:textFill>
        </w:rPr>
        <w:t>媒介</w:t>
      </w:r>
      <w:r>
        <w:rPr>
          <w:bCs/>
          <w:color w:val="000000" w:themeColor="text1"/>
          <w:sz w:val="24"/>
          <w14:textFill>
            <w14:solidFill>
              <w14:schemeClr w14:val="tx1"/>
            </w14:solidFill>
          </w14:textFill>
        </w:rPr>
        <w:t>上刊登公告。</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十</w:t>
      </w: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暂停申购或赎回的公告和重新开放申购或赎回的公告</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w:t>
      </w: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发生上述暂停申购或赎回情况的，基金管理人应在规定期限内在</w:t>
      </w:r>
      <w:r>
        <w:rPr>
          <w:rFonts w:hint="eastAsia"/>
          <w:bCs/>
          <w:color w:val="000000" w:themeColor="text1"/>
          <w:sz w:val="24"/>
          <w14:textFill>
            <w14:solidFill>
              <w14:schemeClr w14:val="tx1"/>
            </w14:solidFill>
          </w14:textFill>
        </w:rPr>
        <w:t>规</w:t>
      </w:r>
      <w:r>
        <w:rPr>
          <w:bCs/>
          <w:color w:val="000000" w:themeColor="text1"/>
          <w:sz w:val="24"/>
          <w14:textFill>
            <w14:solidFill>
              <w14:schemeClr w14:val="tx1"/>
            </w14:solidFill>
          </w14:textFill>
        </w:rPr>
        <w:t>定</w:t>
      </w:r>
      <w:r>
        <w:rPr>
          <w:rFonts w:hint="eastAsia"/>
          <w:bCs/>
          <w:color w:val="000000" w:themeColor="text1"/>
          <w:sz w:val="24"/>
          <w14:textFill>
            <w14:solidFill>
              <w14:schemeClr w14:val="tx1"/>
            </w14:solidFill>
          </w14:textFill>
        </w:rPr>
        <w:t>媒介</w:t>
      </w:r>
      <w:r>
        <w:rPr>
          <w:bCs/>
          <w:color w:val="000000" w:themeColor="text1"/>
          <w:sz w:val="24"/>
          <w14:textFill>
            <w14:solidFill>
              <w14:schemeClr w14:val="tx1"/>
            </w14:solidFill>
          </w14:textFill>
        </w:rPr>
        <w:t>上刊登暂停公告。</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2</w:t>
      </w:r>
      <w:r>
        <w:rPr>
          <w:rFonts w:hint="eastAsia"/>
          <w:bCs/>
          <w:color w:val="000000" w:themeColor="text1"/>
          <w:sz w:val="24"/>
          <w14:textFill>
            <w14:solidFill>
              <w14:schemeClr w14:val="tx1"/>
            </w14:solidFill>
          </w14:textFill>
        </w:rPr>
        <w:t>、基金管理人可以根据暂停申购或赎回的时间，依照《信息披露办法》的有关规定，最迟于重新开放日在规定媒介上刊登重新开放申购或赎回的公告；也可以根据实际情况在暂停公告中明确重新开放申购或赎回的时间，届时不再另行发布重新开放的公告。</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3、以上暂停及恢复基金申购与赎回的公告规定，不适用于基金合同约定的封闭期与开放期运作方式转换引起的暂停或恢复申购与赎回的情形。</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十一</w:t>
      </w: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基金转换</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十二</w:t>
      </w: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基金的非交易过户</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基金的非交易过户是指基金登记机构受理继承、捐赠和司法强制执行</w:t>
      </w:r>
      <w:r>
        <w:rPr>
          <w:rFonts w:hint="eastAsia"/>
          <w:bCs/>
          <w:color w:val="000000" w:themeColor="text1"/>
          <w:sz w:val="24"/>
          <w14:textFill>
            <w14:solidFill>
              <w14:schemeClr w14:val="tx1"/>
            </w14:solidFill>
          </w14:textFill>
        </w:rPr>
        <w:t>等情形</w:t>
      </w:r>
      <w:r>
        <w:rPr>
          <w:bCs/>
          <w:color w:val="000000" w:themeColor="text1"/>
          <w:sz w:val="24"/>
          <w14:textFill>
            <w14:solidFill>
              <w14:schemeClr w14:val="tx1"/>
            </w14:solidFill>
          </w14:textFill>
        </w:rPr>
        <w:t>而产生的非交易过户以及登记机构认可、符合法律法规的其它非交易过户。无论在上述何种情况下，接受划转的主体必须是依法可以持有本基金基金份额的投资人。</w:t>
      </w:r>
    </w:p>
    <w:p>
      <w:pPr>
        <w:spacing w:line="360" w:lineRule="auto"/>
        <w:ind w:firstLine="480" w:firstLineChars="200"/>
        <w:rPr>
          <w:bCs/>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十三</w:t>
      </w: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基金的转托管</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基金份额持有人可办理已持有基金份额在不同销售机构之间的转托管，基金销售机构可以按照规定的标准收取转托管费。</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十四</w:t>
      </w: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基金份额的冻结和解冻</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基金登记机构只受理国家有权机关依法要求的基金份额的冻结与解冻，以及登记机构认可、符合法律法规的其他情况下的冻结与解冻。</w:t>
      </w:r>
      <w:r>
        <w:rPr>
          <w:rFonts w:hint="eastAsia"/>
          <w:bCs/>
          <w:color w:val="000000" w:themeColor="text1"/>
          <w:sz w:val="24"/>
          <w14:textFill>
            <w14:solidFill>
              <w14:schemeClr w14:val="tx1"/>
            </w14:solidFill>
          </w14:textFill>
        </w:rPr>
        <w:t>基金份额被冻结的，被冻结部分产生的权益一并冻结，被冻结部分份额仍然参与收益分配与支付。法律法规另有规定的除外。</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十五、</w:t>
      </w:r>
      <w:r>
        <w:rPr>
          <w:bCs/>
          <w:color w:val="000000" w:themeColor="text1"/>
          <w:sz w:val="24"/>
          <w14:textFill>
            <w14:solidFill>
              <w14:schemeClr w14:val="tx1"/>
            </w14:solidFill>
          </w14:textFill>
        </w:rPr>
        <w:t>基金份额的转让</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十六、实施侧袋机制期间本基金的申购与赎回</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本基金实施侧袋机制的，本基金的申购和赎回安排详见招募说明书或相关公告。</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十七、在不违反法律法规且对基金份额持有人利益无实质不利影响的前提下，基金管理人可根据具体情况对上述申购和赎回以及相关业务的安排进行补充和调整，或者办理基金份额的转让、过户、质押等业务，届时无须召开基金份额持有人大会审议但须提前公告。</w:t>
      </w:r>
    </w:p>
    <w:p>
      <w:pPr>
        <w:pStyle w:val="2"/>
        <w:spacing w:before="0" w:after="0"/>
        <w:jc w:val="center"/>
        <w:rPr>
          <w:rFonts w:ascii="Times New Roman"/>
          <w:color w:val="000000" w:themeColor="text1"/>
          <w:sz w:val="30"/>
          <w14:textFill>
            <w14:solidFill>
              <w14:schemeClr w14:val="tx1"/>
            </w14:solidFill>
          </w14:textFill>
        </w:rPr>
      </w:pPr>
      <w:r>
        <w:rPr>
          <w:rFonts w:ascii="Times New Roman"/>
          <w:b w:val="0"/>
          <w:bCs/>
          <w:color w:val="000000" w:themeColor="text1"/>
          <w14:textFill>
            <w14:solidFill>
              <w14:schemeClr w14:val="tx1"/>
            </w14:solidFill>
          </w14:textFill>
        </w:rPr>
        <w:br w:type="page"/>
      </w:r>
      <w:bookmarkStart w:id="128" w:name="_Toc29251"/>
      <w:bookmarkStart w:id="129" w:name="_Toc26207"/>
      <w:bookmarkStart w:id="130" w:name="_Toc14835"/>
      <w:bookmarkStart w:id="131" w:name="_Toc95997118"/>
      <w:bookmarkStart w:id="132" w:name="_Toc123112235"/>
      <w:bookmarkStart w:id="133" w:name="_Toc98560353"/>
      <w:bookmarkStart w:id="134" w:name="_Toc15143"/>
      <w:bookmarkStart w:id="135" w:name="_Toc123102454"/>
      <w:bookmarkStart w:id="136" w:name="_Toc12245"/>
      <w:bookmarkStart w:id="137" w:name="_Toc31235"/>
      <w:bookmarkStart w:id="138" w:name="_Toc31653"/>
      <w:bookmarkStart w:id="139" w:name="_Toc3601"/>
      <w:bookmarkStart w:id="140" w:name="_Toc139991737"/>
      <w:bookmarkStart w:id="141" w:name="_Toc123051453"/>
      <w:bookmarkStart w:id="142" w:name="_Toc31644"/>
      <w:bookmarkStart w:id="143" w:name="_Toc141703887"/>
      <w:bookmarkStart w:id="144" w:name="_Toc6405"/>
      <w:r>
        <w:rPr>
          <w:rFonts w:ascii="Times New Roman"/>
          <w:color w:val="000000" w:themeColor="text1"/>
          <w:sz w:val="30"/>
          <w14:textFill>
            <w14:solidFill>
              <w14:schemeClr w14:val="tx1"/>
            </w14:solidFill>
          </w14:textFill>
        </w:rPr>
        <w:t>第七部分  基金合同当事人及权利义务</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Start w:id="145" w:name="_Hlt55355235"/>
      <w:bookmarkEnd w:id="145"/>
      <w:bookmarkStart w:id="146" w:name="_Toc523711668"/>
      <w:bookmarkStart w:id="147" w:name="_Toc15118234"/>
      <w:bookmarkStart w:id="148" w:name="_Toc79392580"/>
      <w:bookmarkStart w:id="149" w:name="_Toc57530239"/>
    </w:p>
    <w:p>
      <w:pPr>
        <w:spacing w:line="360" w:lineRule="auto"/>
        <w:ind w:firstLine="480" w:firstLineChars="200"/>
        <w:rPr>
          <w:bCs/>
          <w:color w:val="000000" w:themeColor="text1"/>
          <w:sz w:val="24"/>
          <w14:textFill>
            <w14:solidFill>
              <w14:schemeClr w14:val="tx1"/>
            </w14:solidFill>
          </w14:textFill>
        </w:rPr>
      </w:pP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一、基金</w:t>
      </w:r>
      <w:bookmarkEnd w:id="146"/>
      <w:r>
        <w:rPr>
          <w:bCs/>
          <w:color w:val="000000" w:themeColor="text1"/>
          <w:sz w:val="24"/>
          <w14:textFill>
            <w14:solidFill>
              <w14:schemeClr w14:val="tx1"/>
            </w14:solidFill>
          </w14:textFill>
        </w:rPr>
        <w:t>管理人</w:t>
      </w:r>
      <w:bookmarkEnd w:id="147"/>
      <w:bookmarkEnd w:id="148"/>
      <w:bookmarkEnd w:id="149"/>
      <w:bookmarkStart w:id="150" w:name="_Toc15118235"/>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（一）</w:t>
      </w:r>
      <w:r>
        <w:rPr>
          <w:bCs/>
          <w:color w:val="000000" w:themeColor="text1"/>
          <w:sz w:val="24"/>
          <w14:textFill>
            <w14:solidFill>
              <w14:schemeClr w14:val="tx1"/>
            </w14:solidFill>
          </w14:textFill>
        </w:rPr>
        <w:t>基金管理人简况</w:t>
      </w:r>
      <w:bookmarkEnd w:id="150"/>
    </w:p>
    <w:p>
      <w:pPr>
        <w:spacing w:line="360" w:lineRule="auto"/>
        <w:ind w:firstLine="480" w:firstLineChars="200"/>
        <w:rPr>
          <w:bCs/>
          <w:color w:val="000000" w:themeColor="text1"/>
          <w:sz w:val="24"/>
          <w14:textFill>
            <w14:solidFill>
              <w14:schemeClr w14:val="tx1"/>
            </w14:solidFill>
          </w14:textFill>
        </w:rPr>
      </w:pPr>
      <w:bookmarkStart w:id="151" w:name="_Toc15118236"/>
      <w:bookmarkStart w:id="152" w:name="_Toc15118237"/>
      <w:r>
        <w:rPr>
          <w:bCs/>
          <w:color w:val="000000" w:themeColor="text1"/>
          <w:sz w:val="24"/>
          <w14:textFill>
            <w14:solidFill>
              <w14:schemeClr w14:val="tx1"/>
            </w14:solidFill>
          </w14:textFill>
        </w:rPr>
        <w:t>名称：</w:t>
      </w:r>
      <w:bookmarkEnd w:id="151"/>
      <w:r>
        <w:rPr>
          <w:rFonts w:hint="eastAsia"/>
          <w:bCs/>
          <w:color w:val="000000" w:themeColor="text1"/>
          <w:sz w:val="24"/>
          <w:lang w:eastAsia="zh-CN"/>
          <w14:textFill>
            <w14:solidFill>
              <w14:schemeClr w14:val="tx1"/>
            </w14:solidFill>
          </w14:textFill>
        </w:rPr>
        <w:t>国新国证</w:t>
      </w:r>
      <w:r>
        <w:rPr>
          <w:rFonts w:hint="eastAsia"/>
          <w:bCs/>
          <w:color w:val="000000" w:themeColor="text1"/>
          <w:sz w:val="24"/>
          <w14:textFill>
            <w14:solidFill>
              <w14:schemeClr w14:val="tx1"/>
            </w14:solidFill>
          </w14:textFill>
        </w:rPr>
        <w:t>基金管理有限公司</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住所：</w:t>
      </w:r>
      <w:r>
        <w:rPr>
          <w:rFonts w:hint="eastAsia"/>
          <w:bCs/>
          <w:color w:val="000000" w:themeColor="text1"/>
          <w:sz w:val="24"/>
          <w14:textFill>
            <w14:solidFill>
              <w14:schemeClr w14:val="tx1"/>
            </w14:solidFill>
          </w14:textFill>
        </w:rPr>
        <w:t>中国（河北）自由贸易试验区雄安片区容城县雄安市民服务中心企业办公区</w:t>
      </w:r>
      <w:r>
        <w:rPr>
          <w:bCs/>
          <w:color w:val="000000" w:themeColor="text1"/>
          <w:sz w:val="24"/>
          <w14:textFill>
            <w14:solidFill>
              <w14:schemeClr w14:val="tx1"/>
            </w14:solidFill>
          </w14:textFill>
        </w:rPr>
        <w:t>A</w:t>
      </w:r>
      <w:r>
        <w:rPr>
          <w:rFonts w:hint="eastAsia"/>
          <w:bCs/>
          <w:color w:val="000000" w:themeColor="text1"/>
          <w:sz w:val="24"/>
          <w14:textFill>
            <w14:solidFill>
              <w14:schemeClr w14:val="tx1"/>
            </w14:solidFill>
          </w14:textFill>
        </w:rPr>
        <w:t>栋一层</w:t>
      </w:r>
      <w:r>
        <w:rPr>
          <w:bCs/>
          <w:color w:val="000000" w:themeColor="text1"/>
          <w:sz w:val="24"/>
          <w14:textFill>
            <w14:solidFill>
              <w14:schemeClr w14:val="tx1"/>
            </w14:solidFill>
          </w14:textFill>
        </w:rPr>
        <w:t>108</w:t>
      </w:r>
      <w:r>
        <w:rPr>
          <w:rFonts w:hint="eastAsia"/>
          <w:bCs/>
          <w:color w:val="000000" w:themeColor="text1"/>
          <w:sz w:val="24"/>
          <w14:textFill>
            <w14:solidFill>
              <w14:schemeClr w14:val="tx1"/>
            </w14:solidFill>
          </w14:textFill>
        </w:rPr>
        <w:t>单元</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法定代表人：</w:t>
      </w:r>
      <w:r>
        <w:rPr>
          <w:rFonts w:hint="eastAsia"/>
          <w:bCs/>
          <w:color w:val="000000" w:themeColor="text1"/>
          <w:sz w:val="24"/>
          <w:szCs w:val="22"/>
          <w14:textFill>
            <w14:solidFill>
              <w14:schemeClr w14:val="tx1"/>
            </w14:solidFill>
          </w14:textFill>
        </w:rPr>
        <w:t>杨铭海</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设立日期：</w:t>
      </w:r>
      <w:r>
        <w:rPr>
          <w:bCs/>
          <w:color w:val="000000" w:themeColor="text1"/>
          <w:sz w:val="24"/>
          <w:szCs w:val="22"/>
          <w14:textFill>
            <w14:solidFill>
              <w14:schemeClr w14:val="tx1"/>
            </w14:solidFill>
          </w14:textFill>
        </w:rPr>
        <w:t>2019</w:t>
      </w:r>
      <w:r>
        <w:rPr>
          <w:rFonts w:hint="eastAsia"/>
          <w:bCs/>
          <w:color w:val="000000" w:themeColor="text1"/>
          <w:sz w:val="24"/>
          <w:szCs w:val="22"/>
          <w14:textFill>
            <w14:solidFill>
              <w14:schemeClr w14:val="tx1"/>
            </w14:solidFill>
          </w14:textFill>
        </w:rPr>
        <w:t>年</w:t>
      </w:r>
      <w:r>
        <w:rPr>
          <w:bCs/>
          <w:color w:val="000000" w:themeColor="text1"/>
          <w:sz w:val="24"/>
          <w:szCs w:val="22"/>
          <w14:textFill>
            <w14:solidFill>
              <w14:schemeClr w14:val="tx1"/>
            </w14:solidFill>
          </w14:textFill>
        </w:rPr>
        <w:t>3</w:t>
      </w:r>
      <w:r>
        <w:rPr>
          <w:rFonts w:hint="eastAsia"/>
          <w:bCs/>
          <w:color w:val="000000" w:themeColor="text1"/>
          <w:sz w:val="24"/>
          <w:szCs w:val="22"/>
          <w14:textFill>
            <w14:solidFill>
              <w14:schemeClr w14:val="tx1"/>
            </w14:solidFill>
          </w14:textFill>
        </w:rPr>
        <w:t>月</w:t>
      </w:r>
      <w:r>
        <w:rPr>
          <w:bCs/>
          <w:color w:val="000000" w:themeColor="text1"/>
          <w:sz w:val="24"/>
          <w:szCs w:val="22"/>
          <w14:textFill>
            <w14:solidFill>
              <w14:schemeClr w14:val="tx1"/>
            </w14:solidFill>
          </w14:textFill>
        </w:rPr>
        <w:t>1</w:t>
      </w:r>
      <w:r>
        <w:rPr>
          <w:rFonts w:hint="eastAsia"/>
          <w:bCs/>
          <w:color w:val="000000" w:themeColor="text1"/>
          <w:sz w:val="24"/>
          <w:szCs w:val="22"/>
          <w14:textFill>
            <w14:solidFill>
              <w14:schemeClr w14:val="tx1"/>
            </w14:solidFill>
          </w14:textFill>
        </w:rPr>
        <w:t>日</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批准设立机关及批准设立文号：</w:t>
      </w:r>
      <w:r>
        <w:rPr>
          <w:rFonts w:hint="eastAsia" w:ascii="宋体" w:hAnsi="宋体"/>
          <w:bCs/>
          <w:color w:val="000000" w:themeColor="text1"/>
          <w:sz w:val="24"/>
          <w:szCs w:val="24"/>
          <w14:textFill>
            <w14:solidFill>
              <w14:schemeClr w14:val="tx1"/>
            </w14:solidFill>
          </w14:textFill>
        </w:rPr>
        <w:t>中国证监会证监许可</w:t>
      </w:r>
      <w:r>
        <w:rPr>
          <w:rFonts w:ascii="宋体" w:hAnsi="宋体"/>
          <w:bCs/>
          <w:color w:val="000000" w:themeColor="text1"/>
          <w:sz w:val="24"/>
          <w:szCs w:val="24"/>
          <w14:textFill>
            <w14:solidFill>
              <w14:schemeClr w14:val="tx1"/>
            </w14:solidFill>
          </w14:textFill>
        </w:rPr>
        <w:t>[2018]2163</w:t>
      </w:r>
      <w:r>
        <w:rPr>
          <w:rFonts w:hint="eastAsia" w:ascii="宋体" w:hAnsi="宋体"/>
          <w:bCs/>
          <w:color w:val="000000" w:themeColor="text1"/>
          <w:sz w:val="24"/>
          <w:szCs w:val="24"/>
          <w14:textFill>
            <w14:solidFill>
              <w14:schemeClr w14:val="tx1"/>
            </w14:solidFill>
          </w14:textFill>
        </w:rPr>
        <w:t>号</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组织形式：</w:t>
      </w:r>
      <w:r>
        <w:rPr>
          <w:rFonts w:hint="eastAsia"/>
          <w:bCs/>
          <w:color w:val="000000" w:themeColor="text1"/>
          <w:sz w:val="24"/>
          <w14:textFill>
            <w14:solidFill>
              <w14:schemeClr w14:val="tx1"/>
            </w14:solidFill>
          </w14:textFill>
        </w:rPr>
        <w:t>有限责任公司</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注册资本：</w:t>
      </w:r>
      <w:r>
        <w:rPr>
          <w:rFonts w:hint="eastAsia"/>
          <w:bCs/>
          <w:color w:val="000000" w:themeColor="text1"/>
          <w:sz w:val="24"/>
          <w14:textFill>
            <w14:solidFill>
              <w14:schemeClr w14:val="tx1"/>
            </w14:solidFill>
          </w14:textFill>
        </w:rPr>
        <w:t>人民币贰亿元整</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存续期限：</w:t>
      </w:r>
      <w:r>
        <w:rPr>
          <w:rFonts w:hint="eastAsia"/>
          <w:bCs/>
          <w:color w:val="000000" w:themeColor="text1"/>
          <w:sz w:val="24"/>
          <w14:textFill>
            <w14:solidFill>
              <w14:schemeClr w14:val="tx1"/>
            </w14:solidFill>
          </w14:textFill>
        </w:rPr>
        <w:t>永续经营</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联系电话：</w:t>
      </w:r>
      <w:r>
        <w:rPr>
          <w:bCs/>
          <w:color w:val="000000" w:themeColor="text1"/>
          <w:sz w:val="24"/>
          <w:szCs w:val="22"/>
          <w14:textFill>
            <w14:solidFill>
              <w14:schemeClr w14:val="tx1"/>
            </w14:solidFill>
          </w14:textFill>
        </w:rPr>
        <w:t>400-819-0789</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（二）</w:t>
      </w:r>
      <w:r>
        <w:rPr>
          <w:bCs/>
          <w:color w:val="000000" w:themeColor="text1"/>
          <w:sz w:val="24"/>
          <w14:textFill>
            <w14:solidFill>
              <w14:schemeClr w14:val="tx1"/>
            </w14:solidFill>
          </w14:textFill>
        </w:rPr>
        <w:t>基金管理人的权利与义务</w:t>
      </w:r>
      <w:bookmarkEnd w:id="152"/>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1、根据《基金法》、《运作办法》及其他有关规定，基金管理人的权利包括但不限于：</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（1）依法募集</w:t>
      </w:r>
      <w:r>
        <w:rPr>
          <w:rFonts w:hint="eastAsia"/>
          <w:bCs/>
          <w:color w:val="000000" w:themeColor="text1"/>
          <w:sz w:val="24"/>
          <w14:textFill>
            <w14:solidFill>
              <w14:schemeClr w14:val="tx1"/>
            </w14:solidFill>
          </w14:textFill>
        </w:rPr>
        <w:t>资</w:t>
      </w:r>
      <w:r>
        <w:rPr>
          <w:bCs/>
          <w:color w:val="000000" w:themeColor="text1"/>
          <w:sz w:val="24"/>
          <w14:textFill>
            <w14:solidFill>
              <w14:schemeClr w14:val="tx1"/>
            </w14:solidFill>
          </w14:textFill>
        </w:rPr>
        <w:t>金；</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（2）自《基金合同》生效之日起，根据法律法规和《基金合同》独立运用并管理基金财产；</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（3）依照《基金合同》收取基金管理费以及法律法规规定或中国证监会批准的其他费用；</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（4）销售基金份额；</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（5）</w:t>
      </w:r>
      <w:bookmarkStart w:id="153" w:name="_Hlt88896155"/>
      <w:r>
        <w:rPr>
          <w:rFonts w:hint="eastAsia"/>
          <w:bCs/>
          <w:color w:val="000000" w:themeColor="text1"/>
          <w:sz w:val="24"/>
          <w14:textFill>
            <w14:solidFill>
              <w14:schemeClr w14:val="tx1"/>
            </w14:solidFill>
          </w14:textFill>
        </w:rPr>
        <w:t>按照规定</w:t>
      </w:r>
      <w:r>
        <w:rPr>
          <w:bCs/>
          <w:color w:val="000000" w:themeColor="text1"/>
          <w:sz w:val="24"/>
          <w14:textFill>
            <w14:solidFill>
              <w14:schemeClr w14:val="tx1"/>
            </w14:solidFill>
          </w14:textFill>
        </w:rPr>
        <w:t>召集</w:t>
      </w:r>
      <w:bookmarkEnd w:id="153"/>
      <w:r>
        <w:rPr>
          <w:bCs/>
          <w:color w:val="000000" w:themeColor="text1"/>
          <w:sz w:val="24"/>
          <w14:textFill>
            <w14:solidFill>
              <w14:schemeClr w14:val="tx1"/>
            </w14:solidFill>
          </w14:textFill>
        </w:rPr>
        <w:t>基金份额持有人大会；</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（6）依据《基金合同》及有关法律规定监督基金托管人，如认为基金托管人违反了《基金合同》及国家有关法律规定，应呈报中国证监会和其他监管部门，并采取必要措施保护基金投资者的利益；</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（7）在基金托管人更换时，提名新的基金托管人；</w:t>
      </w:r>
    </w:p>
    <w:p>
      <w:pPr>
        <w:spacing w:line="440" w:lineRule="atLeast"/>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（8）选择、更换基金销售机构，对基金销售机构的相关行为进行监督和处理；</w:t>
      </w:r>
    </w:p>
    <w:p>
      <w:pPr>
        <w:spacing w:line="440" w:lineRule="atLeast"/>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（9）担任或委托其他符合条件的机构担任基金登记机构办理基金登记业务并获得《基金合同》规定的费用；</w:t>
      </w:r>
    </w:p>
    <w:p>
      <w:pPr>
        <w:spacing w:line="440" w:lineRule="atLeast"/>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（10）依据《基金合同》及有关法律规定决定基金收益的分配方案；</w:t>
      </w:r>
    </w:p>
    <w:p>
      <w:pPr>
        <w:spacing w:line="440" w:lineRule="atLeast"/>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（11）在《基金合同》约定的范围内，拒绝或暂停受理申购</w:t>
      </w: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赎回或转换申请；</w:t>
      </w:r>
    </w:p>
    <w:p>
      <w:pPr>
        <w:spacing w:line="440" w:lineRule="atLeast"/>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（12）依照法律法规为基金的利益对被投资公司行使</w:t>
      </w:r>
      <w:r>
        <w:rPr>
          <w:rFonts w:hint="eastAsia"/>
          <w:bCs/>
          <w:color w:val="000000" w:themeColor="text1"/>
          <w:sz w:val="24"/>
          <w14:textFill>
            <w14:solidFill>
              <w14:schemeClr w14:val="tx1"/>
            </w14:solidFill>
          </w14:textFill>
        </w:rPr>
        <w:t>证券持有人</w:t>
      </w:r>
      <w:r>
        <w:rPr>
          <w:bCs/>
          <w:color w:val="000000" w:themeColor="text1"/>
          <w:sz w:val="24"/>
          <w14:textFill>
            <w14:solidFill>
              <w14:schemeClr w14:val="tx1"/>
            </w14:solidFill>
          </w14:textFill>
        </w:rPr>
        <w:t>权利，为基金的利益行使因基金财产投资于证券所产生的权利；</w:t>
      </w:r>
    </w:p>
    <w:p>
      <w:pPr>
        <w:spacing w:line="440" w:lineRule="atLeast"/>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 xml:space="preserve">（13）在法律法规允许的前提下，为基金的利益依法为基金进行融资； </w:t>
      </w:r>
    </w:p>
    <w:p>
      <w:pPr>
        <w:spacing w:line="440" w:lineRule="atLeast"/>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（14）以基金管理人的名义，代表基金份额持有人的利益行使诉讼权利或者实施其他法律行为；</w:t>
      </w:r>
    </w:p>
    <w:p>
      <w:pPr>
        <w:spacing w:line="440" w:lineRule="atLeast"/>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（15）选择、更换律师事务所、会计师事务所、证券经纪商或其他为基金提供服务的外部机构；</w:t>
      </w:r>
    </w:p>
    <w:p>
      <w:pPr>
        <w:spacing w:line="440" w:lineRule="atLeast"/>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（16）在符合有关法律、法规的前提下，制订和调整有关基金认购、申购、赎回、转换和非交易过户</w:t>
      </w:r>
      <w:r>
        <w:rPr>
          <w:rFonts w:hint="eastAsia"/>
          <w:bCs/>
          <w:color w:val="000000" w:themeColor="text1"/>
          <w:sz w:val="24"/>
          <w14:textFill>
            <w14:solidFill>
              <w14:schemeClr w14:val="tx1"/>
            </w14:solidFill>
          </w14:textFill>
        </w:rPr>
        <w:t>等</w:t>
      </w:r>
      <w:r>
        <w:rPr>
          <w:bCs/>
          <w:color w:val="000000" w:themeColor="text1"/>
          <w:sz w:val="24"/>
          <w14:textFill>
            <w14:solidFill>
              <w14:schemeClr w14:val="tx1"/>
            </w14:solidFill>
          </w14:textFill>
        </w:rPr>
        <w:t>业务规则；</w:t>
      </w:r>
    </w:p>
    <w:p>
      <w:pPr>
        <w:spacing w:line="440" w:lineRule="atLeast"/>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（17）法律法规及中国证监会规定的和《基金合同》约定的其他权利。</w:t>
      </w:r>
    </w:p>
    <w:p>
      <w:pPr>
        <w:spacing w:line="440" w:lineRule="atLeast"/>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2、根据《基金法》、《运作办法》及其他有关规定，基金管理人的义务包括但不限于：</w:t>
      </w:r>
    </w:p>
    <w:p>
      <w:pPr>
        <w:spacing w:line="440" w:lineRule="atLeast"/>
        <w:ind w:firstLine="480" w:firstLineChars="200"/>
        <w:rPr>
          <w:bCs/>
          <w:color w:val="000000" w:themeColor="text1"/>
          <w:sz w:val="24"/>
          <w14:textFill>
            <w14:solidFill>
              <w14:schemeClr w14:val="tx1"/>
            </w14:solidFill>
          </w14:textFill>
        </w:rPr>
      </w:pPr>
      <w:bookmarkStart w:id="154" w:name="_Toc523711669"/>
      <w:r>
        <w:rPr>
          <w:bCs/>
          <w:color w:val="000000" w:themeColor="text1"/>
          <w:sz w:val="24"/>
          <w14:textFill>
            <w14:solidFill>
              <w14:schemeClr w14:val="tx1"/>
            </w14:solidFill>
          </w14:textFill>
        </w:rPr>
        <w:t>（1）依法募集</w:t>
      </w:r>
      <w:r>
        <w:rPr>
          <w:rFonts w:hint="eastAsia"/>
          <w:bCs/>
          <w:color w:val="000000" w:themeColor="text1"/>
          <w:sz w:val="24"/>
          <w14:textFill>
            <w14:solidFill>
              <w14:schemeClr w14:val="tx1"/>
            </w14:solidFill>
          </w14:textFill>
        </w:rPr>
        <w:t>资</w:t>
      </w:r>
      <w:r>
        <w:rPr>
          <w:bCs/>
          <w:color w:val="000000" w:themeColor="text1"/>
          <w:sz w:val="24"/>
          <w14:textFill>
            <w14:solidFill>
              <w14:schemeClr w14:val="tx1"/>
            </w14:solidFill>
          </w14:textFill>
        </w:rPr>
        <w:t>金，办理或者委托经中国证监会认定的其他机构代为办理基金份额的发售、申购、赎回和登记事宜；</w:t>
      </w:r>
    </w:p>
    <w:p>
      <w:pPr>
        <w:spacing w:line="440" w:lineRule="atLeast"/>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（2）办理基金备案手续；</w:t>
      </w:r>
    </w:p>
    <w:p>
      <w:pPr>
        <w:spacing w:line="440" w:lineRule="atLeast"/>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（3）自《基金合同》生效之日起,以诚实信用、谨慎勤勉的原则管理和运用基金财产；</w:t>
      </w:r>
    </w:p>
    <w:p>
      <w:pPr>
        <w:spacing w:line="440" w:lineRule="atLeast"/>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（4）配备足够的具有专业资格的人员进行基金投资分析、决策，以专业化的经营方式管理和运作基金财产；</w:t>
      </w:r>
    </w:p>
    <w:p>
      <w:pPr>
        <w:spacing w:line="440" w:lineRule="atLeast"/>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（5）建立健全内部风险控制、监察与稽核、财务管理及人事管理等制度，保证所管理的基金财产和基金管理人的财产相互独立,对所管理的不同基金分别管理，分别记账，进行证券投资；</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（6）除依据《基金法》、《基金合同》及其他有关规定外,不得利用基金财产为自己及任何第三人谋取利益，不得委托第三人运作基金财产；</w:t>
      </w:r>
      <w:bookmarkStart w:id="155" w:name="_Hlt88897298"/>
      <w:bookmarkEnd w:id="155"/>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（7）依法接受基金托管人的监督；</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（8）采取适当合理的措施使计算基金份额认购、申购、赎回和注销价格的方法符合《基金合同》等法律文件的规定，按有关规定计算并公告基金净值信息，确定基金份额申购、赎回的价格；</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（9）进行基金会计核算并编制基金财务会计报告；</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（10）编制季度报告、</w:t>
      </w:r>
      <w:r>
        <w:rPr>
          <w:rFonts w:hint="eastAsia"/>
          <w:bCs/>
          <w:color w:val="000000" w:themeColor="text1"/>
          <w:sz w:val="24"/>
          <w14:textFill>
            <w14:solidFill>
              <w14:schemeClr w14:val="tx1"/>
            </w14:solidFill>
          </w14:textFill>
        </w:rPr>
        <w:t>中期报告</w:t>
      </w:r>
      <w:r>
        <w:rPr>
          <w:bCs/>
          <w:color w:val="000000" w:themeColor="text1"/>
          <w:sz w:val="24"/>
          <w14:textFill>
            <w14:solidFill>
              <w14:schemeClr w14:val="tx1"/>
            </w14:solidFill>
          </w14:textFill>
        </w:rPr>
        <w:t>和年度报告；</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（11）严格按照《基金法》、</w:t>
      </w:r>
      <w:r>
        <w:rPr>
          <w:rFonts w:hint="eastAsia"/>
          <w:bCs/>
          <w:color w:val="000000" w:themeColor="text1"/>
          <w:sz w:val="24"/>
          <w14:textFill>
            <w14:solidFill>
              <w14:schemeClr w14:val="tx1"/>
            </w14:solidFill>
          </w14:textFill>
        </w:rPr>
        <w:t>《信息披露办法》、</w:t>
      </w:r>
      <w:r>
        <w:rPr>
          <w:bCs/>
          <w:color w:val="000000" w:themeColor="text1"/>
          <w:sz w:val="24"/>
          <w14:textFill>
            <w14:solidFill>
              <w14:schemeClr w14:val="tx1"/>
            </w14:solidFill>
          </w14:textFill>
        </w:rPr>
        <w:t>《基金合同》及其他有关规定，履行信息披露及报告义务；</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（12）保守基金商业秘密，不泄露基金投资计划、投资意向等。除《基金法》、</w:t>
      </w:r>
      <w:r>
        <w:rPr>
          <w:rFonts w:hint="eastAsia"/>
          <w:bCs/>
          <w:color w:val="000000" w:themeColor="text1"/>
          <w:sz w:val="24"/>
          <w14:textFill>
            <w14:solidFill>
              <w14:schemeClr w14:val="tx1"/>
            </w14:solidFill>
          </w14:textFill>
        </w:rPr>
        <w:t>《信息披露办法》、</w:t>
      </w:r>
      <w:r>
        <w:rPr>
          <w:bCs/>
          <w:color w:val="000000" w:themeColor="text1"/>
          <w:sz w:val="24"/>
          <w14:textFill>
            <w14:solidFill>
              <w14:schemeClr w14:val="tx1"/>
            </w14:solidFill>
          </w14:textFill>
        </w:rPr>
        <w:t>《基金合同》及其他有关规定另有规定外，在基金信息公开披露前应予保密，不向他人泄露；</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（13）按《基金合同》的约定确定基金收益分配方案，及时向基金份额持有人分配基金收益；</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（14）按规定受理申购与赎回申请，及时、足额支付赎回款项；</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（15）依据《基金法》、《基金合同》及其他有关规定召集基金份额持有人大会或配合基金托管人、基金份额持有人依法召集基金份额持有人大会；</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（16）按规定保存基金财产管理业务活动的会计账册、报表、记录和其他相关资料</w:t>
      </w:r>
      <w:r>
        <w:rPr>
          <w:rFonts w:hint="eastAsia"/>
          <w:bCs/>
          <w:color w:val="000000" w:themeColor="text1"/>
          <w:sz w:val="24"/>
          <w14:textFill>
            <w14:solidFill>
              <w14:schemeClr w14:val="tx1"/>
            </w14:solidFill>
          </w14:textFill>
        </w:rPr>
        <w:t>，保存期限不低于法律法规规定的最低期限</w:t>
      </w:r>
      <w:r>
        <w:rPr>
          <w:bCs/>
          <w:color w:val="000000" w:themeColor="text1"/>
          <w:sz w:val="24"/>
          <w14:textFill>
            <w14:solidFill>
              <w14:schemeClr w14:val="tx1"/>
            </w14:solidFill>
          </w14:textFill>
        </w:rPr>
        <w:t>；</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（18）组织并参加基金财产清算小组,参与基金财产的保管、清理、估价、变现和分配；</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（19）面临解散、依法被撤销或者被依法宣告破产时，及时报告中国证监会并通知基金托管人；</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（20）因违反《基金合同》导致基金财产的损失或损害基金份额持有人合法权益时，应当承担赔偿责任，其赔偿责任不因其退任而免除；</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（21）监督基金托管人按法律法规和《基金合同》规定履行自己的义务，基金托管人违反《基金合同》造成基金财产损失时，基金管理人应为基金份额持有人利益向基金托管人追偿；</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（22）当基金管理人将其义务委托第三方处理时，应当对第三方处理有关基金事务的行为承担责任；</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（23）以基金管理人名义，代表基金份额持有人利益行使诉讼权利或实施其他法律行为；</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（24）基金在募集期间未能达到基金</w:t>
      </w:r>
      <w:bookmarkStart w:id="156" w:name="_Hlt88823209"/>
      <w:bookmarkEnd w:id="156"/>
      <w:r>
        <w:rPr>
          <w:bCs/>
          <w:color w:val="000000" w:themeColor="text1"/>
          <w:sz w:val="24"/>
          <w14:textFill>
            <w14:solidFill>
              <w14:schemeClr w14:val="tx1"/>
            </w14:solidFill>
          </w14:textFill>
        </w:rPr>
        <w:t>的备案条件，《基金合同》不能生效，基金管理人承担全部募集费用，将已募集资金并加计银行同期活期存款利息在基金募集期结束后</w:t>
      </w:r>
      <w:r>
        <w:rPr>
          <w:rFonts w:hint="eastAsia"/>
          <w:bCs/>
          <w:color w:val="000000" w:themeColor="text1"/>
          <w:sz w:val="24"/>
          <w14:textFill>
            <w14:solidFill>
              <w14:schemeClr w14:val="tx1"/>
            </w14:solidFill>
          </w14:textFill>
        </w:rPr>
        <w:t>30</w:t>
      </w:r>
      <w:r>
        <w:rPr>
          <w:bCs/>
          <w:color w:val="000000" w:themeColor="text1"/>
          <w:sz w:val="24"/>
          <w14:textFill>
            <w14:solidFill>
              <w14:schemeClr w14:val="tx1"/>
            </w14:solidFill>
          </w14:textFill>
        </w:rPr>
        <w:t>日内退还基金认购人；</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（25）执行生效的基金份额持有人大会的</w:t>
      </w:r>
      <w:r>
        <w:rPr>
          <w:rFonts w:hint="eastAsia"/>
          <w:bCs/>
          <w:color w:val="000000" w:themeColor="text1"/>
          <w:sz w:val="24"/>
          <w14:textFill>
            <w14:solidFill>
              <w14:schemeClr w14:val="tx1"/>
            </w14:solidFill>
          </w14:textFill>
        </w:rPr>
        <w:t>决议</w:t>
      </w:r>
      <w:r>
        <w:rPr>
          <w:bCs/>
          <w:color w:val="000000" w:themeColor="text1"/>
          <w:sz w:val="24"/>
          <w14:textFill>
            <w14:solidFill>
              <w14:schemeClr w14:val="tx1"/>
            </w14:solidFill>
          </w14:textFill>
        </w:rPr>
        <w:t>；</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（26）建立并保存基金份额持有人名册；</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（27）法律法规及中国证监会规定的和《基金合同》约定的其他义务。</w:t>
      </w:r>
    </w:p>
    <w:p>
      <w:pPr>
        <w:spacing w:line="360" w:lineRule="auto"/>
        <w:ind w:firstLine="480" w:firstLineChars="200"/>
        <w:rPr>
          <w:bCs/>
          <w:color w:val="000000" w:themeColor="text1"/>
          <w:sz w:val="24"/>
          <w14:textFill>
            <w14:solidFill>
              <w14:schemeClr w14:val="tx1"/>
            </w14:solidFill>
          </w14:textFill>
        </w:rPr>
      </w:pPr>
      <w:bookmarkStart w:id="157" w:name="_Toc79392581"/>
      <w:bookmarkStart w:id="158" w:name="_Toc57530240"/>
      <w:bookmarkStart w:id="159" w:name="_Toc15118238"/>
      <w:r>
        <w:rPr>
          <w:bCs/>
          <w:color w:val="000000" w:themeColor="text1"/>
          <w:sz w:val="24"/>
          <w14:textFill>
            <w14:solidFill>
              <w14:schemeClr w14:val="tx1"/>
            </w14:solidFill>
          </w14:textFill>
        </w:rPr>
        <w:t>二、基金托管人</w:t>
      </w:r>
      <w:bookmarkEnd w:id="154"/>
      <w:bookmarkEnd w:id="157"/>
      <w:bookmarkEnd w:id="158"/>
      <w:bookmarkEnd w:id="159"/>
      <w:bookmarkStart w:id="160" w:name="_Toc15118239"/>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（一）</w:t>
      </w:r>
      <w:r>
        <w:rPr>
          <w:bCs/>
          <w:color w:val="000000" w:themeColor="text1"/>
          <w:sz w:val="24"/>
          <w14:textFill>
            <w14:solidFill>
              <w14:schemeClr w14:val="tx1"/>
            </w14:solidFill>
          </w14:textFill>
        </w:rPr>
        <w:t>基金托管人简况</w:t>
      </w:r>
      <w:bookmarkEnd w:id="160"/>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名称：</w:t>
      </w:r>
      <w:r>
        <w:rPr>
          <w:rFonts w:hint="eastAsia"/>
          <w:bCs/>
          <w:color w:val="000000" w:themeColor="text1"/>
          <w:sz w:val="24"/>
          <w14:textFill>
            <w14:solidFill>
              <w14:schemeClr w14:val="tx1"/>
            </w14:solidFill>
          </w14:textFill>
        </w:rPr>
        <w:t>上海浦东发展银行股份有限公司</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住所：</w:t>
      </w:r>
      <w:r>
        <w:rPr>
          <w:rFonts w:hint="eastAsia"/>
          <w:bCs/>
          <w:color w:val="000000" w:themeColor="text1"/>
          <w:sz w:val="24"/>
          <w14:textFill>
            <w14:solidFill>
              <w14:schemeClr w14:val="tx1"/>
            </w14:solidFill>
          </w14:textFill>
        </w:rPr>
        <w:t>上海市中山东一路12号</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法定代表人：</w:t>
      </w:r>
      <w:r>
        <w:rPr>
          <w:rFonts w:hint="eastAsia"/>
          <w:bCs/>
          <w:color w:val="000000" w:themeColor="text1"/>
          <w:sz w:val="24"/>
          <w14:textFill>
            <w14:solidFill>
              <w14:schemeClr w14:val="tx1"/>
            </w14:solidFill>
          </w14:textFill>
        </w:rPr>
        <w:t>郑杨</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成立时间：</w:t>
      </w:r>
      <w:r>
        <w:rPr>
          <w:rFonts w:hint="eastAsia"/>
          <w:bCs/>
          <w:color w:val="000000" w:themeColor="text1"/>
          <w:sz w:val="24"/>
          <w14:textFill>
            <w14:solidFill>
              <w14:schemeClr w14:val="tx1"/>
            </w14:solidFill>
          </w14:textFill>
        </w:rPr>
        <w:t>1992年10月19日</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批准设立机关和批准设立文号：</w:t>
      </w:r>
      <w:r>
        <w:rPr>
          <w:rFonts w:hint="eastAsia"/>
          <w:bCs/>
          <w:color w:val="000000" w:themeColor="text1"/>
          <w:sz w:val="24"/>
          <w14:textFill>
            <w14:solidFill>
              <w14:schemeClr w14:val="tx1"/>
            </w14:solidFill>
          </w14:textFill>
        </w:rPr>
        <w:t>中国人民银行，银复1992（601）号</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组织形式：</w:t>
      </w:r>
      <w:r>
        <w:rPr>
          <w:rFonts w:hint="eastAsia"/>
          <w:bCs/>
          <w:color w:val="000000" w:themeColor="text1"/>
          <w:sz w:val="24"/>
          <w14:textFill>
            <w14:solidFill>
              <w14:schemeClr w14:val="tx1"/>
            </w14:solidFill>
          </w14:textFill>
        </w:rPr>
        <w:t>股份有限公司（上市）</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注册资本：</w:t>
      </w:r>
      <w:r>
        <w:rPr>
          <w:rFonts w:hint="eastAsia"/>
          <w:bCs/>
          <w:color w:val="000000" w:themeColor="text1"/>
          <w:sz w:val="24"/>
          <w14:textFill>
            <w14:solidFill>
              <w14:schemeClr w14:val="tx1"/>
            </w14:solidFill>
          </w14:textFill>
        </w:rPr>
        <w:t>人民币293.52亿元</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存续期间：</w:t>
      </w:r>
      <w:r>
        <w:rPr>
          <w:rFonts w:hint="eastAsia"/>
          <w:bCs/>
          <w:color w:val="000000" w:themeColor="text1"/>
          <w:sz w:val="24"/>
          <w14:textFill>
            <w14:solidFill>
              <w14:schemeClr w14:val="tx1"/>
            </w14:solidFill>
          </w14:textFill>
        </w:rPr>
        <w:t>持续经营</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基金托管资格批文及文号：</w:t>
      </w:r>
      <w:r>
        <w:rPr>
          <w:rFonts w:hint="eastAsia"/>
          <w:bCs/>
          <w:color w:val="000000" w:themeColor="text1"/>
          <w:sz w:val="24"/>
          <w14:textFill>
            <w14:solidFill>
              <w14:schemeClr w14:val="tx1"/>
            </w14:solidFill>
          </w14:textFill>
        </w:rPr>
        <w:t>证监基金字[2003]105号</w:t>
      </w:r>
      <w:bookmarkStart w:id="161" w:name="_Toc15118240"/>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（二）</w:t>
      </w:r>
      <w:r>
        <w:rPr>
          <w:bCs/>
          <w:color w:val="000000" w:themeColor="text1"/>
          <w:sz w:val="24"/>
          <w14:textFill>
            <w14:solidFill>
              <w14:schemeClr w14:val="tx1"/>
            </w14:solidFill>
          </w14:textFill>
        </w:rPr>
        <w:t>基金托管人的权利与义务</w:t>
      </w:r>
      <w:bookmarkEnd w:id="161"/>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1、根据《基金法》、《运作办法》及其他有关规定，基金托管人的权利包括但不限于：</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（1）自《基金合同》生效之日起，依法律法规和《基金合同》的规定安全保管基金财产；</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（2）依《基金合同》约定获得基金托管费以及法律法规规定或监管部门批准的其他费用；</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（4）根据相关市场规则，为基金开设</w:t>
      </w:r>
      <w:r>
        <w:rPr>
          <w:rFonts w:hint="eastAsia"/>
          <w:bCs/>
          <w:color w:val="000000" w:themeColor="text1"/>
          <w:sz w:val="24"/>
          <w:szCs w:val="24"/>
          <w14:textFill>
            <w14:solidFill>
              <w14:schemeClr w14:val="tx1"/>
            </w14:solidFill>
          </w14:textFill>
        </w:rPr>
        <w:t>资金</w:t>
      </w:r>
      <w:r>
        <w:rPr>
          <w:bCs/>
          <w:color w:val="000000" w:themeColor="text1"/>
          <w:sz w:val="24"/>
          <w:szCs w:val="24"/>
          <w14:textFill>
            <w14:solidFill>
              <w14:schemeClr w14:val="tx1"/>
            </w14:solidFill>
          </w14:textFill>
        </w:rPr>
        <w:t>/</w:t>
      </w:r>
      <w:r>
        <w:rPr>
          <w:bCs/>
          <w:color w:val="000000" w:themeColor="text1"/>
          <w:sz w:val="24"/>
          <w14:textFill>
            <w14:solidFill>
              <w14:schemeClr w14:val="tx1"/>
            </w14:solidFill>
          </w14:textFill>
        </w:rPr>
        <w:t>证券</w:t>
      </w:r>
      <w:r>
        <w:rPr>
          <w:rFonts w:hint="eastAsia"/>
          <w:bCs/>
          <w:color w:val="000000" w:themeColor="text1"/>
          <w:sz w:val="24"/>
          <w14:textFill>
            <w14:solidFill>
              <w14:schemeClr w14:val="tx1"/>
            </w14:solidFill>
          </w14:textFill>
        </w:rPr>
        <w:t>账户等投资所需账户</w:t>
      </w:r>
      <w:r>
        <w:rPr>
          <w:bCs/>
          <w:color w:val="000000" w:themeColor="text1"/>
          <w:sz w:val="24"/>
          <w14:textFill>
            <w14:solidFill>
              <w14:schemeClr w14:val="tx1"/>
            </w14:solidFill>
          </w14:textFill>
        </w:rPr>
        <w:t>、为基金办理证券交易资金清算</w:t>
      </w:r>
      <w:r>
        <w:rPr>
          <w:rFonts w:hint="eastAsia"/>
          <w:bCs/>
          <w:color w:val="000000" w:themeColor="text1"/>
          <w:sz w:val="24"/>
          <w14:textFill>
            <w14:solidFill>
              <w14:schemeClr w14:val="tx1"/>
            </w14:solidFill>
          </w14:textFill>
        </w:rPr>
        <w:t>；</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（5）提议召开或召集基金份额持有人大会；</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（6）在基金管理人更换时，提名新的基金管理人；</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（7）法律法规及中国证监会规定的和《基金合同》约定的其他权利。</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2、根据《基金法》、《运作办法》及其他有关规定，基金托管人的义务包括但不限于：</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（1）以诚实信用、勤勉尽责的原则持有并安全保管基金财产；</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（2）设立专门的基金托管部门，具有符合要求的营业场所，配备足够的、合格的熟悉基金托管业务的专职人员，负责基金财产托管事宜；</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（4）除依据《基金法》、《基金合同》及其他有关规定外，不得利用基金财产为自己及任何第三人谋取利益，不得委托第三人托管基金财产；</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（5）保管由基金管理人代表基金签订的与基金有关的重大合同及有关凭证；</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（6）按规定开设基金财产的资金账户和证券账户</w:t>
      </w:r>
      <w:r>
        <w:rPr>
          <w:rFonts w:hint="eastAsia"/>
          <w:bCs/>
          <w:color w:val="000000" w:themeColor="text1"/>
          <w:sz w:val="24"/>
          <w14:textFill>
            <w14:solidFill>
              <w14:schemeClr w14:val="tx1"/>
            </w14:solidFill>
          </w14:textFill>
        </w:rPr>
        <w:t>等投资所需账户</w:t>
      </w:r>
      <w:r>
        <w:rPr>
          <w:bCs/>
          <w:color w:val="000000" w:themeColor="text1"/>
          <w:sz w:val="24"/>
          <w14:textFill>
            <w14:solidFill>
              <w14:schemeClr w14:val="tx1"/>
            </w14:solidFill>
          </w14:textFill>
        </w:rPr>
        <w:t>,按照《基金合同》的约定，根据基金管理人的投资指令，及时办理清算、交割事宜；</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（7）保守基金商业秘密，除《基金法》、《基金合同》及其他有关规定另有规定外，在基金信息公开披露前予以保密，不得向他人泄露；</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（8）复核、审查基金管理人计算的基金资产净值、基金份额</w:t>
      </w:r>
      <w:r>
        <w:rPr>
          <w:rFonts w:hint="eastAsia"/>
          <w:bCs/>
          <w:color w:val="000000" w:themeColor="text1"/>
          <w:sz w:val="24"/>
          <w14:textFill>
            <w14:solidFill>
              <w14:schemeClr w14:val="tx1"/>
            </w14:solidFill>
          </w14:textFill>
        </w:rPr>
        <w:t>净值、基金份额</w:t>
      </w:r>
      <w:r>
        <w:rPr>
          <w:bCs/>
          <w:color w:val="000000" w:themeColor="text1"/>
          <w:sz w:val="24"/>
          <w14:textFill>
            <w14:solidFill>
              <w14:schemeClr w14:val="tx1"/>
            </w14:solidFill>
          </w14:textFill>
        </w:rPr>
        <w:t>申购、赎回价格；</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（9）办理与基金托管业务活动有关的信息披露事项；</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（10）对基金财务会计报告、</w:t>
      </w:r>
      <w:r>
        <w:rPr>
          <w:rFonts w:hint="eastAsia"/>
          <w:bCs/>
          <w:color w:val="000000" w:themeColor="text1"/>
          <w:sz w:val="24"/>
          <w14:textFill>
            <w14:solidFill>
              <w14:schemeClr w14:val="tx1"/>
            </w14:solidFill>
          </w14:textFill>
        </w:rPr>
        <w:t>季度报告、中期报告</w:t>
      </w:r>
      <w:r>
        <w:rPr>
          <w:bCs/>
          <w:color w:val="000000" w:themeColor="text1"/>
          <w:sz w:val="24"/>
          <w14:textFill>
            <w14:solidFill>
              <w14:schemeClr w14:val="tx1"/>
            </w14:solidFill>
          </w14:textFill>
        </w:rPr>
        <w:t>和年度报告出具意见，说明基金管理人在各重要方面的运作是否严格按照《基金合同》的规定进行；如果基金管理人有未执行《基金合同》规定的行为，还应当说明基金托管人是否采取了适当的措施；</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（11）保存基金托管业务活动的记录、账册、报表和其他相关资料</w:t>
      </w:r>
      <w:r>
        <w:rPr>
          <w:rFonts w:hint="eastAsia"/>
          <w:bCs/>
          <w:color w:val="000000" w:themeColor="text1"/>
          <w:sz w:val="24"/>
          <w14:textFill>
            <w14:solidFill>
              <w14:schemeClr w14:val="tx1"/>
            </w14:solidFill>
          </w14:textFill>
        </w:rPr>
        <w:t>不低于法律法规规定的最低期限</w:t>
      </w:r>
      <w:r>
        <w:rPr>
          <w:bCs/>
          <w:color w:val="000000" w:themeColor="text1"/>
          <w:sz w:val="24"/>
          <w14:textFill>
            <w14:solidFill>
              <w14:schemeClr w14:val="tx1"/>
            </w14:solidFill>
          </w14:textFill>
        </w:rPr>
        <w:t>；</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（12）</w:t>
      </w:r>
      <w:r>
        <w:rPr>
          <w:rFonts w:hint="eastAsia"/>
          <w:bCs/>
          <w:color w:val="000000" w:themeColor="text1"/>
          <w:sz w:val="24"/>
          <w14:textFill>
            <w14:solidFill>
              <w14:schemeClr w14:val="tx1"/>
            </w14:solidFill>
          </w14:textFill>
        </w:rPr>
        <w:t>从基金管理人或其委托的登记机构处接收</w:t>
      </w:r>
      <w:r>
        <w:rPr>
          <w:bCs/>
          <w:color w:val="000000" w:themeColor="text1"/>
          <w:sz w:val="24"/>
          <w14:textFill>
            <w14:solidFill>
              <w14:schemeClr w14:val="tx1"/>
            </w14:solidFill>
          </w14:textFill>
        </w:rPr>
        <w:t>并保存基金份额持有人名册；</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（13）按规定制作相关账册并与基金管理人核对；</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（14）依据基金管理人的指令或有关规定向基金份额持有人支付基金收益和赎回款项；</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（15）依据《基金法》、《基金合同》及其他有关规定，召集基金份额持有人大会或配合</w:t>
      </w:r>
      <w:r>
        <w:rPr>
          <w:rFonts w:hint="eastAsia"/>
          <w:bCs/>
          <w:color w:val="000000" w:themeColor="text1"/>
          <w:sz w:val="24"/>
          <w14:textFill>
            <w14:solidFill>
              <w14:schemeClr w14:val="tx1"/>
            </w14:solidFill>
          </w14:textFill>
        </w:rPr>
        <w:t>基金管理人、</w:t>
      </w:r>
      <w:r>
        <w:rPr>
          <w:bCs/>
          <w:color w:val="000000" w:themeColor="text1"/>
          <w:sz w:val="24"/>
          <w14:textFill>
            <w14:solidFill>
              <w14:schemeClr w14:val="tx1"/>
            </w14:solidFill>
          </w14:textFill>
        </w:rPr>
        <w:t>基金份额持有人依法召集基金份额持有人大会；</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（16）按照法律法规和《基金合同》的规定监督基金管理人的投资运作；</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（17）参加基金财产清算小组，参与基金财产的保管、清理、估价、变现和分配；</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（18）面临解散、依法被撤销或者被依法宣告破产时，及时报告中国证监会和</w:t>
      </w:r>
      <w:r>
        <w:rPr>
          <w:rFonts w:hint="eastAsia"/>
          <w:bCs/>
          <w:color w:val="000000" w:themeColor="text1"/>
          <w:sz w:val="24"/>
          <w14:textFill>
            <w14:solidFill>
              <w14:schemeClr w14:val="tx1"/>
            </w14:solidFill>
          </w14:textFill>
        </w:rPr>
        <w:t>银行业监督管理机构</w:t>
      </w:r>
      <w:r>
        <w:rPr>
          <w:bCs/>
          <w:color w:val="000000" w:themeColor="text1"/>
          <w:sz w:val="24"/>
          <w14:textFill>
            <w14:solidFill>
              <w14:schemeClr w14:val="tx1"/>
            </w14:solidFill>
          </w14:textFill>
        </w:rPr>
        <w:t>，并通知基金管理人；</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（19）因违反《基金合同》导致基金财产损失时，应承担赔偿责任，其赔偿责任不因其退任而免除；</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（20）按规定监督基金管理人按法律法规和《基金合同》规定履行自己的义务，基金管理人因违反《基金合同》造成基金财产损失时，应为基金份额持有人利益向基金管理人追偿</w:t>
      </w:r>
      <w:bookmarkStart w:id="162" w:name="_Hlt88825668"/>
      <w:bookmarkEnd w:id="162"/>
      <w:r>
        <w:rPr>
          <w:bCs/>
          <w:color w:val="000000" w:themeColor="text1"/>
          <w:sz w:val="24"/>
          <w14:textFill>
            <w14:solidFill>
              <w14:schemeClr w14:val="tx1"/>
            </w14:solidFill>
          </w14:textFill>
        </w:rPr>
        <w:t>；</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（21）执行生效的基金份额持有人大会的决</w:t>
      </w:r>
      <w:r>
        <w:rPr>
          <w:rFonts w:hint="eastAsia"/>
          <w:bCs/>
          <w:color w:val="000000" w:themeColor="text1"/>
          <w:sz w:val="24"/>
          <w14:textFill>
            <w14:solidFill>
              <w14:schemeClr w14:val="tx1"/>
            </w14:solidFill>
          </w14:textFill>
        </w:rPr>
        <w:t>议</w:t>
      </w:r>
      <w:r>
        <w:rPr>
          <w:bCs/>
          <w:color w:val="000000" w:themeColor="text1"/>
          <w:sz w:val="24"/>
          <w14:textFill>
            <w14:solidFill>
              <w14:schemeClr w14:val="tx1"/>
            </w14:solidFill>
          </w14:textFill>
        </w:rPr>
        <w:t>；</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（22）</w:t>
      </w:r>
      <w:bookmarkStart w:id="163" w:name="_Toc523711670"/>
      <w:r>
        <w:rPr>
          <w:bCs/>
          <w:color w:val="000000" w:themeColor="text1"/>
          <w:sz w:val="24"/>
          <w14:textFill>
            <w14:solidFill>
              <w14:schemeClr w14:val="tx1"/>
            </w14:solidFill>
          </w14:textFill>
        </w:rPr>
        <w:t>法律法规及中国证监会规定的和《基金合同》约定的其他义务。</w:t>
      </w:r>
    </w:p>
    <w:bookmarkEnd w:id="163"/>
    <w:p>
      <w:pPr>
        <w:spacing w:line="360" w:lineRule="auto"/>
        <w:ind w:firstLine="480" w:firstLineChars="200"/>
        <w:rPr>
          <w:bCs/>
          <w:color w:val="000000" w:themeColor="text1"/>
          <w:sz w:val="24"/>
          <w14:textFill>
            <w14:solidFill>
              <w14:schemeClr w14:val="tx1"/>
            </w14:solidFill>
          </w14:textFill>
        </w:rPr>
      </w:pPr>
      <w:bookmarkStart w:id="164" w:name="_Toc79392582"/>
      <w:r>
        <w:rPr>
          <w:bCs/>
          <w:color w:val="000000" w:themeColor="text1"/>
          <w:sz w:val="24"/>
          <w14:textFill>
            <w14:solidFill>
              <w14:schemeClr w14:val="tx1"/>
            </w14:solidFill>
          </w14:textFill>
        </w:rPr>
        <w:t>三、基金份额持有人</w:t>
      </w:r>
      <w:bookmarkEnd w:id="164"/>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基金投资者</w:t>
      </w:r>
      <w:r>
        <w:rPr>
          <w:rFonts w:hint="eastAsia"/>
          <w:bCs/>
          <w:color w:val="000000" w:themeColor="text1"/>
          <w:sz w:val="24"/>
          <w14:textFill>
            <w14:solidFill>
              <w14:schemeClr w14:val="tx1"/>
            </w14:solidFill>
          </w14:textFill>
        </w:rPr>
        <w:t>持有</w:t>
      </w:r>
      <w:r>
        <w:rPr>
          <w:bCs/>
          <w:color w:val="000000" w:themeColor="text1"/>
          <w:sz w:val="24"/>
          <w14:textFill>
            <w14:solidFill>
              <w14:schemeClr w14:val="tx1"/>
            </w14:solidFill>
          </w14:textFill>
        </w:rPr>
        <w:t>本基金</w:t>
      </w:r>
      <w:bookmarkStart w:id="165" w:name="_Hlt88899909"/>
      <w:bookmarkEnd w:id="165"/>
      <w:r>
        <w:rPr>
          <w:bCs/>
          <w:color w:val="000000" w:themeColor="text1"/>
          <w:sz w:val="24"/>
          <w14:textFill>
            <w14:solidFill>
              <w14:schemeClr w14:val="tx1"/>
            </w14:solidFill>
          </w14:textFill>
        </w:rPr>
        <w:t>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每份基金份额具有同等的合法权益。</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1、根据《基金法》、《运作办法》及其他有关规定，基金份额持有人的权利包括但不限于：</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（1）分享基金财产收益；</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（2）参与分配清算后的剩余基金财产；</w:t>
      </w:r>
      <w:bookmarkStart w:id="166" w:name="_Hlt88825574"/>
      <w:bookmarkEnd w:id="166"/>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（3）依法</w:t>
      </w:r>
      <w:r>
        <w:rPr>
          <w:rFonts w:hint="eastAsia"/>
          <w:bCs/>
          <w:color w:val="000000" w:themeColor="text1"/>
          <w:sz w:val="24"/>
          <w14:textFill>
            <w14:solidFill>
              <w14:schemeClr w14:val="tx1"/>
            </w14:solidFill>
          </w14:textFill>
        </w:rPr>
        <w:t>转让或者在开放期内</w:t>
      </w:r>
      <w:r>
        <w:rPr>
          <w:bCs/>
          <w:color w:val="000000" w:themeColor="text1"/>
          <w:sz w:val="24"/>
          <w14:textFill>
            <w14:solidFill>
              <w14:schemeClr w14:val="tx1"/>
            </w14:solidFill>
          </w14:textFill>
        </w:rPr>
        <w:t>申请赎回其持有的基金份额；</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（4）按照规定要求召开基金份额持有人大会或者召集基金份额持有人大会；</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（5）出席或者委派代表出席基金份额持有人大会，对基金份额持有人大会审议事项行使表决权；</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（6）查阅或者复制公开披露的基金信息资料；</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（7）监督基金管理人的投资运作；</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（8）对基金管理人、基金托管人、基金</w:t>
      </w:r>
      <w:r>
        <w:rPr>
          <w:rFonts w:hint="eastAsia"/>
          <w:bCs/>
          <w:color w:val="000000" w:themeColor="text1"/>
          <w:sz w:val="24"/>
          <w14:textFill>
            <w14:solidFill>
              <w14:schemeClr w14:val="tx1"/>
            </w14:solidFill>
          </w14:textFill>
        </w:rPr>
        <w:t>服务</w:t>
      </w:r>
      <w:r>
        <w:rPr>
          <w:bCs/>
          <w:color w:val="000000" w:themeColor="text1"/>
          <w:sz w:val="24"/>
          <w14:textFill>
            <w14:solidFill>
              <w14:schemeClr w14:val="tx1"/>
            </w14:solidFill>
          </w14:textFill>
        </w:rPr>
        <w:t>机构损害其合法权益的行为依法提起诉讼或仲裁；</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（9）法律法规及中国证监会规定的和《基金合同》约定的其他权利。</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2、根据《基金法》、《运作办法》及其他有关规定，基金份额持有人的义务包括但不限于：</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（1）认真阅读并遵守《基金合同》</w:t>
      </w:r>
      <w:r>
        <w:rPr>
          <w:rFonts w:hint="eastAsia"/>
          <w:bCs/>
          <w:color w:val="000000" w:themeColor="text1"/>
          <w:sz w:val="24"/>
          <w:szCs w:val="24"/>
          <w14:textFill>
            <w14:solidFill>
              <w14:schemeClr w14:val="tx1"/>
            </w14:solidFill>
          </w14:textFill>
        </w:rPr>
        <w:t>、招募说明书等信息披露文件</w:t>
      </w:r>
      <w:r>
        <w:rPr>
          <w:bCs/>
          <w:color w:val="000000" w:themeColor="text1"/>
          <w:sz w:val="24"/>
          <w14:textFill>
            <w14:solidFill>
              <w14:schemeClr w14:val="tx1"/>
            </w14:solidFill>
          </w14:textFill>
        </w:rPr>
        <w:t>；</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（2）了解所投资基金产品，了解自身风险承受能力，自主判断基金的投资价值，自主做出投资决策，自行承担投资风险；</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（3）关注基金信息披露，及时行使权利和履行义务；</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（4）</w:t>
      </w:r>
      <w:r>
        <w:rPr>
          <w:rFonts w:hint="eastAsia"/>
          <w:bCs/>
          <w:color w:val="000000" w:themeColor="text1"/>
          <w:sz w:val="24"/>
          <w14:textFill>
            <w14:solidFill>
              <w14:schemeClr w14:val="tx1"/>
            </w14:solidFill>
          </w14:textFill>
        </w:rPr>
        <w:t>交纳</w:t>
      </w:r>
      <w:r>
        <w:rPr>
          <w:bCs/>
          <w:color w:val="000000" w:themeColor="text1"/>
          <w:sz w:val="24"/>
          <w14:textFill>
            <w14:solidFill>
              <w14:schemeClr w14:val="tx1"/>
            </w14:solidFill>
          </w14:textFill>
        </w:rPr>
        <w:t>基金认购、申购款项及法律法规和《基金合同》所规定的费用；</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（5）在其持有的基金份额范围内，承担基金亏损或者《基金合同》终止的有限责任；</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（6）不从事任何有损基金及其他《基金合同》当事人合法权益的活动；</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（7）执行生效的基金份额持有人大会的决</w:t>
      </w:r>
      <w:r>
        <w:rPr>
          <w:rFonts w:hint="eastAsia"/>
          <w:bCs/>
          <w:color w:val="000000" w:themeColor="text1"/>
          <w:sz w:val="24"/>
          <w14:textFill>
            <w14:solidFill>
              <w14:schemeClr w14:val="tx1"/>
            </w14:solidFill>
          </w14:textFill>
        </w:rPr>
        <w:t>议</w:t>
      </w:r>
      <w:r>
        <w:rPr>
          <w:bCs/>
          <w:color w:val="000000" w:themeColor="text1"/>
          <w:sz w:val="24"/>
          <w14:textFill>
            <w14:solidFill>
              <w14:schemeClr w14:val="tx1"/>
            </w14:solidFill>
          </w14:textFill>
        </w:rPr>
        <w:t>；</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（8）返还在基金交易过程中因任何原因获得的不当得利；</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9</w:t>
      </w:r>
      <w:r>
        <w:rPr>
          <w:rFonts w:hint="eastAsia"/>
          <w:bCs/>
          <w:color w:val="000000" w:themeColor="text1"/>
          <w:sz w:val="24"/>
          <w14:textFill>
            <w14:solidFill>
              <w14:schemeClr w14:val="tx1"/>
            </w14:solidFill>
          </w14:textFill>
        </w:rPr>
        <w:t>）提供基金管理人和监管机构依法要求提供的信息，以及不时地更新和补充，并保证其真实性；</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w:t>
      </w:r>
      <w:r>
        <w:rPr>
          <w:rFonts w:hint="eastAsia"/>
          <w:bCs/>
          <w:color w:val="000000" w:themeColor="text1"/>
          <w:sz w:val="24"/>
          <w14:textFill>
            <w14:solidFill>
              <w14:schemeClr w14:val="tx1"/>
            </w14:solidFill>
          </w14:textFill>
        </w:rPr>
        <w:t>1</w:t>
      </w:r>
      <w:r>
        <w:rPr>
          <w:bCs/>
          <w:color w:val="000000" w:themeColor="text1"/>
          <w:sz w:val="24"/>
          <w14:textFill>
            <w14:solidFill>
              <w14:schemeClr w14:val="tx1"/>
            </w14:solidFill>
          </w14:textFill>
        </w:rPr>
        <w:t>0）法律法规及中国证监会规定的和《基金合同》约定的其他义务。</w:t>
      </w:r>
    </w:p>
    <w:p>
      <w:pPr>
        <w:pStyle w:val="2"/>
        <w:spacing w:before="0" w:after="0"/>
        <w:jc w:val="center"/>
        <w:rPr>
          <w:rFonts w:ascii="Times New Roman"/>
          <w:color w:val="000000" w:themeColor="text1"/>
          <w:sz w:val="30"/>
          <w14:textFill>
            <w14:solidFill>
              <w14:schemeClr w14:val="tx1"/>
            </w14:solidFill>
          </w14:textFill>
        </w:rPr>
      </w:pPr>
      <w:r>
        <w:rPr>
          <w:rFonts w:ascii="Times New Roman"/>
          <w:b w:val="0"/>
          <w:bCs/>
          <w:color w:val="000000" w:themeColor="text1"/>
          <w14:textFill>
            <w14:solidFill>
              <w14:schemeClr w14:val="tx1"/>
            </w14:solidFill>
          </w14:textFill>
        </w:rPr>
        <w:br w:type="page"/>
      </w:r>
      <w:bookmarkStart w:id="167" w:name="_Toc3321"/>
      <w:bookmarkStart w:id="168" w:name="_Toc139991738"/>
      <w:bookmarkStart w:id="169" w:name="_Toc79392583"/>
      <w:bookmarkStart w:id="170" w:name="_Toc98560354"/>
      <w:bookmarkStart w:id="171" w:name="_Toc123102455"/>
      <w:bookmarkStart w:id="172" w:name="_Toc95997119"/>
      <w:bookmarkStart w:id="173" w:name="_Toc9706"/>
      <w:bookmarkStart w:id="174" w:name="_Toc6447"/>
      <w:bookmarkStart w:id="175" w:name="_Toc141703888"/>
      <w:bookmarkStart w:id="176" w:name="_Toc18567"/>
      <w:bookmarkStart w:id="177" w:name="_Toc123051454"/>
      <w:bookmarkStart w:id="178" w:name="_Toc11030"/>
      <w:bookmarkStart w:id="179" w:name="_Toc4559"/>
      <w:bookmarkStart w:id="180" w:name="_Toc3771"/>
      <w:bookmarkStart w:id="181" w:name="_Toc25783"/>
      <w:bookmarkStart w:id="182" w:name="_Toc123112236"/>
      <w:bookmarkStart w:id="183" w:name="_Toc10650"/>
      <w:bookmarkStart w:id="184" w:name="_Toc7058"/>
      <w:r>
        <w:rPr>
          <w:rFonts w:ascii="Times New Roman"/>
          <w:color w:val="000000" w:themeColor="text1"/>
          <w:sz w:val="30"/>
          <w14:textFill>
            <w14:solidFill>
              <w14:schemeClr w14:val="tx1"/>
            </w14:solidFill>
          </w14:textFill>
        </w:rPr>
        <w:t>第八部分  基金份额持有人大会</w:t>
      </w:r>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pPr>
        <w:tabs>
          <w:tab w:val="left" w:pos="1080"/>
        </w:tabs>
        <w:spacing w:line="360" w:lineRule="auto"/>
        <w:ind w:left="1075" w:leftChars="199" w:hanging="657" w:hangingChars="274"/>
        <w:rPr>
          <w:bCs/>
          <w:color w:val="000000" w:themeColor="text1"/>
          <w:sz w:val="24"/>
          <w14:textFill>
            <w14:solidFill>
              <w14:schemeClr w14:val="tx1"/>
            </w14:solidFill>
          </w14:textFill>
        </w:rPr>
      </w:pP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基金份额持有人大会由基金份额持有人组成，基金份额持有人的合法授权代表有权代表基金份额持有人出席会议并表决。基金份额持有人持有的每一基金份额拥有平等的投票权。</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本基金份额持有人大会不设日常机构。</w:t>
      </w:r>
    </w:p>
    <w:p>
      <w:pPr>
        <w:spacing w:line="360" w:lineRule="auto"/>
        <w:ind w:firstLine="480" w:firstLineChars="200"/>
        <w:rPr>
          <w:bCs/>
          <w:color w:val="000000" w:themeColor="text1"/>
          <w:sz w:val="24"/>
          <w14:textFill>
            <w14:solidFill>
              <w14:schemeClr w14:val="tx1"/>
            </w14:solidFill>
          </w14:textFill>
        </w:rPr>
      </w:pPr>
      <w:bookmarkStart w:id="185" w:name="_Toc15641220"/>
      <w:bookmarkStart w:id="186" w:name="_Toc79392584"/>
      <w:bookmarkStart w:id="187" w:name="_Toc57530243"/>
      <w:r>
        <w:rPr>
          <w:bCs/>
          <w:color w:val="000000" w:themeColor="text1"/>
          <w:sz w:val="24"/>
          <w14:textFill>
            <w14:solidFill>
              <w14:schemeClr w14:val="tx1"/>
            </w14:solidFill>
          </w14:textFill>
        </w:rPr>
        <w:t>一、召开事由</w:t>
      </w:r>
      <w:bookmarkEnd w:id="185"/>
      <w:bookmarkEnd w:id="186"/>
      <w:bookmarkEnd w:id="187"/>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1、当出现或需要决定下列事由之一的，应当召开基金份额持有人大会</w:t>
      </w:r>
      <w:r>
        <w:rPr>
          <w:rFonts w:hint="eastAsia"/>
          <w:bCs/>
          <w:color w:val="000000" w:themeColor="text1"/>
          <w:sz w:val="24"/>
          <w14:textFill>
            <w14:solidFill>
              <w14:schemeClr w14:val="tx1"/>
            </w14:solidFill>
          </w14:textFill>
        </w:rPr>
        <w:t>，法律法规或中国证监会另有规定或基金合同另有约定的除外</w:t>
      </w:r>
      <w:r>
        <w:rPr>
          <w:bCs/>
          <w:color w:val="000000" w:themeColor="text1"/>
          <w:sz w:val="24"/>
          <w14:textFill>
            <w14:solidFill>
              <w14:schemeClr w14:val="tx1"/>
            </w14:solidFill>
          </w14:textFill>
        </w:rPr>
        <w:t>：</w:t>
      </w:r>
    </w:p>
    <w:p>
      <w:pPr>
        <w:spacing w:line="440" w:lineRule="atLeast"/>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（1）终止《基金合同》；</w:t>
      </w:r>
    </w:p>
    <w:p>
      <w:pPr>
        <w:spacing w:line="440" w:lineRule="atLeast"/>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（2）更换基金管理人；</w:t>
      </w:r>
    </w:p>
    <w:p>
      <w:pPr>
        <w:spacing w:line="440" w:lineRule="atLeast"/>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（3）更换基金托管人；</w:t>
      </w:r>
    </w:p>
    <w:p>
      <w:pPr>
        <w:spacing w:line="440" w:lineRule="atLeast"/>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（4）转换基金运作方式</w:t>
      </w:r>
      <w:r>
        <w:rPr>
          <w:rFonts w:hint="eastAsia"/>
          <w:bCs/>
          <w:color w:val="000000" w:themeColor="text1"/>
          <w:sz w:val="24"/>
          <w14:textFill>
            <w14:solidFill>
              <w14:schemeClr w14:val="tx1"/>
            </w14:solidFill>
          </w14:textFill>
        </w:rPr>
        <w:t>（不包括本基金开放期与封闭期运作方式的转换）</w:t>
      </w:r>
      <w:r>
        <w:rPr>
          <w:bCs/>
          <w:color w:val="000000" w:themeColor="text1"/>
          <w:sz w:val="24"/>
          <w14:textFill>
            <w14:solidFill>
              <w14:schemeClr w14:val="tx1"/>
            </w14:solidFill>
          </w14:textFill>
        </w:rPr>
        <w:t>；</w:t>
      </w:r>
    </w:p>
    <w:p>
      <w:pPr>
        <w:spacing w:line="440" w:lineRule="atLeast"/>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（5）</w:t>
      </w:r>
      <w:r>
        <w:rPr>
          <w:rFonts w:hint="eastAsia"/>
          <w:bCs/>
          <w:color w:val="000000" w:themeColor="text1"/>
          <w:sz w:val="24"/>
          <w14:textFill>
            <w14:solidFill>
              <w14:schemeClr w14:val="tx1"/>
            </w14:solidFill>
          </w14:textFill>
        </w:rPr>
        <w:t>调整</w:t>
      </w:r>
      <w:r>
        <w:rPr>
          <w:bCs/>
          <w:color w:val="000000" w:themeColor="text1"/>
          <w:sz w:val="24"/>
          <w14:textFill>
            <w14:solidFill>
              <w14:schemeClr w14:val="tx1"/>
            </w14:solidFill>
          </w14:textFill>
        </w:rPr>
        <w:t>基金管理人、基金托管人的报酬标准；</w:t>
      </w:r>
    </w:p>
    <w:p>
      <w:pPr>
        <w:spacing w:line="440" w:lineRule="atLeast"/>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（6）变更基金类别；</w:t>
      </w:r>
    </w:p>
    <w:p>
      <w:pPr>
        <w:spacing w:line="440" w:lineRule="atLeast"/>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（7）本基金与其他基金的合并；</w:t>
      </w:r>
    </w:p>
    <w:p>
      <w:pPr>
        <w:spacing w:line="440" w:lineRule="atLeast"/>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（8）变更基金投资目标、范围或策略；</w:t>
      </w:r>
    </w:p>
    <w:p>
      <w:pPr>
        <w:spacing w:line="440" w:lineRule="atLeast"/>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（9）变更基金份额持有人大会程序；</w:t>
      </w:r>
    </w:p>
    <w:p>
      <w:pPr>
        <w:spacing w:line="440" w:lineRule="atLeast"/>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（10）基金管理人或基金托管人要求召开基金份额持有人大会；</w:t>
      </w:r>
    </w:p>
    <w:p>
      <w:pPr>
        <w:spacing w:line="440" w:lineRule="atLeast"/>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（11）单独或合计持有本基金总份额10%以上（含10%）基金份额的基金份额持有人（以基金管理人收到提议当日的基金份额计算，下同）就同一事项书面要求召开基金份额持有人大会；</w:t>
      </w:r>
    </w:p>
    <w:p>
      <w:pPr>
        <w:spacing w:line="440" w:lineRule="atLeast"/>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（12）对基金</w:t>
      </w:r>
      <w:r>
        <w:rPr>
          <w:rFonts w:hint="eastAsia"/>
          <w:bCs/>
          <w:color w:val="000000" w:themeColor="text1"/>
          <w:sz w:val="24"/>
          <w14:textFill>
            <w14:solidFill>
              <w14:schemeClr w14:val="tx1"/>
            </w14:solidFill>
          </w14:textFill>
        </w:rPr>
        <w:t>合同</w:t>
      </w:r>
      <w:r>
        <w:rPr>
          <w:bCs/>
          <w:color w:val="000000" w:themeColor="text1"/>
          <w:sz w:val="24"/>
          <w14:textFill>
            <w14:solidFill>
              <w14:schemeClr w14:val="tx1"/>
            </w14:solidFill>
          </w14:textFill>
        </w:rPr>
        <w:t>当事人权利和义务产生重大影响的其他事项；</w:t>
      </w:r>
    </w:p>
    <w:p>
      <w:pPr>
        <w:spacing w:line="440" w:lineRule="atLeast"/>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（13）法律法规、《基金合同》或中国证监会规定的其他应当召开基金份额持有人大会的事项。</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2、在法律法规</w:t>
      </w:r>
      <w:r>
        <w:rPr>
          <w:rFonts w:hint="eastAsia"/>
          <w:bCs/>
          <w:color w:val="000000" w:themeColor="text1"/>
          <w:sz w:val="24"/>
          <w14:textFill>
            <w14:solidFill>
              <w14:schemeClr w14:val="tx1"/>
            </w14:solidFill>
          </w14:textFill>
        </w:rPr>
        <w:t>规定</w:t>
      </w:r>
      <w:r>
        <w:rPr>
          <w:bCs/>
          <w:color w:val="000000" w:themeColor="text1"/>
          <w:sz w:val="24"/>
          <w14:textFill>
            <w14:solidFill>
              <w14:schemeClr w14:val="tx1"/>
            </w14:solidFill>
          </w14:textFill>
        </w:rPr>
        <w:t>和《基金合同》</w:t>
      </w:r>
      <w:r>
        <w:rPr>
          <w:rFonts w:hint="eastAsia"/>
          <w:bCs/>
          <w:color w:val="000000" w:themeColor="text1"/>
          <w:sz w:val="24"/>
          <w14:textFill>
            <w14:solidFill>
              <w14:schemeClr w14:val="tx1"/>
            </w14:solidFill>
          </w14:textFill>
        </w:rPr>
        <w:t>约</w:t>
      </w:r>
      <w:r>
        <w:rPr>
          <w:bCs/>
          <w:color w:val="000000" w:themeColor="text1"/>
          <w:sz w:val="24"/>
          <w14:textFill>
            <w14:solidFill>
              <w14:schemeClr w14:val="tx1"/>
            </w14:solidFill>
          </w14:textFill>
        </w:rPr>
        <w:t>定的范围内且对基金份额持有人利益无实质性不利影响的前提下</w:t>
      </w: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以下情况可由基金管理人和基金托管人协商后修改，不需召开基金份额持有人大会：</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w:t>
      </w:r>
      <w:r>
        <w:rPr>
          <w:rFonts w:hint="eastAsia"/>
          <w:bCs/>
          <w:color w:val="000000" w:themeColor="text1"/>
          <w:sz w:val="24"/>
          <w14:textFill>
            <w14:solidFill>
              <w14:schemeClr w14:val="tx1"/>
            </w14:solidFill>
          </w14:textFill>
        </w:rPr>
        <w:t>1</w:t>
      </w:r>
      <w:r>
        <w:rPr>
          <w:bCs/>
          <w:color w:val="000000" w:themeColor="text1"/>
          <w:sz w:val="24"/>
          <w14:textFill>
            <w14:solidFill>
              <w14:schemeClr w14:val="tx1"/>
            </w14:solidFill>
          </w14:textFill>
        </w:rPr>
        <w:t>）法律法规要求增加的基金费用的收取；</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w:t>
      </w:r>
      <w:r>
        <w:rPr>
          <w:rFonts w:hint="eastAsia"/>
          <w:bCs/>
          <w:color w:val="000000" w:themeColor="text1"/>
          <w:sz w:val="24"/>
          <w14:textFill>
            <w14:solidFill>
              <w14:schemeClr w14:val="tx1"/>
            </w14:solidFill>
          </w14:textFill>
        </w:rPr>
        <w:t>2</w:t>
      </w:r>
      <w:r>
        <w:rPr>
          <w:bCs/>
          <w:color w:val="000000" w:themeColor="text1"/>
          <w:sz w:val="24"/>
          <w14:textFill>
            <w14:solidFill>
              <w14:schemeClr w14:val="tx1"/>
            </w14:solidFill>
          </w14:textFill>
        </w:rPr>
        <w:t>）调整本基金的申购费率、调低赎回费率</w:t>
      </w:r>
      <w:r>
        <w:rPr>
          <w:rFonts w:hint="eastAsia"/>
          <w:bCs/>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变更收费方式等或调整基金份额类别的设置</w:t>
      </w:r>
      <w:r>
        <w:rPr>
          <w:bCs/>
          <w:color w:val="000000" w:themeColor="text1"/>
          <w:sz w:val="24"/>
          <w14:textFill>
            <w14:solidFill>
              <w14:schemeClr w14:val="tx1"/>
            </w14:solidFill>
          </w14:textFill>
        </w:rPr>
        <w:t>；</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w:t>
      </w:r>
      <w:r>
        <w:rPr>
          <w:rFonts w:hint="eastAsia"/>
          <w:bCs/>
          <w:color w:val="000000" w:themeColor="text1"/>
          <w:sz w:val="24"/>
          <w14:textFill>
            <w14:solidFill>
              <w14:schemeClr w14:val="tx1"/>
            </w14:solidFill>
          </w14:textFill>
        </w:rPr>
        <w:t>3</w:t>
      </w:r>
      <w:r>
        <w:rPr>
          <w:bCs/>
          <w:color w:val="000000" w:themeColor="text1"/>
          <w:sz w:val="24"/>
          <w14:textFill>
            <w14:solidFill>
              <w14:schemeClr w14:val="tx1"/>
            </w14:solidFill>
          </w14:textFill>
        </w:rPr>
        <w:t>）因相应的法律法规发生变动而应当对《基金合同》进行修改；</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w:t>
      </w:r>
      <w:r>
        <w:rPr>
          <w:rFonts w:hint="eastAsia"/>
          <w:bCs/>
          <w:color w:val="000000" w:themeColor="text1"/>
          <w:sz w:val="24"/>
          <w14:textFill>
            <w14:solidFill>
              <w14:schemeClr w14:val="tx1"/>
            </w14:solidFill>
          </w14:textFill>
        </w:rPr>
        <w:t>4</w:t>
      </w:r>
      <w:r>
        <w:rPr>
          <w:bCs/>
          <w:color w:val="000000" w:themeColor="text1"/>
          <w:sz w:val="24"/>
          <w14:textFill>
            <w14:solidFill>
              <w14:schemeClr w14:val="tx1"/>
            </w14:solidFill>
          </w14:textFill>
        </w:rPr>
        <w:t>）对《基金合同》的修改对基金份额持有人利益无实质性不利影响或修改不涉及《基金合同》当事人权利义务关系发生重大变化；</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w:t>
      </w:r>
      <w:r>
        <w:rPr>
          <w:rFonts w:hint="eastAsia"/>
          <w:bCs/>
          <w:color w:val="000000" w:themeColor="text1"/>
          <w:sz w:val="24"/>
          <w14:textFill>
            <w14:solidFill>
              <w14:schemeClr w14:val="tx1"/>
            </w14:solidFill>
          </w14:textFill>
        </w:rPr>
        <w:t>5</w:t>
      </w:r>
      <w:r>
        <w:rPr>
          <w:bCs/>
          <w:color w:val="000000" w:themeColor="text1"/>
          <w:sz w:val="24"/>
          <w14:textFill>
            <w14:solidFill>
              <w14:schemeClr w14:val="tx1"/>
            </w14:solidFill>
          </w14:textFill>
        </w:rPr>
        <w:t>）</w:t>
      </w:r>
      <w:r>
        <w:rPr>
          <w:rFonts w:hint="eastAsia"/>
          <w:bCs/>
          <w:color w:val="000000" w:themeColor="text1"/>
          <w:sz w:val="24"/>
          <w14:textFill>
            <w14:solidFill>
              <w14:schemeClr w14:val="tx1"/>
            </w14:solidFill>
          </w14:textFill>
        </w:rPr>
        <w:t>调整有关基金认购、申购、赎回、转换、非交易过户、转托管等业务的规则；</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（6）按照法律法规和《基金合同》规定不需召开基金份额持有人大会的其他情形。</w:t>
      </w:r>
    </w:p>
    <w:p>
      <w:pPr>
        <w:spacing w:line="360" w:lineRule="auto"/>
        <w:ind w:firstLine="480" w:firstLineChars="200"/>
        <w:rPr>
          <w:bCs/>
          <w:color w:val="000000" w:themeColor="text1"/>
          <w:sz w:val="24"/>
          <w14:textFill>
            <w14:solidFill>
              <w14:schemeClr w14:val="tx1"/>
            </w14:solidFill>
          </w14:textFill>
        </w:rPr>
      </w:pPr>
      <w:bookmarkStart w:id="188" w:name="_Toc15641221"/>
      <w:bookmarkStart w:id="189" w:name="_Toc57530244"/>
      <w:bookmarkStart w:id="190" w:name="_Toc79392585"/>
      <w:r>
        <w:rPr>
          <w:bCs/>
          <w:color w:val="000000" w:themeColor="text1"/>
          <w:sz w:val="24"/>
          <w14:textFill>
            <w14:solidFill>
              <w14:schemeClr w14:val="tx1"/>
            </w14:solidFill>
          </w14:textFill>
        </w:rPr>
        <w:t>二、会议召集人及召集方式</w:t>
      </w:r>
      <w:bookmarkEnd w:id="188"/>
      <w:bookmarkEnd w:id="189"/>
      <w:bookmarkEnd w:id="190"/>
    </w:p>
    <w:p>
      <w:pPr>
        <w:spacing w:line="360" w:lineRule="auto"/>
        <w:ind w:firstLine="480" w:firstLineChars="200"/>
        <w:rPr>
          <w:bCs/>
          <w:color w:val="000000" w:themeColor="text1"/>
          <w:sz w:val="24"/>
          <w14:textFill>
            <w14:solidFill>
              <w14:schemeClr w14:val="tx1"/>
            </w14:solidFill>
          </w14:textFill>
        </w:rPr>
      </w:pPr>
      <w:bookmarkStart w:id="191" w:name="_Toc15641222"/>
      <w:bookmarkStart w:id="192" w:name="_Toc57530245"/>
      <w:r>
        <w:rPr>
          <w:bCs/>
          <w:color w:val="000000" w:themeColor="text1"/>
          <w:sz w:val="24"/>
          <w14:textFill>
            <w14:solidFill>
              <w14:schemeClr w14:val="tx1"/>
            </w14:solidFill>
          </w14:textFill>
        </w:rPr>
        <w:t>1、除法律法规规定或《基金合同》另有约定外，基金份额持有人大会由基金管理人召集；</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2、基金管理人未按规定召集或不能召</w:t>
      </w:r>
      <w:r>
        <w:rPr>
          <w:rFonts w:hint="eastAsia"/>
          <w:bCs/>
          <w:color w:val="000000" w:themeColor="text1"/>
          <w:sz w:val="24"/>
          <w14:textFill>
            <w14:solidFill>
              <w14:schemeClr w14:val="tx1"/>
            </w14:solidFill>
          </w14:textFill>
        </w:rPr>
        <w:t>集</w:t>
      </w:r>
      <w:r>
        <w:rPr>
          <w:bCs/>
          <w:color w:val="000000" w:themeColor="text1"/>
          <w:sz w:val="24"/>
          <w14:textFill>
            <w14:solidFill>
              <w14:schemeClr w14:val="tx1"/>
            </w14:solidFill>
          </w14:textFill>
        </w:rPr>
        <w:t>时，由基金托管人召集；</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 xml:space="preserve">3、基金托管人认为有必要召开基金份额持有人大会的，应当向基金管理人提出书面提议。基金管理人应当自收到书面提议之日起 </w:t>
      </w:r>
      <w:r>
        <w:rPr>
          <w:rFonts w:hint="eastAsia"/>
          <w:bCs/>
          <w:color w:val="000000" w:themeColor="text1"/>
          <w:sz w:val="24"/>
          <w14:textFill>
            <w14:solidFill>
              <w14:schemeClr w14:val="tx1"/>
            </w14:solidFill>
          </w14:textFill>
        </w:rPr>
        <w:t>10</w:t>
      </w:r>
      <w:r>
        <w:rPr>
          <w:bCs/>
          <w:color w:val="000000" w:themeColor="text1"/>
          <w:sz w:val="24"/>
          <w14:textFill>
            <w14:solidFill>
              <w14:schemeClr w14:val="tx1"/>
            </w14:solidFill>
          </w14:textFill>
        </w:rPr>
        <w:t>日内决定是否召集，并书面告知基金托管人。基金管理人决定召集的，应当自出具书面决定之日起</w:t>
      </w:r>
      <w:r>
        <w:rPr>
          <w:rFonts w:hint="eastAsia"/>
          <w:bCs/>
          <w:color w:val="000000" w:themeColor="text1"/>
          <w:sz w:val="24"/>
          <w14:textFill>
            <w14:solidFill>
              <w14:schemeClr w14:val="tx1"/>
            </w14:solidFill>
          </w14:textFill>
        </w:rPr>
        <w:t>60</w:t>
      </w:r>
      <w:r>
        <w:rPr>
          <w:bCs/>
          <w:color w:val="000000" w:themeColor="text1"/>
          <w:sz w:val="24"/>
          <w14:textFill>
            <w14:solidFill>
              <w14:schemeClr w14:val="tx1"/>
            </w14:solidFill>
          </w14:textFill>
        </w:rPr>
        <w:t>日内召开；基金管理人决定不召集，基金托管人仍认为有必要召开的，应当由基金托管人自行召集，并自出具书面决定之日起60日内召开并告知基金管理人，基金管理人应当配合。</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4、代表基金份额</w:t>
      </w:r>
      <w:r>
        <w:rPr>
          <w:rFonts w:hint="eastAsia"/>
          <w:bCs/>
          <w:color w:val="000000" w:themeColor="text1"/>
          <w:sz w:val="24"/>
          <w14:textFill>
            <w14:solidFill>
              <w14:schemeClr w14:val="tx1"/>
            </w14:solidFill>
          </w14:textFill>
        </w:rPr>
        <w:t>10%</w:t>
      </w:r>
      <w:r>
        <w:rPr>
          <w:bCs/>
          <w:color w:val="000000" w:themeColor="text1"/>
          <w:sz w:val="24"/>
          <w14:textFill>
            <w14:solidFill>
              <w14:schemeClr w14:val="tx1"/>
            </w14:solidFill>
          </w14:textFill>
        </w:rPr>
        <w:t>以上（含</w:t>
      </w:r>
      <w:r>
        <w:rPr>
          <w:rFonts w:hint="eastAsia"/>
          <w:bCs/>
          <w:color w:val="000000" w:themeColor="text1"/>
          <w:sz w:val="24"/>
          <w14:textFill>
            <w14:solidFill>
              <w14:schemeClr w14:val="tx1"/>
            </w14:solidFill>
          </w14:textFill>
        </w:rPr>
        <w:t>10%</w:t>
      </w:r>
      <w:r>
        <w:rPr>
          <w:bCs/>
          <w:color w:val="000000" w:themeColor="text1"/>
          <w:sz w:val="24"/>
          <w14:textFill>
            <w14:solidFill>
              <w14:schemeClr w14:val="tx1"/>
            </w14:solidFill>
          </w14:textFill>
        </w:rPr>
        <w:t>）的基金份额持有人就同一事项书面要求召开基金份额持有人大会，应当向基金管理人提出书面提议。基金管理人应当自收到书面提议之日起</w:t>
      </w:r>
      <w:r>
        <w:rPr>
          <w:rFonts w:hint="eastAsia"/>
          <w:bCs/>
          <w:color w:val="000000" w:themeColor="text1"/>
          <w:sz w:val="24"/>
          <w14:textFill>
            <w14:solidFill>
              <w14:schemeClr w14:val="tx1"/>
            </w14:solidFill>
          </w14:textFill>
        </w:rPr>
        <w:t>10</w:t>
      </w:r>
      <w:r>
        <w:rPr>
          <w:bCs/>
          <w:color w:val="000000" w:themeColor="text1"/>
          <w:sz w:val="24"/>
          <w14:textFill>
            <w14:solidFill>
              <w14:schemeClr w14:val="tx1"/>
            </w14:solidFill>
          </w14:textFill>
        </w:rPr>
        <w:t>日内决定是否召集，并书面告知提出提议的基金份额持有人代表和基金托管人。基金管理人决定召集的，应当自出具书面决定之日起</w:t>
      </w:r>
    </w:p>
    <w:p>
      <w:pPr>
        <w:spacing w:line="360" w:lineRule="auto"/>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60</w:t>
      </w:r>
      <w:r>
        <w:rPr>
          <w:bCs/>
          <w:color w:val="000000" w:themeColor="text1"/>
          <w:sz w:val="24"/>
          <w14:textFill>
            <w14:solidFill>
              <w14:schemeClr w14:val="tx1"/>
            </w14:solidFill>
          </w14:textFill>
        </w:rPr>
        <w:t>日内召开；基金管理人决定不召集，代表基金份额</w:t>
      </w:r>
      <w:r>
        <w:rPr>
          <w:rFonts w:hint="eastAsia"/>
          <w:bCs/>
          <w:color w:val="000000" w:themeColor="text1"/>
          <w:sz w:val="24"/>
          <w14:textFill>
            <w14:solidFill>
              <w14:schemeClr w14:val="tx1"/>
            </w14:solidFill>
          </w14:textFill>
        </w:rPr>
        <w:t>10%</w:t>
      </w:r>
      <w:r>
        <w:rPr>
          <w:bCs/>
          <w:color w:val="000000" w:themeColor="text1"/>
          <w:sz w:val="24"/>
          <w14:textFill>
            <w14:solidFill>
              <w14:schemeClr w14:val="tx1"/>
            </w14:solidFill>
          </w14:textFill>
        </w:rPr>
        <w:t>以上（含</w:t>
      </w:r>
      <w:r>
        <w:rPr>
          <w:rFonts w:hint="eastAsia"/>
          <w:bCs/>
          <w:color w:val="000000" w:themeColor="text1"/>
          <w:sz w:val="24"/>
          <w14:textFill>
            <w14:solidFill>
              <w14:schemeClr w14:val="tx1"/>
            </w14:solidFill>
          </w14:textFill>
        </w:rPr>
        <w:t>10%</w:t>
      </w:r>
      <w:r>
        <w:rPr>
          <w:bCs/>
          <w:color w:val="000000" w:themeColor="text1"/>
          <w:sz w:val="24"/>
          <w14:textFill>
            <w14:solidFill>
              <w14:schemeClr w14:val="tx1"/>
            </w14:solidFill>
          </w14:textFill>
        </w:rPr>
        <w:t>）的基金份额持有人仍认为有必要召开的，应当向基金托管人提出书面提议。基金托管人应当自收到书面提议之日起</w:t>
      </w:r>
      <w:r>
        <w:rPr>
          <w:rFonts w:hint="eastAsia"/>
          <w:bCs/>
          <w:color w:val="000000" w:themeColor="text1"/>
          <w:sz w:val="24"/>
          <w14:textFill>
            <w14:solidFill>
              <w14:schemeClr w14:val="tx1"/>
            </w14:solidFill>
          </w14:textFill>
        </w:rPr>
        <w:t>10</w:t>
      </w:r>
      <w:r>
        <w:rPr>
          <w:bCs/>
          <w:color w:val="000000" w:themeColor="text1"/>
          <w:sz w:val="24"/>
          <w14:textFill>
            <w14:solidFill>
              <w14:schemeClr w14:val="tx1"/>
            </w14:solidFill>
          </w14:textFill>
        </w:rPr>
        <w:t>日内决定是否召集，并书面告知提出提议的基金份额持有人代表和基金管理人；基金托管人决定召集的，应当自出具书面决定之日起60日内召开。并告知基金管理人，基金管理人应当配合。</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5、代表基金份额</w:t>
      </w:r>
      <w:r>
        <w:rPr>
          <w:rFonts w:hint="eastAsia"/>
          <w:bCs/>
          <w:color w:val="000000" w:themeColor="text1"/>
          <w:sz w:val="24"/>
          <w14:textFill>
            <w14:solidFill>
              <w14:schemeClr w14:val="tx1"/>
            </w14:solidFill>
          </w14:textFill>
        </w:rPr>
        <w:t>10%</w:t>
      </w:r>
      <w:r>
        <w:rPr>
          <w:bCs/>
          <w:color w:val="000000" w:themeColor="text1"/>
          <w:sz w:val="24"/>
          <w14:textFill>
            <w14:solidFill>
              <w14:schemeClr w14:val="tx1"/>
            </w14:solidFill>
          </w14:textFill>
        </w:rPr>
        <w:t>以上（含</w:t>
      </w:r>
      <w:r>
        <w:rPr>
          <w:rFonts w:hint="eastAsia"/>
          <w:bCs/>
          <w:color w:val="000000" w:themeColor="text1"/>
          <w:sz w:val="24"/>
          <w14:textFill>
            <w14:solidFill>
              <w14:schemeClr w14:val="tx1"/>
            </w14:solidFill>
          </w14:textFill>
        </w:rPr>
        <w:t>10%</w:t>
      </w:r>
      <w:r>
        <w:rPr>
          <w:bCs/>
          <w:color w:val="000000" w:themeColor="text1"/>
          <w:sz w:val="24"/>
          <w14:textFill>
            <w14:solidFill>
              <w14:schemeClr w14:val="tx1"/>
            </w14:solidFill>
          </w14:textFill>
        </w:rPr>
        <w:t>）的基金份额持有人就同一事项要求召开基金份额持有人大会，而基金管理人、基金托管人都不召集的，单独或合计代表基金份额</w:t>
      </w:r>
      <w:r>
        <w:rPr>
          <w:rFonts w:hint="eastAsia"/>
          <w:bCs/>
          <w:color w:val="000000" w:themeColor="text1"/>
          <w:sz w:val="24"/>
          <w14:textFill>
            <w14:solidFill>
              <w14:schemeClr w14:val="tx1"/>
            </w14:solidFill>
          </w14:textFill>
        </w:rPr>
        <w:t>10%</w:t>
      </w:r>
      <w:r>
        <w:rPr>
          <w:bCs/>
          <w:color w:val="000000" w:themeColor="text1"/>
          <w:sz w:val="24"/>
          <w14:textFill>
            <w14:solidFill>
              <w14:schemeClr w14:val="tx1"/>
            </w14:solidFill>
          </w14:textFill>
        </w:rPr>
        <w:t>以上（含</w:t>
      </w:r>
      <w:r>
        <w:rPr>
          <w:rFonts w:hint="eastAsia"/>
          <w:bCs/>
          <w:color w:val="000000" w:themeColor="text1"/>
          <w:sz w:val="24"/>
          <w14:textFill>
            <w14:solidFill>
              <w14:schemeClr w14:val="tx1"/>
            </w14:solidFill>
          </w14:textFill>
        </w:rPr>
        <w:t>10%</w:t>
      </w:r>
      <w:r>
        <w:rPr>
          <w:bCs/>
          <w:color w:val="000000" w:themeColor="text1"/>
          <w:sz w:val="24"/>
          <w14:textFill>
            <w14:solidFill>
              <w14:schemeClr w14:val="tx1"/>
            </w14:solidFill>
          </w14:textFill>
        </w:rPr>
        <w:t>）的基金份额持有人有权自行召集，并至少提前30日报中国证监会备案。基金份额持有人依法自行召集基金份额持有人大会的，基金管理人、基金托管人应当配合，不得阻碍、干扰。</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6、基金份额持有人会议的召集人负责选择确定开会时间、地点、方式和权益登记日。</w:t>
      </w:r>
    </w:p>
    <w:p>
      <w:pPr>
        <w:spacing w:line="360" w:lineRule="auto"/>
        <w:ind w:firstLine="480" w:firstLineChars="200"/>
        <w:rPr>
          <w:bCs/>
          <w:color w:val="000000" w:themeColor="text1"/>
          <w:sz w:val="24"/>
          <w14:textFill>
            <w14:solidFill>
              <w14:schemeClr w14:val="tx1"/>
            </w14:solidFill>
          </w14:textFill>
        </w:rPr>
      </w:pPr>
      <w:bookmarkStart w:id="193" w:name="_Toc79392586"/>
      <w:r>
        <w:rPr>
          <w:bCs/>
          <w:color w:val="000000" w:themeColor="text1"/>
          <w:sz w:val="24"/>
          <w14:textFill>
            <w14:solidFill>
              <w14:schemeClr w14:val="tx1"/>
            </w14:solidFill>
          </w14:textFill>
        </w:rPr>
        <w:t>三、召开基金份额持有人大会的通知时间、通知内容、通知方式</w:t>
      </w:r>
      <w:bookmarkEnd w:id="191"/>
      <w:bookmarkEnd w:id="192"/>
      <w:bookmarkEnd w:id="193"/>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1、召开基金份额持有人大会，召集人应于会议召开前</w:t>
      </w:r>
      <w:r>
        <w:rPr>
          <w:rFonts w:hint="eastAsia"/>
          <w:bCs/>
          <w:color w:val="000000" w:themeColor="text1"/>
          <w:sz w:val="24"/>
          <w14:textFill>
            <w14:solidFill>
              <w14:schemeClr w14:val="tx1"/>
            </w14:solidFill>
          </w14:textFill>
        </w:rPr>
        <w:t>30</w:t>
      </w:r>
      <w:r>
        <w:rPr>
          <w:bCs/>
          <w:color w:val="000000" w:themeColor="text1"/>
          <w:sz w:val="24"/>
          <w14:textFill>
            <w14:solidFill>
              <w14:schemeClr w14:val="tx1"/>
            </w14:solidFill>
          </w14:textFill>
        </w:rPr>
        <w:t>日，在</w:t>
      </w:r>
      <w:r>
        <w:rPr>
          <w:rFonts w:hint="eastAsia"/>
          <w:bCs/>
          <w:color w:val="000000" w:themeColor="text1"/>
          <w:sz w:val="24"/>
          <w14:textFill>
            <w14:solidFill>
              <w14:schemeClr w14:val="tx1"/>
            </w14:solidFill>
          </w14:textFill>
        </w:rPr>
        <w:t>规</w:t>
      </w:r>
      <w:r>
        <w:rPr>
          <w:bCs/>
          <w:color w:val="000000" w:themeColor="text1"/>
          <w:sz w:val="24"/>
          <w14:textFill>
            <w14:solidFill>
              <w14:schemeClr w14:val="tx1"/>
            </w14:solidFill>
          </w14:textFill>
        </w:rPr>
        <w:t>定</w:t>
      </w:r>
      <w:r>
        <w:rPr>
          <w:rFonts w:hint="eastAsia"/>
          <w:bCs/>
          <w:color w:val="000000" w:themeColor="text1"/>
          <w:sz w:val="24"/>
          <w14:textFill>
            <w14:solidFill>
              <w14:schemeClr w14:val="tx1"/>
            </w14:solidFill>
          </w14:textFill>
        </w:rPr>
        <w:t>媒介</w:t>
      </w:r>
      <w:r>
        <w:rPr>
          <w:bCs/>
          <w:color w:val="000000" w:themeColor="text1"/>
          <w:sz w:val="24"/>
          <w14:textFill>
            <w14:solidFill>
              <w14:schemeClr w14:val="tx1"/>
            </w14:solidFill>
          </w14:textFill>
        </w:rPr>
        <w:t>公告。基金份额持有人大会通知应至少载明以下内容：</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（1）会议召开的时间、地点和会议形式；</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（2）会议拟审议的事项、议事程序和表决方式；</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（3）有权出席基金份额持有人大会的基金份额持有人的权益登记日；</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（4）授权委托证明的内容要求（包括但不限于代理人身份，代理权限和代理有效期限等）、送达时间和地点;</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（5）会务常设联系人姓名及联系电话；</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（6）出席会议者必须准备的文件和必须履行的手续；</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（7）召集人需要通知的其他事项。</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2、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pPr>
        <w:spacing w:line="360" w:lineRule="auto"/>
        <w:ind w:firstLine="480" w:firstLineChars="200"/>
        <w:rPr>
          <w:bCs/>
          <w:color w:val="000000" w:themeColor="text1"/>
          <w:sz w:val="24"/>
          <w14:textFill>
            <w14:solidFill>
              <w14:schemeClr w14:val="tx1"/>
            </w14:solidFill>
          </w14:textFill>
        </w:rPr>
      </w:pPr>
      <w:bookmarkStart w:id="194" w:name="_Toc57530246"/>
      <w:bookmarkStart w:id="195" w:name="_Toc15641223"/>
      <w:bookmarkStart w:id="196" w:name="_Toc79392587"/>
      <w:r>
        <w:rPr>
          <w:bCs/>
          <w:color w:val="000000" w:themeColor="text1"/>
          <w:sz w:val="24"/>
          <w14:textFill>
            <w14:solidFill>
              <w14:schemeClr w14:val="tx1"/>
            </w14:solidFill>
          </w14:textFill>
        </w:rPr>
        <w:t>四、基金份额持有人出席会议的方式</w:t>
      </w:r>
      <w:bookmarkEnd w:id="194"/>
      <w:bookmarkEnd w:id="195"/>
      <w:bookmarkEnd w:id="196"/>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基金份额持有人大会可通过现场开会方式</w:t>
      </w: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通讯开会方式或法律法规、监管机构允许的其他方式召开，会议的召开方式由会议召集人确定。</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1、现场开会。由基金份额持有人本人出席或以代理投票授权委托证明委派代表出席，现场开会时基金管理人和基金托管人的授权代表应当列席基金份额持有人大会，基金管理人或</w:t>
      </w:r>
      <w:r>
        <w:rPr>
          <w:rFonts w:hint="eastAsia"/>
          <w:bCs/>
          <w:color w:val="000000" w:themeColor="text1"/>
          <w:sz w:val="24"/>
          <w14:textFill>
            <w14:solidFill>
              <w14:schemeClr w14:val="tx1"/>
            </w14:solidFill>
          </w14:textFill>
        </w:rPr>
        <w:t>基金</w:t>
      </w:r>
      <w:r>
        <w:rPr>
          <w:bCs/>
          <w:color w:val="000000" w:themeColor="text1"/>
          <w:sz w:val="24"/>
          <w14:textFill>
            <w14:solidFill>
              <w14:schemeClr w14:val="tx1"/>
            </w14:solidFill>
          </w14:textFill>
        </w:rPr>
        <w:t>托管人不派代表列席的，不影响表决效力。现场开会同时符合以下条件时，可以进行基金份额持有人大会议程：</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2、通讯开会。通讯开会系指基金份额持有人将其对表决事项的投票以书面形式</w:t>
      </w:r>
      <w:r>
        <w:rPr>
          <w:rFonts w:hint="eastAsia"/>
          <w:bCs/>
          <w:color w:val="000000" w:themeColor="text1"/>
          <w:sz w:val="24"/>
          <w14:textFill>
            <w14:solidFill>
              <w14:schemeClr w14:val="tx1"/>
            </w14:solidFill>
          </w14:textFill>
        </w:rPr>
        <w:t>或基金合同约定的其他方式</w:t>
      </w:r>
      <w:r>
        <w:rPr>
          <w:bCs/>
          <w:color w:val="000000" w:themeColor="text1"/>
          <w:sz w:val="24"/>
          <w14:textFill>
            <w14:solidFill>
              <w14:schemeClr w14:val="tx1"/>
            </w14:solidFill>
          </w14:textFill>
        </w:rPr>
        <w:t>在表决</w:t>
      </w:r>
      <w:r>
        <w:rPr>
          <w:rFonts w:hint="eastAsia"/>
          <w:bCs/>
          <w:color w:val="000000" w:themeColor="text1"/>
          <w:sz w:val="24"/>
          <w14:textFill>
            <w14:solidFill>
              <w14:schemeClr w14:val="tx1"/>
            </w14:solidFill>
          </w14:textFill>
        </w:rPr>
        <w:t>截止</w:t>
      </w:r>
      <w:r>
        <w:rPr>
          <w:bCs/>
          <w:color w:val="000000" w:themeColor="text1"/>
          <w:sz w:val="24"/>
          <w14:textFill>
            <w14:solidFill>
              <w14:schemeClr w14:val="tx1"/>
            </w14:solidFill>
          </w14:textFill>
        </w:rPr>
        <w:t>日以前送达至召集人指定的地址。通讯开会应以书面方式</w:t>
      </w:r>
      <w:r>
        <w:rPr>
          <w:rFonts w:hint="eastAsia"/>
          <w:bCs/>
          <w:color w:val="000000" w:themeColor="text1"/>
          <w:sz w:val="24"/>
          <w14:textFill>
            <w14:solidFill>
              <w14:schemeClr w14:val="tx1"/>
            </w14:solidFill>
          </w14:textFill>
        </w:rPr>
        <w:t>或基金合同约定的其他方式</w:t>
      </w:r>
      <w:r>
        <w:rPr>
          <w:bCs/>
          <w:color w:val="000000" w:themeColor="text1"/>
          <w:sz w:val="24"/>
          <w14:textFill>
            <w14:solidFill>
              <w14:schemeClr w14:val="tx1"/>
            </w14:solidFill>
          </w14:textFill>
        </w:rPr>
        <w:t>进行表决。</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在同时符合以下条件时，通讯开会的方式视为有效：</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（1）会议召集人按《基金合同》约定公布会议通知后，在</w:t>
      </w:r>
      <w:r>
        <w:rPr>
          <w:rFonts w:hint="eastAsia"/>
          <w:bCs/>
          <w:color w:val="000000" w:themeColor="text1"/>
          <w:sz w:val="24"/>
          <w14:textFill>
            <w14:solidFill>
              <w14:schemeClr w14:val="tx1"/>
            </w14:solidFill>
          </w14:textFill>
        </w:rPr>
        <w:t>2</w:t>
      </w:r>
      <w:r>
        <w:rPr>
          <w:bCs/>
          <w:color w:val="000000" w:themeColor="text1"/>
          <w:sz w:val="24"/>
          <w14:textFill>
            <w14:solidFill>
              <w14:schemeClr w14:val="tx1"/>
            </w14:solidFill>
          </w14:textFill>
        </w:rPr>
        <w:t>个工作日内连续公布相关提示性公告；</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（2）召集人按基金合同</w:t>
      </w:r>
      <w:r>
        <w:rPr>
          <w:rFonts w:hint="eastAsia"/>
          <w:bCs/>
          <w:color w:val="000000" w:themeColor="text1"/>
          <w:sz w:val="24"/>
          <w14:textFill>
            <w14:solidFill>
              <w14:schemeClr w14:val="tx1"/>
            </w14:solidFill>
          </w14:textFill>
        </w:rPr>
        <w:t>约</w:t>
      </w:r>
      <w:r>
        <w:rPr>
          <w:bCs/>
          <w:color w:val="000000" w:themeColor="text1"/>
          <w:sz w:val="24"/>
          <w14:textFill>
            <w14:solidFill>
              <w14:schemeClr w14:val="tx1"/>
            </w14:solidFill>
          </w14:textFill>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pPr>
        <w:spacing w:line="360" w:lineRule="auto"/>
        <w:ind w:firstLine="540" w:firstLineChars="225"/>
        <w:rPr>
          <w:bCs/>
          <w:color w:val="000000" w:themeColor="text1"/>
          <w:sz w:val="24"/>
          <w14:textFill>
            <w14:solidFill>
              <w14:schemeClr w14:val="tx1"/>
            </w14:solidFill>
          </w14:textFill>
        </w:rPr>
      </w:pPr>
      <w:r>
        <w:rPr>
          <w:bCs/>
          <w:color w:val="000000" w:themeColor="text1"/>
          <w:sz w:val="24"/>
          <w14:textFill>
            <w14:solidFill>
              <w14:schemeClr w14:val="tx1"/>
            </w14:solidFill>
          </w14:textFill>
        </w:rPr>
        <w:t>（3）本人直接出具书面意见或授权他人代表出具书面意见的，基金份额持有人所持有的基金份额不小于在权益登记日基金总份额的</w:t>
      </w:r>
      <w:r>
        <w:rPr>
          <w:rFonts w:hint="eastAsia"/>
          <w:bCs/>
          <w:color w:val="000000" w:themeColor="text1"/>
          <w:sz w:val="24"/>
          <w14:textFill>
            <w14:solidFill>
              <w14:schemeClr w14:val="tx1"/>
            </w14:solidFill>
          </w14:textFill>
        </w:rPr>
        <w:t>二分之一（含二分之一）；若本人直接出具书面意见或授权他人代表出具书面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书面意见或授权他人代表出具书面意见</w:t>
      </w:r>
      <w:r>
        <w:rPr>
          <w:bCs/>
          <w:color w:val="000000" w:themeColor="text1"/>
          <w:sz w:val="24"/>
          <w14:textFill>
            <w14:solidFill>
              <w14:schemeClr w14:val="tx1"/>
            </w14:solidFill>
          </w14:textFill>
        </w:rPr>
        <w:t>；</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4）上述第（3）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r>
        <w:rPr>
          <w:rFonts w:hint="eastAsia"/>
          <w:bCs/>
          <w:color w:val="000000" w:themeColor="text1"/>
          <w:sz w:val="24"/>
          <w14:textFill>
            <w14:solidFill>
              <w14:schemeClr w14:val="tx1"/>
            </w14:solidFill>
          </w14:textFill>
        </w:rPr>
        <w:t>。</w:t>
      </w:r>
    </w:p>
    <w:p>
      <w:pPr>
        <w:spacing w:line="360" w:lineRule="auto"/>
        <w:ind w:firstLine="480" w:firstLineChars="200"/>
        <w:rPr>
          <w:bCs/>
          <w:color w:val="000000" w:themeColor="text1"/>
          <w:sz w:val="24"/>
          <w:szCs w:val="24"/>
          <w14:textFill>
            <w14:solidFill>
              <w14:schemeClr w14:val="tx1"/>
            </w14:solidFill>
          </w14:textFill>
        </w:rPr>
      </w:pPr>
      <w:r>
        <w:rPr>
          <w:bCs/>
          <w:color w:val="000000" w:themeColor="text1"/>
          <w:sz w:val="24"/>
          <w:szCs w:val="24"/>
          <w14:textFill>
            <w14:solidFill>
              <w14:schemeClr w14:val="tx1"/>
            </w14:solidFill>
          </w14:textFill>
        </w:rPr>
        <w:t>3</w:t>
      </w:r>
      <w:r>
        <w:rPr>
          <w:rFonts w:hint="eastAsia"/>
          <w:bCs/>
          <w:color w:val="000000" w:themeColor="text1"/>
          <w:sz w:val="24"/>
          <w:szCs w:val="24"/>
          <w14:textFill>
            <w14:solidFill>
              <w14:schemeClr w14:val="tx1"/>
            </w14:solidFill>
          </w14:textFill>
        </w:rPr>
        <w:t>、在法律法规和监管机关允许的情况下，本基金的基金份额持有人亦可采用网络、电话或其他方式进行表决，或者采用网络、电话或其他方式授权他人代为出席基金份额持有人大会并表决，具体方式由会议召集人确定并在会议通知中列明。</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szCs w:val="24"/>
          <w14:textFill>
            <w14:solidFill>
              <w14:schemeClr w14:val="tx1"/>
            </w14:solidFill>
          </w14:textFill>
        </w:rPr>
        <w:t>4</w:t>
      </w:r>
      <w:r>
        <w:rPr>
          <w:rFonts w:hint="eastAsia"/>
          <w:color w:val="000000" w:themeColor="text1"/>
          <w:sz w:val="24"/>
          <w:szCs w:val="24"/>
          <w14:textFill>
            <w14:solidFill>
              <w14:schemeClr w14:val="tx1"/>
            </w14:solidFill>
          </w14:textFill>
        </w:rPr>
        <w:t>、在会议召开方式上，本基金亦可采用其他非现场方式或者以现场方式与非现场方式相结合的方式召开基金份额持有人大会，会议程序比照现场开会和通讯方式开会的程序进行</w:t>
      </w:r>
      <w:r>
        <w:rPr>
          <w:bCs/>
          <w:color w:val="000000" w:themeColor="text1"/>
          <w:sz w:val="24"/>
          <w14:textFill>
            <w14:solidFill>
              <w14:schemeClr w14:val="tx1"/>
            </w14:solidFill>
          </w14:textFill>
        </w:rPr>
        <w:t>。</w:t>
      </w:r>
    </w:p>
    <w:p>
      <w:pPr>
        <w:spacing w:line="360" w:lineRule="auto"/>
        <w:ind w:firstLine="480" w:firstLineChars="200"/>
        <w:rPr>
          <w:bCs/>
          <w:color w:val="000000" w:themeColor="text1"/>
          <w:sz w:val="24"/>
          <w14:textFill>
            <w14:solidFill>
              <w14:schemeClr w14:val="tx1"/>
            </w14:solidFill>
          </w14:textFill>
        </w:rPr>
      </w:pPr>
      <w:bookmarkStart w:id="197" w:name="_Toc57530247"/>
      <w:bookmarkStart w:id="198" w:name="_Toc79392588"/>
      <w:bookmarkStart w:id="199" w:name="_Toc15641224"/>
      <w:r>
        <w:rPr>
          <w:bCs/>
          <w:color w:val="000000" w:themeColor="text1"/>
          <w:sz w:val="24"/>
          <w14:textFill>
            <w14:solidFill>
              <w14:schemeClr w14:val="tx1"/>
            </w14:solidFill>
          </w14:textFill>
        </w:rPr>
        <w:t>五、议事内容与程序</w:t>
      </w:r>
      <w:bookmarkEnd w:id="197"/>
      <w:bookmarkEnd w:id="198"/>
      <w:bookmarkEnd w:id="199"/>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1、议事内容及提案权</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基金份额持有人大会的召集人发出召集会议的通知后，对原有提案的修改应当在基金份额持有人大会召开前及时公告。</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基金份额持有人大会不得对未事先公告的议事内容进行表决。</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2、议事程序</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（1）现场开会</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color w:val="000000" w:themeColor="text1"/>
          <w:sz w:val="24"/>
          <w14:textFill>
            <w14:solidFill>
              <w14:schemeClr w14:val="tx1"/>
            </w14:solidFill>
          </w14:textFill>
        </w:rPr>
        <w:t>50%</w:t>
      </w:r>
      <w:r>
        <w:rPr>
          <w:bCs/>
          <w:color w:val="000000" w:themeColor="text1"/>
          <w:sz w:val="24"/>
          <w14:textFill>
            <w14:solidFill>
              <w14:schemeClr w14:val="tx1"/>
            </w14:solidFill>
          </w14:textFill>
        </w:rPr>
        <w:t>以上（含</w:t>
      </w:r>
      <w:r>
        <w:rPr>
          <w:rFonts w:hint="eastAsia"/>
          <w:bCs/>
          <w:color w:val="000000" w:themeColor="text1"/>
          <w:sz w:val="24"/>
          <w14:textFill>
            <w14:solidFill>
              <w14:schemeClr w14:val="tx1"/>
            </w14:solidFill>
          </w14:textFill>
        </w:rPr>
        <w:t>50%</w:t>
      </w:r>
      <w:r>
        <w:rPr>
          <w:bCs/>
          <w:color w:val="000000" w:themeColor="text1"/>
          <w:sz w:val="24"/>
          <w14:textFill>
            <w14:solidFill>
              <w14:schemeClr w14:val="tx1"/>
            </w14:solidFill>
          </w14:textFill>
        </w:rPr>
        <w:t>）选举产生一名基金份额持有人作为该次基金份额持有人大会的主持人。基金管理人和基金托管人拒不出席或主持基金份额持有人大会，不影响基金份额持有人大会作出的决议的效力。</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会议召集人应当制作出席会议人员的签名册。签名册载明参加会议人员姓名（或单位名称）、身份证明文件号码、持有或代表有表决权的基金份额、委托人姓名（或单位名称）和联系方式等事项。</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（2）通讯开会</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在通讯开会的情况下，首先由召集人提前</w:t>
      </w:r>
      <w:r>
        <w:rPr>
          <w:rFonts w:hint="eastAsia"/>
          <w:bCs/>
          <w:color w:val="000000" w:themeColor="text1"/>
          <w:sz w:val="24"/>
          <w14:textFill>
            <w14:solidFill>
              <w14:schemeClr w14:val="tx1"/>
            </w14:solidFill>
          </w14:textFill>
        </w:rPr>
        <w:t>30</w:t>
      </w:r>
      <w:r>
        <w:rPr>
          <w:bCs/>
          <w:color w:val="000000" w:themeColor="text1"/>
          <w:sz w:val="24"/>
          <w14:textFill>
            <w14:solidFill>
              <w14:schemeClr w14:val="tx1"/>
            </w14:solidFill>
          </w14:textFill>
        </w:rPr>
        <w:t>日公布提案，在所通知的表决截止日期后</w:t>
      </w:r>
      <w:r>
        <w:rPr>
          <w:rFonts w:hint="eastAsia"/>
          <w:bCs/>
          <w:color w:val="000000" w:themeColor="text1"/>
          <w:sz w:val="24"/>
          <w14:textFill>
            <w14:solidFill>
              <w14:schemeClr w14:val="tx1"/>
            </w14:solidFill>
          </w14:textFill>
        </w:rPr>
        <w:t>2</w:t>
      </w:r>
      <w:r>
        <w:rPr>
          <w:bCs/>
          <w:color w:val="000000" w:themeColor="text1"/>
          <w:sz w:val="24"/>
          <w14:textFill>
            <w14:solidFill>
              <w14:schemeClr w14:val="tx1"/>
            </w14:solidFill>
          </w14:textFill>
        </w:rPr>
        <w:t>个工作日内在公证机关监督下由召集人统计全部有效表决，在公证机关监督下形成决议。</w:t>
      </w:r>
    </w:p>
    <w:p>
      <w:pPr>
        <w:spacing w:line="360" w:lineRule="auto"/>
        <w:ind w:firstLine="480" w:firstLineChars="200"/>
        <w:rPr>
          <w:bCs/>
          <w:color w:val="000000" w:themeColor="text1"/>
          <w:sz w:val="24"/>
          <w14:textFill>
            <w14:solidFill>
              <w14:schemeClr w14:val="tx1"/>
            </w14:solidFill>
          </w14:textFill>
        </w:rPr>
      </w:pPr>
      <w:bookmarkStart w:id="200" w:name="_Toc15641225"/>
      <w:bookmarkStart w:id="201" w:name="_Toc57530248"/>
      <w:bookmarkStart w:id="202" w:name="_Toc79392589"/>
      <w:r>
        <w:rPr>
          <w:bCs/>
          <w:color w:val="000000" w:themeColor="text1"/>
          <w:sz w:val="24"/>
          <w14:textFill>
            <w14:solidFill>
              <w14:schemeClr w14:val="tx1"/>
            </w14:solidFill>
          </w14:textFill>
        </w:rPr>
        <w:t>六、表决</w:t>
      </w:r>
      <w:bookmarkEnd w:id="200"/>
      <w:bookmarkEnd w:id="201"/>
      <w:bookmarkEnd w:id="202"/>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基金份额持有人所持每份基金份额有一票表决权。</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基金份额持有人大会决议分为一般决议和特别决议：</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2、特别决议，特别决议应当经参加大会的基金份额持有人或其代理人所持表决权</w:t>
      </w:r>
      <w:r>
        <w:rPr>
          <w:bCs/>
          <w:color w:val="000000" w:themeColor="text1"/>
          <w:sz w:val="24"/>
          <w:szCs w:val="24"/>
          <w14:textFill>
            <w14:solidFill>
              <w14:schemeClr w14:val="tx1"/>
            </w14:solidFill>
          </w14:textFill>
        </w:rPr>
        <w:t>的</w:t>
      </w:r>
      <w:r>
        <w:rPr>
          <w:rFonts w:hint="eastAsia"/>
          <w:color w:val="000000" w:themeColor="text1"/>
          <w:sz w:val="24"/>
          <w:szCs w:val="24"/>
          <w14:textFill>
            <w14:solidFill>
              <w14:schemeClr w14:val="tx1"/>
            </w14:solidFill>
          </w14:textFill>
        </w:rPr>
        <w:t>三分之二</w:t>
      </w:r>
      <w:r>
        <w:rPr>
          <w:color w:val="000000" w:themeColor="text1"/>
          <w:sz w:val="24"/>
          <w:szCs w:val="24"/>
          <w14:textFill>
            <w14:solidFill>
              <w14:schemeClr w14:val="tx1"/>
            </w14:solidFill>
          </w14:textFill>
        </w:rPr>
        <w:t>以上（含</w:t>
      </w:r>
      <w:r>
        <w:rPr>
          <w:rFonts w:hint="eastAsia"/>
          <w:color w:val="000000" w:themeColor="text1"/>
          <w:sz w:val="24"/>
          <w:szCs w:val="24"/>
          <w14:textFill>
            <w14:solidFill>
              <w14:schemeClr w14:val="tx1"/>
            </w14:solidFill>
          </w14:textFill>
        </w:rPr>
        <w:t>三分之二</w:t>
      </w:r>
      <w:r>
        <w:rPr>
          <w:color w:val="000000" w:themeColor="text1"/>
          <w:sz w:val="24"/>
          <w:szCs w:val="24"/>
          <w14:textFill>
            <w14:solidFill>
              <w14:schemeClr w14:val="tx1"/>
            </w14:solidFill>
          </w14:textFill>
        </w:rPr>
        <w:t>）通</w:t>
      </w:r>
      <w:r>
        <w:rPr>
          <w:color w:val="000000" w:themeColor="text1"/>
          <w:sz w:val="24"/>
          <w14:textFill>
            <w14:solidFill>
              <w14:schemeClr w14:val="tx1"/>
            </w14:solidFill>
          </w14:textFill>
        </w:rPr>
        <w:t>过方可做出。转换基金运作方式、更换基金管理人或者基金托管人、终止《基金合同》、本基金与其他基金合并</w:t>
      </w:r>
      <w:r>
        <w:rPr>
          <w:bCs/>
          <w:color w:val="000000" w:themeColor="text1"/>
          <w:sz w:val="24"/>
          <w14:textFill>
            <w14:solidFill>
              <w14:schemeClr w14:val="tx1"/>
            </w14:solidFill>
          </w14:textFill>
        </w:rPr>
        <w:t>以特别决议通过方为有效。</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基金份额持有人大会采取记名方式进行投票表决。</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基金份额持有人大会的各项提案或同一项提案内并列的各项议题应当分开审议、逐项表决。</w:t>
      </w:r>
    </w:p>
    <w:p>
      <w:pPr>
        <w:spacing w:line="360" w:lineRule="auto"/>
        <w:ind w:firstLine="480" w:firstLineChars="200"/>
        <w:rPr>
          <w:bCs/>
          <w:color w:val="000000" w:themeColor="text1"/>
          <w:sz w:val="24"/>
          <w14:textFill>
            <w14:solidFill>
              <w14:schemeClr w14:val="tx1"/>
            </w14:solidFill>
          </w14:textFill>
        </w:rPr>
      </w:pPr>
      <w:bookmarkStart w:id="203" w:name="_Toc57530249"/>
      <w:bookmarkStart w:id="204" w:name="_Toc79392590"/>
      <w:bookmarkStart w:id="205" w:name="_Toc15641226"/>
      <w:r>
        <w:rPr>
          <w:bCs/>
          <w:color w:val="000000" w:themeColor="text1"/>
          <w:sz w:val="24"/>
          <w14:textFill>
            <w14:solidFill>
              <w14:schemeClr w14:val="tx1"/>
            </w14:solidFill>
          </w14:textFill>
        </w:rPr>
        <w:t>七、计票</w:t>
      </w:r>
      <w:bookmarkEnd w:id="203"/>
      <w:bookmarkEnd w:id="204"/>
      <w:bookmarkEnd w:id="205"/>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1、现场开会</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（2）监票人应当在基金份额持有人表决后立即进行清点并由大会主持人当场公布计票结果。</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（4）计票过程应由公证机关予以公证</w:t>
      </w: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基金管理人或基金托管人拒不出席大会的，不影响计票的效力。</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2、通讯开会</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在通讯开会的情况下，计票方式为：由大会召集人授权的两名监督员在基金托管人授权代表（若由基金托管人召集，则为基金管理人授权代表）的监督下进行计票，并由公证机关对其计票过程予以公证</w:t>
      </w:r>
      <w:bookmarkStart w:id="206" w:name="_Toc79392591"/>
      <w:bookmarkStart w:id="207" w:name="_Toc57530250"/>
      <w:bookmarkStart w:id="208" w:name="_Toc15641227"/>
      <w:r>
        <w:rPr>
          <w:bCs/>
          <w:color w:val="000000" w:themeColor="text1"/>
          <w:sz w:val="24"/>
          <w14:textFill>
            <w14:solidFill>
              <w14:schemeClr w14:val="tx1"/>
            </w14:solidFill>
          </w14:textFill>
        </w:rPr>
        <w:t>。基金管理人或基金托管人拒派代表对书面表决意见的计票进行监督的，不影响计票和表决结果。</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八、生效与公告</w:t>
      </w:r>
      <w:bookmarkEnd w:id="206"/>
      <w:bookmarkEnd w:id="207"/>
      <w:bookmarkEnd w:id="208"/>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基金份额持有人大会的决议，召集人应当自通过之日起</w:t>
      </w:r>
      <w:r>
        <w:rPr>
          <w:rFonts w:hint="eastAsia"/>
          <w:bCs/>
          <w:color w:val="000000" w:themeColor="text1"/>
          <w:sz w:val="24"/>
          <w14:textFill>
            <w14:solidFill>
              <w14:schemeClr w14:val="tx1"/>
            </w14:solidFill>
          </w14:textFill>
        </w:rPr>
        <w:t>5</w:t>
      </w:r>
      <w:r>
        <w:rPr>
          <w:bCs/>
          <w:color w:val="000000" w:themeColor="text1"/>
          <w:sz w:val="24"/>
          <w14:textFill>
            <w14:solidFill>
              <w14:schemeClr w14:val="tx1"/>
            </w14:solidFill>
          </w14:textFill>
        </w:rPr>
        <w:t>日内报中国证监会备案。</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基金份额持有人大会的决议自表决通过之日起生效。</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基金份额持有人大会决议自生效之日起</w:t>
      </w:r>
      <w:r>
        <w:rPr>
          <w:rFonts w:hint="eastAsia"/>
          <w:bCs/>
          <w:color w:val="000000" w:themeColor="text1"/>
          <w:sz w:val="24"/>
          <w14:textFill>
            <w14:solidFill>
              <w14:schemeClr w14:val="tx1"/>
            </w14:solidFill>
          </w14:textFill>
        </w:rPr>
        <w:t>2</w:t>
      </w:r>
      <w:r>
        <w:rPr>
          <w:bCs/>
          <w:color w:val="000000" w:themeColor="text1"/>
          <w:sz w:val="24"/>
          <w14:textFill>
            <w14:solidFill>
              <w14:schemeClr w14:val="tx1"/>
            </w14:solidFill>
          </w14:textFill>
        </w:rPr>
        <w:t>日内在</w:t>
      </w:r>
      <w:r>
        <w:rPr>
          <w:rFonts w:hint="eastAsia"/>
          <w:bCs/>
          <w:color w:val="000000" w:themeColor="text1"/>
          <w:sz w:val="24"/>
          <w14:textFill>
            <w14:solidFill>
              <w14:schemeClr w14:val="tx1"/>
            </w14:solidFill>
          </w14:textFill>
        </w:rPr>
        <w:t>规定媒介</w:t>
      </w:r>
      <w:r>
        <w:rPr>
          <w:bCs/>
          <w:color w:val="000000" w:themeColor="text1"/>
          <w:sz w:val="24"/>
          <w14:textFill>
            <w14:solidFill>
              <w14:schemeClr w14:val="tx1"/>
            </w14:solidFill>
          </w14:textFill>
        </w:rPr>
        <w:t>上公告。</w:t>
      </w:r>
      <w:bookmarkStart w:id="209" w:name="_Hlt88820702"/>
      <w:bookmarkEnd w:id="209"/>
      <w:r>
        <w:rPr>
          <w:bCs/>
          <w:color w:val="000000" w:themeColor="text1"/>
          <w:sz w:val="24"/>
          <w14:textFill>
            <w14:solidFill>
              <w14:schemeClr w14:val="tx1"/>
            </w14:solidFill>
          </w14:textFill>
        </w:rPr>
        <w:t>如果采用通讯方式进行表决，在公告基金份额持有人大会决议时，必须将公证书全文、公证机构、公证员姓名等一同公告。</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基金管理人、基金托管人和基金份额持有人应当执行生效的基金份额持有人大会的决议。生效的基金份额持有人大会决议对全体基金份额持有人、基金管理人、基金托管人均有约束力。</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九、实施侧袋机制期间基金份额持有人大会的特殊约定</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1、基金份额持有人行使提议权、召集权、提名权所需单独或合计代表相关基金份额10%以上（含10%）；</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2、现场开会的到会者在权益登记日代表的基金份额不少于本基金在权益登记日相关基金份额的二分之一（含二分之一）；</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3、通讯开会的直接出具书面意见或授权他人代表出具书面意见的基金份额持有人所持有的基金份额不小于在权益登记日相关基金份额的二分之一（含二分之一）；</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4、在参与基金份额持有人大会投票的基金份额持有人所持有的基金份额小于在权益登记日相关基金份额的二分之一、召集人在原公告的基金份额持有人大会召开时间的3个月以后、6个月以内就原定审议事项重新召集的基金份额持有人大会应当有代表三分之一以上（含三分之一）相关基金份额的持有人参与或授权他人参与基金份额持有人大会投票；</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5、现场开会由出席大会的基金份额持有人和代理人所持表决权的50%以上（含50%）选举产生一名基金份额持有人作为该次基金份额持有人大会的主持人；</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6、一般决议须经参加大会的基金份额持有人或其代理人所持表决权的二分之一以上（含二分之一）通过；</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7、特别决议应当经参加大会的基金份额持有人或其代理人所持表决权的三分之二以上（含三分之二）通过。</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8、侧袋机制实施期间，基金份额持有人大会审议事项涉及主袋账户和侧袋账户的，应分别由主袋账户、侧袋账户的基金份额持有人进行表决，同一主侧袋账户内的每份基金份额具有平等的表决权。表决事项未涉及侧袋账户的，侧袋账户份额无表决权。</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侧袋机制实施期间，关于基金份额持有人大会的相关规定以本节特殊约定内容为准，本节没有规定的适用本部分的一般规定，法律法规另有规定的除外。</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同一主侧袋账户内的每份基金份额具有平等的表决权。</w:t>
      </w:r>
    </w:p>
    <w:p>
      <w:pPr>
        <w:spacing w:line="360" w:lineRule="auto"/>
        <w:ind w:firstLine="480" w:firstLineChars="200"/>
        <w:rPr>
          <w:color w:val="000000" w:themeColor="text1"/>
          <w:sz w:val="24"/>
          <w14:textFill>
            <w14:solidFill>
              <w14:schemeClr w14:val="tx1"/>
            </w14:solidFill>
          </w14:textFill>
        </w:rPr>
      </w:pPr>
      <w:r>
        <w:rPr>
          <w:rFonts w:hint="eastAsia"/>
          <w:bCs/>
          <w:color w:val="000000" w:themeColor="text1"/>
          <w:sz w:val="24"/>
          <w:szCs w:val="24"/>
          <w14:textFill>
            <w14:solidFill>
              <w14:schemeClr w14:val="tx1"/>
            </w14:solidFill>
          </w14:textFill>
        </w:rPr>
        <w:t>十、</w:t>
      </w:r>
      <w:r>
        <w:rPr>
          <w:rFonts w:hint="eastAsia"/>
          <w:bCs/>
          <w:color w:val="000000" w:themeColor="text1"/>
          <w:sz w:val="24"/>
          <w14:textFill>
            <w14:solidFill>
              <w14:schemeClr w14:val="tx1"/>
            </w14:solidFill>
          </w14:textFill>
        </w:rPr>
        <w:t>本部分关于基金份额持有人大会召开事由、召开条件、议事程序、表决条件等规定，凡是直接引用法律法规的部分，如将来法律法规修改导致相关内容被取消或变更的，基金管理人经与基金托管人协商一致并提前公告后，可直接对本部分内容进行修改和调整，无需召开基金份额持有人大会审议。</w:t>
      </w:r>
    </w:p>
    <w:p>
      <w:pPr>
        <w:pStyle w:val="2"/>
        <w:ind w:firstLine="482" w:firstLineChars="200"/>
        <w:jc w:val="left"/>
        <w:rPr>
          <w:rFonts w:ascii="Times New Roman"/>
          <w:color w:val="000000" w:themeColor="text1"/>
          <w14:textFill>
            <w14:solidFill>
              <w14:schemeClr w14:val="tx1"/>
            </w14:solidFill>
          </w14:textFill>
        </w:rPr>
      </w:pPr>
      <w:bookmarkStart w:id="210" w:name="_Toc3963"/>
      <w:bookmarkStart w:id="211" w:name="_Toc1745"/>
    </w:p>
    <w:p>
      <w:pPr>
        <w:pStyle w:val="2"/>
        <w:jc w:val="center"/>
        <w:rPr>
          <w:rFonts w:ascii="Times New Roman"/>
          <w:color w:val="000000" w:themeColor="text1"/>
          <w14:textFill>
            <w14:solidFill>
              <w14:schemeClr w14:val="tx1"/>
            </w14:solidFill>
          </w14:textFill>
        </w:rPr>
      </w:pPr>
      <w:r>
        <w:rPr>
          <w:rFonts w:ascii="Times New Roman"/>
          <w:b w:val="0"/>
          <w:bCs/>
          <w:color w:val="000000" w:themeColor="text1"/>
          <w14:textFill>
            <w14:solidFill>
              <w14:schemeClr w14:val="tx1"/>
            </w14:solidFill>
          </w14:textFill>
        </w:rPr>
        <w:br w:type="page"/>
      </w:r>
      <w:bookmarkStart w:id="212" w:name="_Toc18206"/>
      <w:bookmarkStart w:id="213" w:name="_Toc139991739"/>
      <w:bookmarkStart w:id="214" w:name="_Toc95997120"/>
      <w:bookmarkStart w:id="215" w:name="_Toc21735"/>
      <w:bookmarkStart w:id="216" w:name="_Toc16164"/>
      <w:bookmarkStart w:id="217" w:name="_Toc31821"/>
      <w:bookmarkStart w:id="218" w:name="_Toc123112237"/>
      <w:bookmarkStart w:id="219" w:name="_Toc141703889"/>
      <w:bookmarkStart w:id="220" w:name="_Toc123051455"/>
      <w:bookmarkStart w:id="221" w:name="_Toc10398"/>
      <w:bookmarkStart w:id="222" w:name="_Toc98560355"/>
      <w:bookmarkStart w:id="223" w:name="_Toc725"/>
      <w:bookmarkStart w:id="224" w:name="_Toc123102456"/>
      <w:bookmarkStart w:id="225" w:name="_Toc3080"/>
      <w:bookmarkStart w:id="226" w:name="_Toc3572"/>
      <w:r>
        <w:rPr>
          <w:rFonts w:ascii="Times New Roman"/>
          <w:color w:val="000000" w:themeColor="text1"/>
          <w:sz w:val="30"/>
          <w14:textFill>
            <w14:solidFill>
              <w14:schemeClr w14:val="tx1"/>
            </w14:solidFill>
          </w14:textFill>
        </w:rPr>
        <w:t>第九部分  基金管理人、基金托管人的更换条件和程序</w:t>
      </w:r>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p>
    <w:p>
      <w:pPr>
        <w:autoSpaceDE w:val="0"/>
        <w:autoSpaceDN w:val="0"/>
        <w:spacing w:line="360" w:lineRule="auto"/>
        <w:textAlignment w:val="bottom"/>
        <w:rPr>
          <w:bCs/>
          <w:color w:val="000000" w:themeColor="text1"/>
          <w:sz w:val="24"/>
          <w14:textFill>
            <w14:solidFill>
              <w14:schemeClr w14:val="tx1"/>
            </w14:solidFill>
          </w14:textFill>
        </w:rPr>
      </w:pPr>
      <w:bookmarkStart w:id="227" w:name="_Toc57530252"/>
      <w:bookmarkStart w:id="228" w:name="_Toc79392593"/>
      <w:bookmarkStart w:id="229" w:name="_Toc15118245"/>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一、基金管理人和基金托管人职责终止的情形</w:t>
      </w:r>
      <w:bookmarkEnd w:id="227"/>
      <w:bookmarkEnd w:id="228"/>
      <w:bookmarkEnd w:id="229"/>
      <w:bookmarkStart w:id="230" w:name="_Toc22005971"/>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（一）</w:t>
      </w:r>
      <w:r>
        <w:rPr>
          <w:bCs/>
          <w:color w:val="000000" w:themeColor="text1"/>
          <w:sz w:val="24"/>
          <w14:textFill>
            <w14:solidFill>
              <w14:schemeClr w14:val="tx1"/>
            </w14:solidFill>
          </w14:textFill>
        </w:rPr>
        <w:t>基金管理人职责终止的情形</w:t>
      </w:r>
      <w:bookmarkEnd w:id="230"/>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有下列情形之一的，基金管理人职责终止：</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1、被依法取消基金管理资格；</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2、被基金份额持有人大会解任；</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3、依法解散、被依法撤销或被依法宣告破产；</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4、</w:t>
      </w:r>
      <w:r>
        <w:rPr>
          <w:rFonts w:hint="eastAsia"/>
          <w:bCs/>
          <w:color w:val="000000" w:themeColor="text1"/>
          <w:sz w:val="24"/>
          <w14:textFill>
            <w14:solidFill>
              <w14:schemeClr w14:val="tx1"/>
            </w14:solidFill>
          </w14:textFill>
        </w:rPr>
        <w:t>法律法规及中国证监会规定的和《基金合同》约定的其他</w:t>
      </w:r>
      <w:r>
        <w:rPr>
          <w:bCs/>
          <w:color w:val="000000" w:themeColor="text1"/>
          <w:sz w:val="24"/>
          <w14:textFill>
            <w14:solidFill>
              <w14:schemeClr w14:val="tx1"/>
            </w14:solidFill>
          </w14:textFill>
        </w:rPr>
        <w:t>情形。</w:t>
      </w:r>
      <w:bookmarkStart w:id="231" w:name="_Toc22005972"/>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（二）</w:t>
      </w:r>
      <w:r>
        <w:rPr>
          <w:bCs/>
          <w:color w:val="000000" w:themeColor="text1"/>
          <w:sz w:val="24"/>
          <w14:textFill>
            <w14:solidFill>
              <w14:schemeClr w14:val="tx1"/>
            </w14:solidFill>
          </w14:textFill>
        </w:rPr>
        <w:t>基金托管人职责终止的情形</w:t>
      </w:r>
      <w:bookmarkEnd w:id="231"/>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有下列情形之一的，基金托管人职责终止：</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1、被依法取消基金托管资格；</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2、被基金份额持有人大会解任；</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3、依法解散、被依法撤销或被依法宣告破产；</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4、</w:t>
      </w:r>
      <w:r>
        <w:rPr>
          <w:rFonts w:hint="eastAsia"/>
          <w:bCs/>
          <w:color w:val="000000" w:themeColor="text1"/>
          <w:sz w:val="24"/>
          <w14:textFill>
            <w14:solidFill>
              <w14:schemeClr w14:val="tx1"/>
            </w14:solidFill>
          </w14:textFill>
        </w:rPr>
        <w:t>法律法规及中国证监会规定的和《基金合同》约定的其他</w:t>
      </w:r>
      <w:r>
        <w:rPr>
          <w:bCs/>
          <w:color w:val="000000" w:themeColor="text1"/>
          <w:sz w:val="24"/>
          <w14:textFill>
            <w14:solidFill>
              <w14:schemeClr w14:val="tx1"/>
            </w14:solidFill>
          </w14:textFill>
        </w:rPr>
        <w:t>情形。</w:t>
      </w:r>
    </w:p>
    <w:p>
      <w:pPr>
        <w:spacing w:line="360" w:lineRule="auto"/>
        <w:ind w:firstLine="480" w:firstLineChars="200"/>
        <w:rPr>
          <w:bCs/>
          <w:color w:val="000000" w:themeColor="text1"/>
          <w:sz w:val="24"/>
          <w14:textFill>
            <w14:solidFill>
              <w14:schemeClr w14:val="tx1"/>
            </w14:solidFill>
          </w14:textFill>
        </w:rPr>
      </w:pPr>
      <w:bookmarkStart w:id="232" w:name="_Toc57530253"/>
      <w:bookmarkStart w:id="233" w:name="_Toc79392594"/>
      <w:bookmarkStart w:id="234" w:name="_Toc15118246"/>
      <w:r>
        <w:rPr>
          <w:bCs/>
          <w:color w:val="000000" w:themeColor="text1"/>
          <w:sz w:val="24"/>
          <w14:textFill>
            <w14:solidFill>
              <w14:schemeClr w14:val="tx1"/>
            </w14:solidFill>
          </w14:textFill>
        </w:rPr>
        <w:t>二、基金管理人和基金托管人的更换程序</w:t>
      </w:r>
      <w:bookmarkEnd w:id="232"/>
      <w:bookmarkEnd w:id="233"/>
      <w:bookmarkEnd w:id="234"/>
      <w:bookmarkStart w:id="235" w:name="_Toc22005974"/>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（一）</w:t>
      </w:r>
      <w:r>
        <w:rPr>
          <w:bCs/>
          <w:color w:val="000000" w:themeColor="text1"/>
          <w:sz w:val="24"/>
          <w14:textFill>
            <w14:solidFill>
              <w14:schemeClr w14:val="tx1"/>
            </w14:solidFill>
          </w14:textFill>
        </w:rPr>
        <w:t>基金管理人的更换程序</w:t>
      </w:r>
      <w:bookmarkEnd w:id="235"/>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1、提名：新任基金管理人由基金托管人或由单独或合计持有</w:t>
      </w:r>
      <w:r>
        <w:rPr>
          <w:rFonts w:hint="eastAsia"/>
          <w:bCs/>
          <w:color w:val="000000" w:themeColor="text1"/>
          <w:sz w:val="24"/>
          <w14:textFill>
            <w14:solidFill>
              <w14:schemeClr w14:val="tx1"/>
            </w14:solidFill>
          </w14:textFill>
        </w:rPr>
        <w:t>10%</w:t>
      </w:r>
      <w:r>
        <w:rPr>
          <w:bCs/>
          <w:color w:val="000000" w:themeColor="text1"/>
          <w:sz w:val="24"/>
          <w14:textFill>
            <w14:solidFill>
              <w14:schemeClr w14:val="tx1"/>
            </w14:solidFill>
          </w14:textFill>
        </w:rPr>
        <w:t>以上（含</w:t>
      </w:r>
      <w:r>
        <w:rPr>
          <w:rFonts w:hint="eastAsia"/>
          <w:bCs/>
          <w:color w:val="000000" w:themeColor="text1"/>
          <w:sz w:val="24"/>
          <w14:textFill>
            <w14:solidFill>
              <w14:schemeClr w14:val="tx1"/>
            </w14:solidFill>
          </w14:textFill>
        </w:rPr>
        <w:t>10%</w:t>
      </w:r>
      <w:r>
        <w:rPr>
          <w:bCs/>
          <w:color w:val="000000" w:themeColor="text1"/>
          <w:sz w:val="24"/>
          <w14:textFill>
            <w14:solidFill>
              <w14:schemeClr w14:val="tx1"/>
            </w14:solidFill>
          </w14:textFill>
        </w:rPr>
        <w:t>）基金份额的基金份额持有人提名；</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2、决议：基金份额持有人大会在基金管理人职责终止后</w:t>
      </w:r>
      <w:r>
        <w:rPr>
          <w:rFonts w:hint="eastAsia"/>
          <w:bCs/>
          <w:color w:val="000000" w:themeColor="text1"/>
          <w:sz w:val="24"/>
          <w14:textFill>
            <w14:solidFill>
              <w14:schemeClr w14:val="tx1"/>
            </w14:solidFill>
          </w14:textFill>
        </w:rPr>
        <w:t>6</w:t>
      </w:r>
      <w:r>
        <w:rPr>
          <w:bCs/>
          <w:color w:val="000000" w:themeColor="text1"/>
          <w:sz w:val="24"/>
          <w14:textFill>
            <w14:solidFill>
              <w14:schemeClr w14:val="tx1"/>
            </w14:solidFill>
          </w14:textFill>
        </w:rPr>
        <w:t>个月内对被提名的基金管理人形成决议，该决议需经参加大会的基金份额持有人所持表决权的</w:t>
      </w:r>
      <w:r>
        <w:rPr>
          <w:rFonts w:hint="eastAsia"/>
          <w:bCs/>
          <w:color w:val="000000" w:themeColor="text1"/>
          <w:sz w:val="24"/>
          <w14:textFill>
            <w14:solidFill>
              <w14:schemeClr w14:val="tx1"/>
            </w14:solidFill>
          </w14:textFill>
        </w:rPr>
        <w:t>三分之二</w:t>
      </w:r>
      <w:r>
        <w:rPr>
          <w:bCs/>
          <w:color w:val="000000" w:themeColor="text1"/>
          <w:sz w:val="24"/>
          <w14:textFill>
            <w14:solidFill>
              <w14:schemeClr w14:val="tx1"/>
            </w14:solidFill>
          </w14:textFill>
        </w:rPr>
        <w:t>以上（含</w:t>
      </w:r>
      <w:r>
        <w:rPr>
          <w:rFonts w:hint="eastAsia"/>
          <w:bCs/>
          <w:color w:val="000000" w:themeColor="text1"/>
          <w:sz w:val="24"/>
          <w14:textFill>
            <w14:solidFill>
              <w14:schemeClr w14:val="tx1"/>
            </w14:solidFill>
          </w14:textFill>
        </w:rPr>
        <w:t>三分之二</w:t>
      </w:r>
      <w:r>
        <w:rPr>
          <w:bCs/>
          <w:color w:val="000000" w:themeColor="text1"/>
          <w:sz w:val="24"/>
          <w14:textFill>
            <w14:solidFill>
              <w14:schemeClr w14:val="tx1"/>
            </w14:solidFill>
          </w14:textFill>
        </w:rPr>
        <w:t>）表决通过，决议自表决通过之日起生效；</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3、临时基金管理人：新任基金管理人产生之前，由中国证监会指定临时基金管理人；</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4、</w:t>
      </w:r>
      <w:r>
        <w:rPr>
          <w:rFonts w:hint="eastAsia"/>
          <w:bCs/>
          <w:color w:val="000000" w:themeColor="text1"/>
          <w:sz w:val="24"/>
          <w14:textFill>
            <w14:solidFill>
              <w14:schemeClr w14:val="tx1"/>
            </w14:solidFill>
          </w14:textFill>
        </w:rPr>
        <w:t>备案</w:t>
      </w:r>
      <w:r>
        <w:rPr>
          <w:bCs/>
          <w:color w:val="000000" w:themeColor="text1"/>
          <w:sz w:val="24"/>
          <w14:textFill>
            <w14:solidFill>
              <w14:schemeClr w14:val="tx1"/>
            </w14:solidFill>
          </w14:textFill>
        </w:rPr>
        <w:t>：基金份额持有人大会</w:t>
      </w:r>
      <w:r>
        <w:rPr>
          <w:rFonts w:hint="eastAsia"/>
          <w:bCs/>
          <w:color w:val="000000" w:themeColor="text1"/>
          <w:sz w:val="24"/>
          <w14:textFill>
            <w14:solidFill>
              <w14:schemeClr w14:val="tx1"/>
            </w14:solidFill>
          </w14:textFill>
        </w:rPr>
        <w:t>更换</w:t>
      </w:r>
      <w:r>
        <w:rPr>
          <w:bCs/>
          <w:color w:val="000000" w:themeColor="text1"/>
          <w:sz w:val="24"/>
          <w14:textFill>
            <w14:solidFill>
              <w14:schemeClr w14:val="tx1"/>
            </w14:solidFill>
          </w14:textFill>
        </w:rPr>
        <w:t>基金管理人的决议须</w:t>
      </w:r>
      <w:r>
        <w:rPr>
          <w:rFonts w:hint="eastAsia"/>
          <w:bCs/>
          <w:color w:val="000000" w:themeColor="text1"/>
          <w:sz w:val="24"/>
          <w14:textFill>
            <w14:solidFill>
              <w14:schemeClr w14:val="tx1"/>
            </w14:solidFill>
          </w14:textFill>
        </w:rPr>
        <w:t>报</w:t>
      </w:r>
      <w:r>
        <w:rPr>
          <w:bCs/>
          <w:color w:val="000000" w:themeColor="text1"/>
          <w:sz w:val="24"/>
          <w14:textFill>
            <w14:solidFill>
              <w14:schemeClr w14:val="tx1"/>
            </w14:solidFill>
          </w14:textFill>
        </w:rPr>
        <w:t>中国证监会</w:t>
      </w:r>
      <w:r>
        <w:rPr>
          <w:rFonts w:hint="eastAsia"/>
          <w:bCs/>
          <w:color w:val="000000" w:themeColor="text1"/>
          <w:sz w:val="24"/>
          <w14:textFill>
            <w14:solidFill>
              <w14:schemeClr w14:val="tx1"/>
            </w14:solidFill>
          </w14:textFill>
        </w:rPr>
        <w:t>备案</w:t>
      </w:r>
      <w:r>
        <w:rPr>
          <w:bCs/>
          <w:color w:val="000000" w:themeColor="text1"/>
          <w:sz w:val="24"/>
          <w14:textFill>
            <w14:solidFill>
              <w14:schemeClr w14:val="tx1"/>
            </w14:solidFill>
          </w14:textFill>
        </w:rPr>
        <w:t>；</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5、公告：基金管理人更换后，由基金托管人在更换基金管理人的基金份额持有人大会决议生效后2日内在</w:t>
      </w:r>
      <w:r>
        <w:rPr>
          <w:rFonts w:hint="eastAsia"/>
          <w:bCs/>
          <w:color w:val="000000" w:themeColor="text1"/>
          <w:sz w:val="24"/>
          <w14:textFill>
            <w14:solidFill>
              <w14:schemeClr w14:val="tx1"/>
            </w14:solidFill>
          </w14:textFill>
        </w:rPr>
        <w:t>规定媒介</w:t>
      </w:r>
      <w:r>
        <w:rPr>
          <w:bCs/>
          <w:color w:val="000000" w:themeColor="text1"/>
          <w:sz w:val="24"/>
          <w14:textFill>
            <w14:solidFill>
              <w14:schemeClr w14:val="tx1"/>
            </w14:solidFill>
          </w14:textFill>
        </w:rPr>
        <w:t>公告</w:t>
      </w:r>
      <w:r>
        <w:rPr>
          <w:rFonts w:hint="eastAsia"/>
          <w:bCs/>
          <w:color w:val="000000" w:themeColor="text1"/>
          <w:sz w:val="24"/>
          <w14:textFill>
            <w14:solidFill>
              <w14:schemeClr w14:val="tx1"/>
            </w14:solidFill>
          </w14:textFill>
        </w:rPr>
        <w:t>；</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6、交接：基金管理人职责终止的，基金管理人应妥善保管基金管理业务资料，及时向临时基金管理人或新任基金管理人办理基金管理业务的移交手续，临时基金管理人或新任基金管理人应及时接收。新任基金管理人</w:t>
      </w:r>
      <w:r>
        <w:rPr>
          <w:rFonts w:hint="eastAsia"/>
          <w:bCs/>
          <w:color w:val="000000" w:themeColor="text1"/>
          <w:sz w:val="24"/>
          <w14:textFill>
            <w14:solidFill>
              <w14:schemeClr w14:val="tx1"/>
            </w14:solidFill>
          </w14:textFill>
        </w:rPr>
        <w:t>或临时基金管理人</w:t>
      </w:r>
      <w:r>
        <w:rPr>
          <w:bCs/>
          <w:color w:val="000000" w:themeColor="text1"/>
          <w:sz w:val="24"/>
          <w14:textFill>
            <w14:solidFill>
              <w14:schemeClr w14:val="tx1"/>
            </w14:solidFill>
          </w14:textFill>
        </w:rPr>
        <w:t>应与基金托管人核对基金资产总值</w:t>
      </w:r>
      <w:r>
        <w:rPr>
          <w:rFonts w:hint="eastAsia"/>
          <w:bCs/>
          <w:color w:val="000000" w:themeColor="text1"/>
          <w:sz w:val="24"/>
          <w14:textFill>
            <w14:solidFill>
              <w14:schemeClr w14:val="tx1"/>
            </w14:solidFill>
          </w14:textFill>
        </w:rPr>
        <w:t>和净值</w:t>
      </w:r>
      <w:r>
        <w:rPr>
          <w:bCs/>
          <w:color w:val="000000" w:themeColor="text1"/>
          <w:sz w:val="24"/>
          <w14:textFill>
            <w14:solidFill>
              <w14:schemeClr w14:val="tx1"/>
            </w14:solidFill>
          </w14:textFill>
        </w:rPr>
        <w:t>；</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7、审计：基金管理人职责终止的，应当按照法律法规规定聘请会计师事务所对基金财产进行审计，并将审计结果予以公告，同时报中国证监会备案</w:t>
      </w:r>
      <w:r>
        <w:rPr>
          <w:rFonts w:hint="eastAsia"/>
          <w:bCs/>
          <w:color w:val="000000" w:themeColor="text1"/>
          <w:sz w:val="24"/>
          <w14:textFill>
            <w14:solidFill>
              <w14:schemeClr w14:val="tx1"/>
            </w14:solidFill>
          </w14:textFill>
        </w:rPr>
        <w:t>，审计费用从基金财产中列支</w:t>
      </w:r>
      <w:r>
        <w:rPr>
          <w:bCs/>
          <w:color w:val="000000" w:themeColor="text1"/>
          <w:sz w:val="24"/>
          <w14:textFill>
            <w14:solidFill>
              <w14:schemeClr w14:val="tx1"/>
            </w14:solidFill>
          </w14:textFill>
        </w:rPr>
        <w:t>；</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8、基金名称变更：基金管理人更换后，如果原任或新任基金管理人要求，应按其要求替换或删除基金名称中与原基金管理人有关的名称字样。</w:t>
      </w:r>
      <w:bookmarkStart w:id="236" w:name="_Toc22005975"/>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（二）</w:t>
      </w:r>
      <w:r>
        <w:rPr>
          <w:bCs/>
          <w:color w:val="000000" w:themeColor="text1"/>
          <w:sz w:val="24"/>
          <w14:textFill>
            <w14:solidFill>
              <w14:schemeClr w14:val="tx1"/>
            </w14:solidFill>
          </w14:textFill>
        </w:rPr>
        <w:t>基金托管人的更换程序</w:t>
      </w:r>
      <w:bookmarkEnd w:id="236"/>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1、提名：新任基金托管人由基金管理人或由单独或合计持有</w:t>
      </w:r>
      <w:r>
        <w:rPr>
          <w:rFonts w:hint="eastAsia"/>
          <w:bCs/>
          <w:color w:val="000000" w:themeColor="text1"/>
          <w:sz w:val="24"/>
          <w14:textFill>
            <w14:solidFill>
              <w14:schemeClr w14:val="tx1"/>
            </w14:solidFill>
          </w14:textFill>
        </w:rPr>
        <w:t>10%</w:t>
      </w:r>
      <w:r>
        <w:rPr>
          <w:bCs/>
          <w:color w:val="000000" w:themeColor="text1"/>
          <w:sz w:val="24"/>
          <w14:textFill>
            <w14:solidFill>
              <w14:schemeClr w14:val="tx1"/>
            </w14:solidFill>
          </w14:textFill>
        </w:rPr>
        <w:t>以上（含</w:t>
      </w:r>
      <w:r>
        <w:rPr>
          <w:rFonts w:hint="eastAsia"/>
          <w:bCs/>
          <w:color w:val="000000" w:themeColor="text1"/>
          <w:sz w:val="24"/>
          <w14:textFill>
            <w14:solidFill>
              <w14:schemeClr w14:val="tx1"/>
            </w14:solidFill>
          </w14:textFill>
        </w:rPr>
        <w:t>10%</w:t>
      </w:r>
      <w:r>
        <w:rPr>
          <w:bCs/>
          <w:color w:val="000000" w:themeColor="text1"/>
          <w:sz w:val="24"/>
          <w14:textFill>
            <w14:solidFill>
              <w14:schemeClr w14:val="tx1"/>
            </w14:solidFill>
          </w14:textFill>
        </w:rPr>
        <w:t>）基金份额的基金</w:t>
      </w:r>
      <w:r>
        <w:rPr>
          <w:rFonts w:hint="eastAsia"/>
          <w:bCs/>
          <w:color w:val="000000" w:themeColor="text1"/>
          <w:sz w:val="24"/>
          <w14:textFill>
            <w14:solidFill>
              <w14:schemeClr w14:val="tx1"/>
            </w14:solidFill>
          </w14:textFill>
        </w:rPr>
        <w:t>份额</w:t>
      </w:r>
      <w:r>
        <w:rPr>
          <w:bCs/>
          <w:color w:val="000000" w:themeColor="text1"/>
          <w:sz w:val="24"/>
          <w14:textFill>
            <w14:solidFill>
              <w14:schemeClr w14:val="tx1"/>
            </w14:solidFill>
          </w14:textFill>
        </w:rPr>
        <w:t>持有人提名；</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2、决议：基金份额持有人大会在基金托管人职责终止后</w:t>
      </w:r>
      <w:r>
        <w:rPr>
          <w:rFonts w:hint="eastAsia"/>
          <w:bCs/>
          <w:color w:val="000000" w:themeColor="text1"/>
          <w:sz w:val="24"/>
          <w14:textFill>
            <w14:solidFill>
              <w14:schemeClr w14:val="tx1"/>
            </w14:solidFill>
          </w14:textFill>
        </w:rPr>
        <w:t>6</w:t>
      </w:r>
      <w:r>
        <w:rPr>
          <w:bCs/>
          <w:color w:val="000000" w:themeColor="text1"/>
          <w:sz w:val="24"/>
          <w14:textFill>
            <w14:solidFill>
              <w14:schemeClr w14:val="tx1"/>
            </w14:solidFill>
          </w14:textFill>
        </w:rPr>
        <w:t>个月内对被提名的基金托管人形成决议，该决议需经参加大会的基金份额持有人所持表决权的</w:t>
      </w:r>
      <w:r>
        <w:rPr>
          <w:rFonts w:hint="eastAsia"/>
          <w:bCs/>
          <w:color w:val="000000" w:themeColor="text1"/>
          <w:sz w:val="24"/>
          <w14:textFill>
            <w14:solidFill>
              <w14:schemeClr w14:val="tx1"/>
            </w14:solidFill>
          </w14:textFill>
        </w:rPr>
        <w:t>三分之二</w:t>
      </w:r>
      <w:r>
        <w:rPr>
          <w:bCs/>
          <w:color w:val="000000" w:themeColor="text1"/>
          <w:sz w:val="24"/>
          <w14:textFill>
            <w14:solidFill>
              <w14:schemeClr w14:val="tx1"/>
            </w14:solidFill>
          </w14:textFill>
        </w:rPr>
        <w:t>以上（含</w:t>
      </w:r>
      <w:r>
        <w:rPr>
          <w:rFonts w:hint="eastAsia"/>
          <w:bCs/>
          <w:color w:val="000000" w:themeColor="text1"/>
          <w:sz w:val="24"/>
          <w14:textFill>
            <w14:solidFill>
              <w14:schemeClr w14:val="tx1"/>
            </w14:solidFill>
          </w14:textFill>
        </w:rPr>
        <w:t>三分之二</w:t>
      </w:r>
      <w:r>
        <w:rPr>
          <w:bCs/>
          <w:color w:val="000000" w:themeColor="text1"/>
          <w:sz w:val="24"/>
          <w14:textFill>
            <w14:solidFill>
              <w14:schemeClr w14:val="tx1"/>
            </w14:solidFill>
          </w14:textFill>
        </w:rPr>
        <w:t>）表决通过</w:t>
      </w:r>
      <w:r>
        <w:rPr>
          <w:rFonts w:hint="eastAsia"/>
          <w:bCs/>
          <w:color w:val="000000" w:themeColor="text1"/>
          <w:sz w:val="24"/>
          <w14:textFill>
            <w14:solidFill>
              <w14:schemeClr w14:val="tx1"/>
            </w14:solidFill>
          </w14:textFill>
        </w:rPr>
        <w:t>，决议自表决通过之日起生效</w:t>
      </w:r>
      <w:r>
        <w:rPr>
          <w:bCs/>
          <w:color w:val="000000" w:themeColor="text1"/>
          <w:sz w:val="24"/>
          <w14:textFill>
            <w14:solidFill>
              <w14:schemeClr w14:val="tx1"/>
            </w14:solidFill>
          </w14:textFill>
        </w:rPr>
        <w:t>；</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3、临时基金托管人：新任基金托管人产生之前，由中国证监会指定临时基金托管人；</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4、</w:t>
      </w:r>
      <w:r>
        <w:rPr>
          <w:rFonts w:hint="eastAsia"/>
          <w:bCs/>
          <w:color w:val="000000" w:themeColor="text1"/>
          <w:sz w:val="24"/>
          <w14:textFill>
            <w14:solidFill>
              <w14:schemeClr w14:val="tx1"/>
            </w14:solidFill>
          </w14:textFill>
        </w:rPr>
        <w:t>备案</w:t>
      </w:r>
      <w:r>
        <w:rPr>
          <w:bCs/>
          <w:color w:val="000000" w:themeColor="text1"/>
          <w:sz w:val="24"/>
          <w14:textFill>
            <w14:solidFill>
              <w14:schemeClr w14:val="tx1"/>
            </w14:solidFill>
          </w14:textFill>
        </w:rPr>
        <w:t>：基金份额持有人大会更换基金托管人的决议须</w:t>
      </w:r>
      <w:r>
        <w:rPr>
          <w:rFonts w:hint="eastAsia"/>
          <w:bCs/>
          <w:color w:val="000000" w:themeColor="text1"/>
          <w:sz w:val="24"/>
          <w14:textFill>
            <w14:solidFill>
              <w14:schemeClr w14:val="tx1"/>
            </w14:solidFill>
          </w14:textFill>
        </w:rPr>
        <w:t>报</w:t>
      </w:r>
      <w:r>
        <w:rPr>
          <w:bCs/>
          <w:color w:val="000000" w:themeColor="text1"/>
          <w:sz w:val="24"/>
          <w14:textFill>
            <w14:solidFill>
              <w14:schemeClr w14:val="tx1"/>
            </w14:solidFill>
          </w14:textFill>
        </w:rPr>
        <w:t>中国证监会</w:t>
      </w:r>
      <w:r>
        <w:rPr>
          <w:rFonts w:hint="eastAsia"/>
          <w:bCs/>
          <w:color w:val="000000" w:themeColor="text1"/>
          <w:sz w:val="24"/>
          <w14:textFill>
            <w14:solidFill>
              <w14:schemeClr w14:val="tx1"/>
            </w14:solidFill>
          </w14:textFill>
        </w:rPr>
        <w:t>备案</w:t>
      </w:r>
      <w:r>
        <w:rPr>
          <w:bCs/>
          <w:color w:val="000000" w:themeColor="text1"/>
          <w:sz w:val="24"/>
          <w14:textFill>
            <w14:solidFill>
              <w14:schemeClr w14:val="tx1"/>
            </w14:solidFill>
          </w14:textFill>
        </w:rPr>
        <w:t>；</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5、公告：基金托管人更换后，由基金管理人在更换基金托管人的基金份额持有人大会决议生效后</w:t>
      </w:r>
      <w:r>
        <w:rPr>
          <w:rFonts w:hint="eastAsia"/>
          <w:bCs/>
          <w:color w:val="000000" w:themeColor="text1"/>
          <w:sz w:val="24"/>
          <w14:textFill>
            <w14:solidFill>
              <w14:schemeClr w14:val="tx1"/>
            </w14:solidFill>
          </w14:textFill>
        </w:rPr>
        <w:t>2</w:t>
      </w:r>
      <w:r>
        <w:rPr>
          <w:bCs/>
          <w:color w:val="000000" w:themeColor="text1"/>
          <w:sz w:val="24"/>
          <w14:textFill>
            <w14:solidFill>
              <w14:schemeClr w14:val="tx1"/>
            </w14:solidFill>
          </w14:textFill>
        </w:rPr>
        <w:t>日内在</w:t>
      </w:r>
      <w:r>
        <w:rPr>
          <w:rFonts w:hint="eastAsia"/>
          <w:bCs/>
          <w:color w:val="000000" w:themeColor="text1"/>
          <w:sz w:val="24"/>
          <w14:textFill>
            <w14:solidFill>
              <w14:schemeClr w14:val="tx1"/>
            </w14:solidFill>
          </w14:textFill>
        </w:rPr>
        <w:t>规定媒介</w:t>
      </w:r>
      <w:r>
        <w:rPr>
          <w:bCs/>
          <w:color w:val="000000" w:themeColor="text1"/>
          <w:sz w:val="24"/>
          <w14:textFill>
            <w14:solidFill>
              <w14:schemeClr w14:val="tx1"/>
            </w14:solidFill>
          </w14:textFill>
        </w:rPr>
        <w:t>公告</w:t>
      </w:r>
      <w:r>
        <w:rPr>
          <w:rFonts w:hint="eastAsia"/>
          <w:bCs/>
          <w:color w:val="000000" w:themeColor="text1"/>
          <w:sz w:val="24"/>
          <w14:textFill>
            <w14:solidFill>
              <w14:schemeClr w14:val="tx1"/>
            </w14:solidFill>
          </w14:textFill>
        </w:rPr>
        <w:t>；</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6、交接：基金托管人职责终止的，应当妥善保管基金财产和基金托管业务资料，及时办理基金财产和基金托管业务的移交手续，新任基金托管人或者临时基金托管人应当及时接收。新任基金托管人</w:t>
      </w:r>
      <w:r>
        <w:rPr>
          <w:rFonts w:hint="eastAsia"/>
          <w:bCs/>
          <w:color w:val="000000" w:themeColor="text1"/>
          <w:sz w:val="24"/>
          <w14:textFill>
            <w14:solidFill>
              <w14:schemeClr w14:val="tx1"/>
            </w14:solidFill>
          </w14:textFill>
        </w:rPr>
        <w:t>或者临时基金托管人应</w:t>
      </w:r>
      <w:r>
        <w:rPr>
          <w:bCs/>
          <w:color w:val="000000" w:themeColor="text1"/>
          <w:sz w:val="24"/>
          <w14:textFill>
            <w14:solidFill>
              <w14:schemeClr w14:val="tx1"/>
            </w14:solidFill>
          </w14:textFill>
        </w:rPr>
        <w:t>与基金管理人核对基金资产总值</w:t>
      </w:r>
      <w:r>
        <w:rPr>
          <w:rFonts w:hint="eastAsia"/>
          <w:bCs/>
          <w:color w:val="000000" w:themeColor="text1"/>
          <w:sz w:val="24"/>
          <w14:textFill>
            <w14:solidFill>
              <w14:schemeClr w14:val="tx1"/>
            </w14:solidFill>
          </w14:textFill>
        </w:rPr>
        <w:t>和净值</w:t>
      </w:r>
      <w:r>
        <w:rPr>
          <w:bCs/>
          <w:color w:val="000000" w:themeColor="text1"/>
          <w:sz w:val="24"/>
          <w14:textFill>
            <w14:solidFill>
              <w14:schemeClr w14:val="tx1"/>
            </w14:solidFill>
          </w14:textFill>
        </w:rPr>
        <w:t>；</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7、审计：基金托管人职责终止的，应当按照法律法规规定聘请会计师事务所对基金财产进行审计，并将审计结果予以公告，同时报中国证监会备案</w:t>
      </w:r>
      <w:r>
        <w:rPr>
          <w:rFonts w:hint="eastAsia"/>
          <w:bCs/>
          <w:color w:val="000000" w:themeColor="text1"/>
          <w:sz w:val="24"/>
          <w14:textFill>
            <w14:solidFill>
              <w14:schemeClr w14:val="tx1"/>
            </w14:solidFill>
          </w14:textFill>
        </w:rPr>
        <w:t>，审计费用从基金财产中列支</w:t>
      </w:r>
      <w:r>
        <w:rPr>
          <w:bCs/>
          <w:color w:val="000000" w:themeColor="text1"/>
          <w:sz w:val="24"/>
          <w14:textFill>
            <w14:solidFill>
              <w14:schemeClr w14:val="tx1"/>
            </w14:solidFill>
          </w14:textFill>
        </w:rPr>
        <w:t>。</w:t>
      </w:r>
    </w:p>
    <w:p>
      <w:pPr>
        <w:spacing w:line="360" w:lineRule="auto"/>
        <w:ind w:firstLine="480" w:firstLineChars="200"/>
        <w:rPr>
          <w:bCs/>
          <w:color w:val="000000" w:themeColor="text1"/>
          <w:sz w:val="24"/>
          <w14:textFill>
            <w14:solidFill>
              <w14:schemeClr w14:val="tx1"/>
            </w14:solidFill>
          </w14:textFill>
        </w:rPr>
      </w:pPr>
      <w:bookmarkStart w:id="237" w:name="_Toc1357"/>
      <w:r>
        <w:rPr>
          <w:bCs/>
          <w:color w:val="000000" w:themeColor="text1"/>
          <w:sz w:val="24"/>
          <w14:textFill>
            <w14:solidFill>
              <w14:schemeClr w14:val="tx1"/>
            </w14:solidFill>
          </w14:textFill>
        </w:rPr>
        <w:t>（三）基金管理人与基金托管人同时更换的条件和程序</w:t>
      </w:r>
      <w:bookmarkEnd w:id="237"/>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w:t>
      </w: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提名：如果基金管理人和基金托管人同时更换，由单独或合计持有基金总份额</w:t>
      </w:r>
      <w:r>
        <w:rPr>
          <w:rFonts w:hint="eastAsia"/>
          <w:bCs/>
          <w:color w:val="000000" w:themeColor="text1"/>
          <w:sz w:val="24"/>
          <w14:textFill>
            <w14:solidFill>
              <w14:schemeClr w14:val="tx1"/>
            </w14:solidFill>
          </w14:textFill>
        </w:rPr>
        <w:t>10%</w:t>
      </w:r>
      <w:r>
        <w:rPr>
          <w:bCs/>
          <w:color w:val="000000" w:themeColor="text1"/>
          <w:sz w:val="24"/>
          <w14:textFill>
            <w14:solidFill>
              <w14:schemeClr w14:val="tx1"/>
            </w14:solidFill>
          </w14:textFill>
        </w:rPr>
        <w:t>以上（含</w:t>
      </w:r>
      <w:r>
        <w:rPr>
          <w:rFonts w:hint="eastAsia"/>
          <w:bCs/>
          <w:color w:val="000000" w:themeColor="text1"/>
          <w:sz w:val="24"/>
          <w14:textFill>
            <w14:solidFill>
              <w14:schemeClr w14:val="tx1"/>
            </w14:solidFill>
          </w14:textFill>
        </w:rPr>
        <w:t>10%</w:t>
      </w:r>
      <w:r>
        <w:rPr>
          <w:bCs/>
          <w:color w:val="000000" w:themeColor="text1"/>
          <w:sz w:val="24"/>
          <w14:textFill>
            <w14:solidFill>
              <w14:schemeClr w14:val="tx1"/>
            </w14:solidFill>
          </w14:textFill>
        </w:rPr>
        <w:t>）的基金份额持有人提名新的基金管理人和基金托管人；</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2</w:t>
      </w: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基金管理人和基金托管人的更换分别按上述程序进行；</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3</w:t>
      </w: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公告：新任基金管理人和新任基金托管人应在更换基金管理人和基金托管人的基金份额持有人大会决议</w:t>
      </w:r>
      <w:r>
        <w:rPr>
          <w:rFonts w:hint="eastAsia"/>
          <w:bCs/>
          <w:color w:val="000000" w:themeColor="text1"/>
          <w:sz w:val="24"/>
          <w14:textFill>
            <w14:solidFill>
              <w14:schemeClr w14:val="tx1"/>
            </w14:solidFill>
          </w14:textFill>
        </w:rPr>
        <w:t>生效</w:t>
      </w:r>
      <w:r>
        <w:rPr>
          <w:bCs/>
          <w:color w:val="000000" w:themeColor="text1"/>
          <w:sz w:val="24"/>
          <w14:textFill>
            <w14:solidFill>
              <w14:schemeClr w14:val="tx1"/>
            </w14:solidFill>
          </w14:textFill>
        </w:rPr>
        <w:t>后2日内在</w:t>
      </w:r>
      <w:r>
        <w:rPr>
          <w:rFonts w:hint="eastAsia"/>
          <w:bCs/>
          <w:color w:val="000000" w:themeColor="text1"/>
          <w:sz w:val="24"/>
          <w14:textFill>
            <w14:solidFill>
              <w14:schemeClr w14:val="tx1"/>
            </w14:solidFill>
          </w14:textFill>
        </w:rPr>
        <w:t>规定媒介</w:t>
      </w:r>
      <w:r>
        <w:rPr>
          <w:bCs/>
          <w:color w:val="000000" w:themeColor="text1"/>
          <w:sz w:val="24"/>
          <w14:textFill>
            <w14:solidFill>
              <w14:schemeClr w14:val="tx1"/>
            </w14:solidFill>
          </w14:textFill>
        </w:rPr>
        <w:t>上联合公告。</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三、新任基金管理人或临时基金管理人接收基金管理业务，或新任基金托管人或临时基金托管人接收基金财产和基金托管业务前，原基金管理人或原基金托管人应继续履行相关职责，并保证不做出对基金份额持有人的利益造成损害的行为。原基金管理人或基金托管人在继续履行相关职责期间，仍有权按照本基金合同的规定收取基金管理费或基金托管费。</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四、本部分关于基金管理人、基金托管人更换条件和程序的约定，凡是直接引用法律法规的部分，如将来法律法规修改导致相关内容被取消或变更的，基金管理人与基金托管人协商一致并提前公告后，可直接对相应内容进行修改和调整，无需召开基金份额持有人大会审议。</w:t>
      </w:r>
    </w:p>
    <w:p>
      <w:pPr>
        <w:spacing w:line="360" w:lineRule="auto"/>
        <w:ind w:firstLine="480" w:firstLineChars="200"/>
        <w:rPr>
          <w:bCs/>
          <w:color w:val="000000" w:themeColor="text1"/>
          <w:sz w:val="24"/>
          <w14:textFill>
            <w14:solidFill>
              <w14:schemeClr w14:val="tx1"/>
            </w14:solidFill>
          </w14:textFill>
        </w:rPr>
      </w:pPr>
    </w:p>
    <w:p>
      <w:pPr>
        <w:pStyle w:val="2"/>
        <w:spacing w:before="0" w:after="0"/>
        <w:jc w:val="center"/>
        <w:rPr>
          <w:rFonts w:ascii="Times New Roman"/>
          <w:color w:val="000000" w:themeColor="text1"/>
          <w:sz w:val="30"/>
          <w14:textFill>
            <w14:solidFill>
              <w14:schemeClr w14:val="tx1"/>
            </w14:solidFill>
          </w14:textFill>
        </w:rPr>
      </w:pPr>
      <w:r>
        <w:rPr>
          <w:rFonts w:ascii="Times New Roman"/>
          <w:b w:val="0"/>
          <w:bCs/>
          <w:color w:val="000000" w:themeColor="text1"/>
          <w:kern w:val="2"/>
          <w14:textFill>
            <w14:solidFill>
              <w14:schemeClr w14:val="tx1"/>
            </w14:solidFill>
          </w14:textFill>
        </w:rPr>
        <w:br w:type="page"/>
      </w:r>
      <w:bookmarkStart w:id="238" w:name="_Toc98560356"/>
      <w:bookmarkStart w:id="239" w:name="_Toc95997121"/>
      <w:bookmarkStart w:id="240" w:name="_Toc29408"/>
      <w:bookmarkStart w:id="241" w:name="_Toc5170"/>
      <w:bookmarkStart w:id="242" w:name="_Toc32584"/>
      <w:bookmarkStart w:id="243" w:name="_Toc123112238"/>
      <w:bookmarkStart w:id="244" w:name="_Toc141703890"/>
      <w:bookmarkStart w:id="245" w:name="_Toc123102457"/>
      <w:bookmarkStart w:id="246" w:name="_Toc739"/>
      <w:bookmarkStart w:id="247" w:name="_Toc123051456"/>
      <w:bookmarkStart w:id="248" w:name="_Toc3329"/>
      <w:bookmarkStart w:id="249" w:name="_Toc8791"/>
      <w:bookmarkStart w:id="250" w:name="_Toc139991740"/>
      <w:bookmarkStart w:id="251" w:name="_Toc21237"/>
      <w:bookmarkStart w:id="252" w:name="_Toc48649708"/>
      <w:bookmarkStart w:id="253" w:name="_Toc17920"/>
      <w:bookmarkStart w:id="254" w:name="_Toc17198"/>
      <w:bookmarkStart w:id="255" w:name="_Toc79392622"/>
      <w:bookmarkStart w:id="256" w:name="_Toc32092"/>
      <w:r>
        <w:rPr>
          <w:rFonts w:ascii="Times New Roman"/>
          <w:color w:val="000000" w:themeColor="text1"/>
          <w:sz w:val="30"/>
          <w14:textFill>
            <w14:solidFill>
              <w14:schemeClr w14:val="tx1"/>
            </w14:solidFill>
          </w14:textFill>
        </w:rPr>
        <w:t>第十部分  基金的托管</w:t>
      </w:r>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p>
    <w:p>
      <w:pPr>
        <w:autoSpaceDE w:val="0"/>
        <w:autoSpaceDN w:val="0"/>
        <w:spacing w:line="360" w:lineRule="auto"/>
        <w:textAlignment w:val="bottom"/>
        <w:rPr>
          <w:bCs/>
          <w:color w:val="000000" w:themeColor="text1"/>
          <w:sz w:val="24"/>
          <w14:textFill>
            <w14:solidFill>
              <w14:schemeClr w14:val="tx1"/>
            </w14:solidFill>
          </w14:textFill>
        </w:rPr>
      </w:pP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基金托管人和基金管理人按照《基金法》、《基金合同》及其他有关规定订立托管协议。</w:t>
      </w:r>
    </w:p>
    <w:p>
      <w:pPr>
        <w:autoSpaceDE w:val="0"/>
        <w:autoSpaceDN w:val="0"/>
        <w:spacing w:line="360" w:lineRule="auto"/>
        <w:ind w:firstLine="480" w:firstLineChars="200"/>
        <w:textAlignment w:val="bottom"/>
        <w:rPr>
          <w:bCs/>
          <w:color w:val="000000" w:themeColor="text1"/>
          <w:sz w:val="24"/>
          <w14:textFill>
            <w14:solidFill>
              <w14:schemeClr w14:val="tx1"/>
            </w14:solidFill>
          </w14:textFill>
        </w:rPr>
      </w:pPr>
      <w:r>
        <w:rPr>
          <w:bCs/>
          <w:color w:val="000000" w:themeColor="text1"/>
          <w:sz w:val="24"/>
          <w14:textFill>
            <w14:solidFill>
              <w14:schemeClr w14:val="tx1"/>
            </w14:solidFill>
          </w14:textFill>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pPr>
        <w:pStyle w:val="2"/>
        <w:spacing w:before="0" w:after="0"/>
        <w:jc w:val="center"/>
        <w:rPr>
          <w:rFonts w:ascii="Times New Roman"/>
          <w:color w:val="000000" w:themeColor="text1"/>
          <w:sz w:val="30"/>
          <w14:textFill>
            <w14:solidFill>
              <w14:schemeClr w14:val="tx1"/>
            </w14:solidFill>
          </w14:textFill>
        </w:rPr>
      </w:pPr>
      <w:r>
        <w:rPr>
          <w:rFonts w:ascii="Times New Roman"/>
          <w:b w:val="0"/>
          <w:bCs/>
          <w:color w:val="000000" w:themeColor="text1"/>
          <w14:textFill>
            <w14:solidFill>
              <w14:schemeClr w14:val="tx1"/>
            </w14:solidFill>
          </w14:textFill>
        </w:rPr>
        <w:br w:type="page"/>
      </w:r>
      <w:bookmarkStart w:id="257" w:name="_Toc123112239"/>
      <w:bookmarkStart w:id="258" w:name="_Toc139991741"/>
      <w:bookmarkStart w:id="259" w:name="_Toc123051457"/>
      <w:bookmarkStart w:id="260" w:name="_Toc2255"/>
      <w:bookmarkStart w:id="261" w:name="_Toc21886"/>
      <w:bookmarkStart w:id="262" w:name="_Toc26152"/>
      <w:bookmarkStart w:id="263" w:name="_Toc22674"/>
      <w:bookmarkStart w:id="264" w:name="_Toc26383"/>
      <w:bookmarkStart w:id="265" w:name="_Toc95997122"/>
      <w:bookmarkStart w:id="266" w:name="_Toc26084"/>
      <w:bookmarkStart w:id="267" w:name="_Toc16789"/>
      <w:bookmarkStart w:id="268" w:name="_Toc79392624"/>
      <w:bookmarkStart w:id="269" w:name="_Toc123102458"/>
      <w:bookmarkStart w:id="270" w:name="_Toc14725"/>
      <w:bookmarkStart w:id="271" w:name="_Toc3244"/>
      <w:bookmarkStart w:id="272" w:name="_Toc48649710"/>
      <w:bookmarkStart w:id="273" w:name="_Toc98560357"/>
      <w:bookmarkStart w:id="274" w:name="_Toc141703891"/>
      <w:bookmarkStart w:id="275" w:name="_Toc19520"/>
      <w:r>
        <w:rPr>
          <w:rFonts w:ascii="Times New Roman"/>
          <w:color w:val="000000" w:themeColor="text1"/>
          <w:sz w:val="30"/>
          <w14:textFill>
            <w14:solidFill>
              <w14:schemeClr w14:val="tx1"/>
            </w14:solidFill>
          </w14:textFill>
        </w:rPr>
        <w:t>第十一部分  基金份额的登记</w:t>
      </w:r>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p>
    <w:p>
      <w:pPr>
        <w:autoSpaceDE w:val="0"/>
        <w:autoSpaceDN w:val="0"/>
        <w:spacing w:line="360" w:lineRule="auto"/>
        <w:textAlignment w:val="bottom"/>
        <w:rPr>
          <w:bCs/>
          <w:color w:val="000000" w:themeColor="text1"/>
          <w:sz w:val="24"/>
          <w14:textFill>
            <w14:solidFill>
              <w14:schemeClr w14:val="tx1"/>
            </w14:solidFill>
          </w14:textFill>
        </w:rPr>
      </w:pP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一、基金份额的登记业务</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本基金的登记业务指本基金登记、存管、过户、清算和结算业务，具体内容包括投资人基金账户的建立和管理、基金份额登记、基金销售业务的确认、清算和结算、代理发放红利、建立并保管基金份额持有人名册</w:t>
      </w:r>
      <w:r>
        <w:rPr>
          <w:rFonts w:hint="eastAsia"/>
          <w:bCs/>
          <w:color w:val="000000" w:themeColor="text1"/>
          <w:sz w:val="24"/>
          <w14:textFill>
            <w14:solidFill>
              <w14:schemeClr w14:val="tx1"/>
            </w14:solidFill>
          </w14:textFill>
        </w:rPr>
        <w:t>和办理非交易过户</w:t>
      </w:r>
      <w:r>
        <w:rPr>
          <w:bCs/>
          <w:color w:val="000000" w:themeColor="text1"/>
          <w:sz w:val="24"/>
          <w14:textFill>
            <w14:solidFill>
              <w14:schemeClr w14:val="tx1"/>
            </w14:solidFill>
          </w14:textFill>
        </w:rPr>
        <w:t>等</w:t>
      </w:r>
      <w:r>
        <w:rPr>
          <w:rFonts w:hint="eastAsia"/>
          <w:bCs/>
          <w:color w:val="000000" w:themeColor="text1"/>
          <w:sz w:val="24"/>
          <w14:textFill>
            <w14:solidFill>
              <w14:schemeClr w14:val="tx1"/>
            </w14:solidFill>
          </w14:textFill>
        </w:rPr>
        <w:t>。</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二、基金登记业务办理机构</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w:t>
      </w:r>
      <w:r>
        <w:rPr>
          <w:rFonts w:hint="eastAsia"/>
          <w:bCs/>
          <w:color w:val="000000" w:themeColor="text1"/>
          <w:sz w:val="24"/>
          <w14:textFill>
            <w14:solidFill>
              <w14:schemeClr w14:val="tx1"/>
            </w14:solidFill>
          </w14:textFill>
        </w:rPr>
        <w:t>和办理非交易过户</w:t>
      </w:r>
      <w:r>
        <w:rPr>
          <w:bCs/>
          <w:color w:val="000000" w:themeColor="text1"/>
          <w:sz w:val="24"/>
          <w14:textFill>
            <w14:solidFill>
              <w14:schemeClr w14:val="tx1"/>
            </w14:solidFill>
          </w14:textFill>
        </w:rPr>
        <w:t>等事宜中的权利和义务，保护基金份额持有人的合法权益。</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三、基金登记机构的权利</w:t>
      </w:r>
      <w:bookmarkStart w:id="276" w:name="_Hlt88820748"/>
      <w:bookmarkEnd w:id="276"/>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基金登记机构享有以下权利：</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1、取得登记费；</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2、建立和管理投资者基金账户；</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3、保管基金份额持有人开户资料、交易资料、基金份额持有人名册等；</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4、在法律法规允许的范围内，</w:t>
      </w:r>
      <w:r>
        <w:rPr>
          <w:rFonts w:hint="eastAsia"/>
          <w:bCs/>
          <w:color w:val="000000" w:themeColor="text1"/>
          <w:sz w:val="24"/>
          <w14:textFill>
            <w14:solidFill>
              <w14:schemeClr w14:val="tx1"/>
            </w14:solidFill>
          </w14:textFill>
        </w:rPr>
        <w:t>制定和调整</w:t>
      </w:r>
      <w:r>
        <w:rPr>
          <w:bCs/>
          <w:color w:val="000000" w:themeColor="text1"/>
          <w:sz w:val="24"/>
          <w14:textFill>
            <w14:solidFill>
              <w14:schemeClr w14:val="tx1"/>
            </w14:solidFill>
          </w14:textFill>
        </w:rPr>
        <w:t>登记业务的</w:t>
      </w:r>
      <w:r>
        <w:rPr>
          <w:rFonts w:hint="eastAsia"/>
          <w:bCs/>
          <w:color w:val="000000" w:themeColor="text1"/>
          <w:sz w:val="24"/>
          <w14:textFill>
            <w14:solidFill>
              <w14:schemeClr w14:val="tx1"/>
            </w14:solidFill>
          </w14:textFill>
        </w:rPr>
        <w:t>相关规则</w:t>
      </w:r>
      <w:r>
        <w:rPr>
          <w:bCs/>
          <w:color w:val="000000" w:themeColor="text1"/>
          <w:sz w:val="24"/>
          <w14:textFill>
            <w14:solidFill>
              <w14:schemeClr w14:val="tx1"/>
            </w14:solidFill>
          </w14:textFill>
        </w:rPr>
        <w:t>，并依照有关规定于开始实施前在</w:t>
      </w:r>
      <w:r>
        <w:rPr>
          <w:rFonts w:hint="eastAsia"/>
          <w:bCs/>
          <w:color w:val="000000" w:themeColor="text1"/>
          <w:sz w:val="24"/>
          <w14:textFill>
            <w14:solidFill>
              <w14:schemeClr w14:val="tx1"/>
            </w14:solidFill>
          </w14:textFill>
        </w:rPr>
        <w:t>规</w:t>
      </w:r>
      <w:r>
        <w:rPr>
          <w:bCs/>
          <w:color w:val="000000" w:themeColor="text1"/>
          <w:sz w:val="24"/>
          <w14:textFill>
            <w14:solidFill>
              <w14:schemeClr w14:val="tx1"/>
            </w14:solidFill>
          </w14:textFill>
        </w:rPr>
        <w:t>定</w:t>
      </w:r>
      <w:r>
        <w:rPr>
          <w:rFonts w:hint="eastAsia"/>
          <w:bCs/>
          <w:color w:val="000000" w:themeColor="text1"/>
          <w:sz w:val="24"/>
          <w14:textFill>
            <w14:solidFill>
              <w14:schemeClr w14:val="tx1"/>
            </w14:solidFill>
          </w14:textFill>
        </w:rPr>
        <w:t>媒介</w:t>
      </w:r>
      <w:r>
        <w:rPr>
          <w:bCs/>
          <w:color w:val="000000" w:themeColor="text1"/>
          <w:sz w:val="24"/>
          <w14:textFill>
            <w14:solidFill>
              <w14:schemeClr w14:val="tx1"/>
            </w14:solidFill>
          </w14:textFill>
        </w:rPr>
        <w:t>上公告；</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5、</w:t>
      </w:r>
      <w:r>
        <w:rPr>
          <w:rFonts w:hint="eastAsia"/>
          <w:bCs/>
          <w:color w:val="000000" w:themeColor="text1"/>
          <w:sz w:val="24"/>
          <w14:textFill>
            <w14:solidFill>
              <w14:schemeClr w14:val="tx1"/>
            </w14:solidFill>
          </w14:textFill>
        </w:rPr>
        <w:t>法律法规及中国证监会规定的和《基金合同》约定的其他</w:t>
      </w:r>
      <w:r>
        <w:rPr>
          <w:bCs/>
          <w:color w:val="000000" w:themeColor="text1"/>
          <w:sz w:val="24"/>
          <w14:textFill>
            <w14:solidFill>
              <w14:schemeClr w14:val="tx1"/>
            </w14:solidFill>
          </w14:textFill>
        </w:rPr>
        <w:t>权利。</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四、基金登记机构的义务</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基金登记机构承担以下义务：</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1、配备足够的专业人员办理本基金份额的登记业务；</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2、严格按照法律法规和《基金合同》规定的条件办理本基金份额的登记业务；</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3、妥善保存登记数据，并将基金份额持有人名称、身份信息及基金份额明细等数据备份至中国证监会认定的机构。其保存期限自基金账户销户之日起不得少于20年；</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4、对基金份额持有人的基金账户信息负有保密义务，因违反该保密义务对投资者或基金带来的损失，须承担相应的赔偿责任，但司法强制检查情形及</w:t>
      </w:r>
      <w:r>
        <w:rPr>
          <w:rFonts w:hint="eastAsia"/>
          <w:bCs/>
          <w:color w:val="000000" w:themeColor="text1"/>
          <w:sz w:val="24"/>
          <w14:textFill>
            <w14:solidFill>
              <w14:schemeClr w14:val="tx1"/>
            </w14:solidFill>
          </w14:textFill>
        </w:rPr>
        <w:t>法律法规及中国证监会规定的和《基金合同》约定的其他</w:t>
      </w:r>
      <w:r>
        <w:rPr>
          <w:bCs/>
          <w:color w:val="000000" w:themeColor="text1"/>
          <w:sz w:val="24"/>
          <w14:textFill>
            <w14:solidFill>
              <w14:schemeClr w14:val="tx1"/>
            </w14:solidFill>
          </w14:textFill>
        </w:rPr>
        <w:t>情形除外；</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5、按《基金合同》及招募说明书规定为投资者办理非交易过户业务、提供其他必要的服务；</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6、接受基金管理人的监督；</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7、</w:t>
      </w:r>
      <w:r>
        <w:rPr>
          <w:rFonts w:hint="eastAsia"/>
          <w:bCs/>
          <w:color w:val="000000" w:themeColor="text1"/>
          <w:sz w:val="24"/>
          <w14:textFill>
            <w14:solidFill>
              <w14:schemeClr w14:val="tx1"/>
            </w14:solidFill>
          </w14:textFill>
        </w:rPr>
        <w:t>法律法规及中国证监会规定的和《基金合同》约定的其他</w:t>
      </w:r>
      <w:r>
        <w:rPr>
          <w:bCs/>
          <w:color w:val="000000" w:themeColor="text1"/>
          <w:sz w:val="24"/>
          <w14:textFill>
            <w14:solidFill>
              <w14:schemeClr w14:val="tx1"/>
            </w14:solidFill>
          </w14:textFill>
        </w:rPr>
        <w:t>义务。</w:t>
      </w:r>
    </w:p>
    <w:p>
      <w:pPr>
        <w:pStyle w:val="2"/>
        <w:spacing w:before="0" w:after="0"/>
        <w:jc w:val="center"/>
        <w:rPr>
          <w:rFonts w:ascii="Times New Roman"/>
          <w:color w:val="000000" w:themeColor="text1"/>
          <w:sz w:val="30"/>
          <w14:textFill>
            <w14:solidFill>
              <w14:schemeClr w14:val="tx1"/>
            </w14:solidFill>
          </w14:textFill>
        </w:rPr>
      </w:pPr>
      <w:r>
        <w:rPr>
          <w:rFonts w:ascii="Times New Roman"/>
          <w:b w:val="0"/>
          <w:bCs/>
          <w:color w:val="000000" w:themeColor="text1"/>
          <w14:textFill>
            <w14:solidFill>
              <w14:schemeClr w14:val="tx1"/>
            </w14:solidFill>
          </w14:textFill>
        </w:rPr>
        <w:br w:type="page"/>
      </w:r>
      <w:bookmarkStart w:id="277" w:name="_Toc11351"/>
      <w:bookmarkStart w:id="278" w:name="_Toc578"/>
      <w:bookmarkStart w:id="279" w:name="_Toc5477"/>
      <w:bookmarkStart w:id="280" w:name="_Toc95997123"/>
      <w:bookmarkStart w:id="281" w:name="_Toc2981"/>
      <w:bookmarkStart w:id="282" w:name="_Toc11395"/>
      <w:bookmarkStart w:id="283" w:name="_Toc21917"/>
      <w:bookmarkStart w:id="284" w:name="_Toc22538"/>
      <w:bookmarkStart w:id="285" w:name="_Toc3872"/>
      <w:bookmarkStart w:id="286" w:name="_Toc801"/>
      <w:bookmarkStart w:id="287" w:name="_Toc16437"/>
      <w:r>
        <w:rPr>
          <w:rFonts w:ascii="Times New Roman"/>
          <w:color w:val="000000" w:themeColor="text1"/>
          <w:sz w:val="30"/>
          <w14:textFill>
            <w14:solidFill>
              <w14:schemeClr w14:val="tx1"/>
            </w14:solidFill>
          </w14:textFill>
        </w:rPr>
        <w:t>第十二部分  基金的投资</w:t>
      </w:r>
      <w:bookmarkEnd w:id="277"/>
      <w:bookmarkEnd w:id="278"/>
      <w:bookmarkEnd w:id="279"/>
      <w:bookmarkEnd w:id="280"/>
      <w:bookmarkEnd w:id="281"/>
      <w:bookmarkEnd w:id="282"/>
      <w:bookmarkEnd w:id="283"/>
      <w:bookmarkEnd w:id="284"/>
      <w:bookmarkEnd w:id="285"/>
      <w:bookmarkEnd w:id="286"/>
      <w:bookmarkEnd w:id="287"/>
    </w:p>
    <w:p>
      <w:pPr>
        <w:spacing w:line="360" w:lineRule="auto"/>
        <w:ind w:firstLine="480" w:firstLineChars="200"/>
        <w:rPr>
          <w:bCs/>
          <w:color w:val="000000" w:themeColor="text1"/>
          <w:sz w:val="24"/>
          <w14:textFill>
            <w14:solidFill>
              <w14:schemeClr w14:val="tx1"/>
            </w14:solidFill>
          </w14:textFill>
        </w:rPr>
      </w:pP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一、投资目标</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本基金在严格控制投资组合风险的前提下，重点投资央企债，力争为基金份额持有人获取超越业绩比较基准的投资回报。</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二、投资范围</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本基金的投资范围主要为具有良好流动性的金融工具，包括公开发行的债券（包括国债、地方政府债、金融债、央行票据、公司债、企业债、中期票据、短期融资券、超短期融资券、政府支持机构债、政府支持债券、次级债、</w:t>
      </w:r>
      <w:r>
        <w:rPr>
          <w:bCs/>
          <w:color w:val="000000" w:themeColor="text1"/>
          <w:sz w:val="24"/>
          <w14:textFill>
            <w14:solidFill>
              <w14:schemeClr w14:val="tx1"/>
            </w14:solidFill>
          </w14:textFill>
        </w:rPr>
        <w:t>可分离交易可转债的纯债部分</w:t>
      </w:r>
      <w:r>
        <w:rPr>
          <w:rFonts w:hint="eastAsia"/>
          <w:bCs/>
          <w:color w:val="000000" w:themeColor="text1"/>
          <w:sz w:val="24"/>
          <w14:textFill>
            <w14:solidFill>
              <w14:schemeClr w14:val="tx1"/>
            </w14:solidFill>
          </w14:textFill>
        </w:rPr>
        <w:t>）、债券回购、银行存款（包括协议存款、通知存款、定期存款及其他银行存款）、同业存单、货币市场工具以及法律法规或中国证监会允许基金投资的其他金融工具，但须符合中国证监会相关规定。</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本基金不投资于股票资产，也不投资于可转换债券（可分离交易可转债的纯债部分除外）、可交换债券。</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如法律法规或监管机构以后允许基金投资其他品种，基金管理人在履行适当程序后，可以将其纳入投资范围，其投资比例遵循届时有效的法律法规和相关规定。</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基金的投资组合比例为：本基金对债券的投资比例不低于基金资产的80%，其中投资于本基金界定的央企债的比例不低于非现金基金资产的80%；但应开放期流动性需要，为保护基金份额持有人利益，在每次开放期前</w:t>
      </w:r>
      <w:r>
        <w:rPr>
          <w:rFonts w:hint="eastAsia"/>
          <w:bCs/>
          <w:color w:val="000000" w:themeColor="text1"/>
          <w:sz w:val="24"/>
          <w14:textFill>
            <w14:solidFill>
              <w14:schemeClr w14:val="tx1"/>
            </w14:solidFill>
          </w14:textFill>
        </w:rPr>
        <w:t>15个工作日</w:t>
      </w:r>
      <w:r>
        <w:rPr>
          <w:bCs/>
          <w:color w:val="000000" w:themeColor="text1"/>
          <w:sz w:val="24"/>
          <w14:textFill>
            <w14:solidFill>
              <w14:schemeClr w14:val="tx1"/>
            </w14:solidFill>
          </w14:textFill>
        </w:rPr>
        <w:t>、开放期及开放期结束后</w:t>
      </w:r>
      <w:r>
        <w:rPr>
          <w:rFonts w:hint="eastAsia"/>
          <w:bCs/>
          <w:color w:val="000000" w:themeColor="text1"/>
          <w:sz w:val="24"/>
          <w14:textFill>
            <w14:solidFill>
              <w14:schemeClr w14:val="tx1"/>
            </w14:solidFill>
          </w14:textFill>
        </w:rPr>
        <w:t>15个工作日</w:t>
      </w:r>
      <w:r>
        <w:rPr>
          <w:bCs/>
          <w:color w:val="000000" w:themeColor="text1"/>
          <w:sz w:val="24"/>
          <w14:textFill>
            <w14:solidFill>
              <w14:schemeClr w14:val="tx1"/>
            </w14:solidFill>
          </w14:textFill>
        </w:rPr>
        <w:t>的期间内，基金投资不受上述比例限制。开放期内，本基金持有的现金或者到期日在一年以内的政府债券不低于基金资产净值的5％，其中现金不包括结算备付金、存出保证金、应收申购款等；在封闭期内，本基金不受上述5%的限制。</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如法律法规或中国证监会变更投资品种的投资比例限制，基金管理人、基金托管人协商一致并履行适当程序后，可以调整上述投资品种的投资比例。</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三、投资策略</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（一）封闭期</w:t>
      </w:r>
      <w:r>
        <w:rPr>
          <w:bCs/>
          <w:color w:val="000000" w:themeColor="text1"/>
          <w:sz w:val="24"/>
          <w14:textFill>
            <w14:solidFill>
              <w14:schemeClr w14:val="tx1"/>
            </w14:solidFill>
          </w14:textFill>
        </w:rPr>
        <w:t>投资</w:t>
      </w:r>
      <w:r>
        <w:rPr>
          <w:rFonts w:hint="eastAsia"/>
          <w:bCs/>
          <w:color w:val="000000" w:themeColor="text1"/>
          <w:sz w:val="24"/>
          <w14:textFill>
            <w14:solidFill>
              <w14:schemeClr w14:val="tx1"/>
            </w14:solidFill>
          </w14:textFill>
        </w:rPr>
        <w:t>策略</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本基金主要投资于央企债，将通过综合分析国内外宏观经济运行状况和金融市场运行趋势等因素，根据整体资产配置策略动态调整大类金融资产的比例；在充分分析债券市场环境及市场流动性的基础上，决定组合的久期水平、期限结构和类属配置，并在此基础之上实施积极的债券投资组合管理，以获取较高的投资收益。</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1、央企债主题界定</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本基金将根据国务院国有资产监督管理委员会和财政部等国务院各部委发布的央企名录明确央企发行人。本基金所界定的央企债，</w:t>
      </w:r>
      <w:r>
        <w:rPr>
          <w:bCs/>
          <w:color w:val="000000" w:themeColor="text1"/>
          <w:sz w:val="24"/>
          <w14:textFill>
            <w14:solidFill>
              <w14:schemeClr w14:val="tx1"/>
            </w14:solidFill>
          </w14:textFill>
        </w:rPr>
        <w:t>为以上央企发行人及其控股的</w:t>
      </w:r>
      <w:r>
        <w:rPr>
          <w:rFonts w:hint="eastAsia"/>
          <w:bCs/>
          <w:color w:val="000000" w:themeColor="text1"/>
          <w:sz w:val="24"/>
          <w14:textFill>
            <w14:solidFill>
              <w14:schemeClr w14:val="tx1"/>
            </w14:solidFill>
          </w14:textFill>
        </w:rPr>
        <w:t>1级和2级企业</w:t>
      </w:r>
      <w:r>
        <w:rPr>
          <w:bCs/>
          <w:color w:val="000000" w:themeColor="text1"/>
          <w:sz w:val="24"/>
          <w14:textFill>
            <w14:solidFill>
              <w14:schemeClr w14:val="tx1"/>
            </w14:solidFill>
          </w14:textFill>
        </w:rPr>
        <w:t>发行的债券</w:t>
      </w:r>
      <w:r>
        <w:rPr>
          <w:rFonts w:hint="eastAsia"/>
          <w:bCs/>
          <w:color w:val="000000" w:themeColor="text1"/>
          <w:sz w:val="24"/>
          <w14:textFill>
            <w14:solidFill>
              <w14:schemeClr w14:val="tx1"/>
            </w14:solidFill>
          </w14:textFill>
        </w:rPr>
        <w:t>，包括</w:t>
      </w:r>
      <w:r>
        <w:rPr>
          <w:bCs/>
          <w:color w:val="000000" w:themeColor="text1"/>
          <w:sz w:val="24"/>
          <w14:textFill>
            <w14:solidFill>
              <w14:schemeClr w14:val="tx1"/>
            </w14:solidFill>
          </w14:textFill>
        </w:rPr>
        <w:t>这类企业所发行的金融债、公司债、企业债、中期票据、短期融资券、超短期融资券、政府支持机构债券、政府支持债券、</w:t>
      </w:r>
      <w:r>
        <w:rPr>
          <w:rFonts w:hint="eastAsia"/>
          <w:bCs/>
          <w:color w:val="000000" w:themeColor="text1"/>
          <w:sz w:val="24"/>
          <w14:textFill>
            <w14:solidFill>
              <w14:schemeClr w14:val="tx1"/>
            </w14:solidFill>
          </w14:textFill>
        </w:rPr>
        <w:t>次级债、</w:t>
      </w:r>
      <w:r>
        <w:rPr>
          <w:bCs/>
          <w:color w:val="000000" w:themeColor="text1"/>
          <w:sz w:val="24"/>
          <w14:textFill>
            <w14:solidFill>
              <w14:schemeClr w14:val="tx1"/>
            </w14:solidFill>
          </w14:textFill>
        </w:rPr>
        <w:t>可分离交易可转债的纯债部分等。</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2、债券资产配置策略</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在宏观经济趋势研究、货币及财政政策趋势研究的基础上，以中长期利率趋势分析和债券市场供求关系研究为核心，自上而下地决定债券组合久期、动态调整各类金融资产比例，结合收益率水平曲线形态分析和类属资产相对估值分析，优化债券组合的期限结构和类属配置。</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（1）久期配置</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基金管理人将通过积极主动地预测市场利率的变动趋势，相应调整债券组合的久期配置，以达到提高债券组合收益、降低债券组合利率风险的目的。在确定债券组合久期的过程中，基金管理人将在判断市场利率波动趋势的基础上，根据债券市场收益率曲线的当前形态，通过合理假设下的情景分析和压力测试，最后确定最优的债券组合久期。</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根据对市场利率变化趋势的预期，可适当调整组合久期，预期市场利率水平将上升时，适当降低组合久期；预期市场利率将下降时，适当提高组合久期。</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（2）期限结构配置</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对同一类属收益率曲线形态和期限结构变动进行分析，在给定组合久期以及其它组合约束条件的情形下，通过建立债券组合优化数量模型，确定最优的期限结构。</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（3）类属配置</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对不同类型固定收益品种的利率风险、流动性等因素进行分析，研究各类型投资品种的利差和变化趋势，制定债券类属配置策略，以获取不同债券类属之间利差变化所带来的投资收益。</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3、信用类固定收益类证券的投资策略</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信用品种收益率的主要影响因素为利率品种基准收益与信用利差。信用利差是信用产品相对于国债、央行票据等利率产品获取较高收益的来源，主要受两方面的影响：一是债券所对应的信用等级的市场平均信用利差水平，另一方面为发行人本身的信用状况。</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信用债市场整体的信用利差水平和信用债发行主体自身信用状况的变化都会对信用债个券的利差水平产生重要影响。信用利差方面，本基金将从经济周期、国家政策、行业景气度和债券市场的供求状况等多方面考量信用利差的整体变化趋势。发债主体信用状况方面，本基金采取内部评级与外部评级相结合的办法，对所持债券面临的信用风险进行综合评估。获取数据不仅限于经营和财务数据，同时看重外部支持和公司内部治理结构。本基金对进入债券库中的信用债券通过内部信用评级，运用定性和定量相结合、动态和静态相结合的方法，建立相应的债券库。具体操作上，采用指标定量打分制，对债券发行人进行综合打分评级，并动态跟踪债券发行人的状况，建立相应预警指标，及时对信用债券库进行更新维护。同时，本基金结合适度分散的投资策略，适时调整投资组合，降低信用债券投资的信用风险。</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为控制信用风险，基金管理人将根据国家有权机构批准或认可的信用评级机构提供的信用评级，并主要依靠内部评级系统分析信用债的相对信用水平、违约风险及理论信用利差。</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对于信用债券，本基金仅投资于央企债，其中，主动投资的信用债为信用评级在AA+级（含）以上的信用债，对信用评级的认定参照基金管理人选定的评级机构出具的信用评级，其中，信用债的信用评级依照评级机构出具的债项信用评级，若无债项信用评级的，依照其主体信用评级。</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本基金投资于评级AA+的信用债比例不高于信用债资产的50%，投资于评级AAA的信用债比例不低于信用债资产的50%。因信用评级下降、证券市场波动、基金规模变动等基金管理人之外的因素致使基金投资比例不符合上述规定的，基金管理人应当在评级报告发布之日或不符合上述规定之日起3个月内予以全部卖出或完成调整。</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4、息差策略</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利用回购等方式融入低成本资金，购买较高收益的债券，以期获取超额收益的操作方式。</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5、互换策略</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不同券种在利息、违约风险、久期、流动性、税收和衍生条款等方面存在差别，基金管理人可以同时买入和卖出具有相近特性的两个或两个以上券种，赚取收益级差。</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6、回购策略</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本基金在基础组合的基础上，使用基础组合持有的债券进行回购融入短期资金滚动操作，投资于收益率高于融资成本的其它获利机会，从而获得杠杆放大收益。</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7、流动性管理策略</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考虑到本基金封闭运作和开放运作交替循环的情形，对投资组合进行流动性管理，确保基金资产的变现能力。</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（二）开放期投资策略</w:t>
      </w:r>
    </w:p>
    <w:p>
      <w:pPr>
        <w:spacing w:line="360" w:lineRule="auto"/>
        <w:ind w:firstLine="480" w:firstLineChars="200"/>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开放期内，</w:t>
      </w:r>
      <w:r>
        <w:rPr>
          <w:bCs/>
          <w:color w:val="000000" w:themeColor="text1"/>
          <w:sz w:val="24"/>
          <w14:textFill>
            <w14:solidFill>
              <w14:schemeClr w14:val="tx1"/>
            </w14:solidFill>
          </w14:textFill>
        </w:rPr>
        <w:t>本基金为保持较高的组合流动性，方便投资人安排投资，在遵守本基金有关投资限制与投资比例的前提下，将主要投资于高流动性的投资品种，防范流动性风险，满足开放期的流动性需求。同时</w:t>
      </w:r>
      <w:r>
        <w:rPr>
          <w:rFonts w:hint="eastAsia"/>
          <w:bCs/>
          <w:color w:val="000000" w:themeColor="text1"/>
          <w:sz w:val="24"/>
          <w14:textFill>
            <w14:solidFill>
              <w14:schemeClr w14:val="tx1"/>
            </w14:solidFill>
          </w14:textFill>
        </w:rPr>
        <w:t>，基金管理人将密切关注基金的申购赎回情况，对投资组合的现金比例进行结构化管理。也会通过回购的滚动操作和债券品种的期限结构搭配，有效分配基金的现金流，保持本基金在开放期的流动性，方便投资人安排投资。</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四、投资限制</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1、组合限制</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基金的投资组合应遵循以下限制：</w:t>
      </w:r>
    </w:p>
    <w:p>
      <w:pPr>
        <w:spacing w:line="360" w:lineRule="auto"/>
        <w:ind w:firstLine="480" w:firstLineChars="200"/>
        <w:rPr>
          <w:rFonts w:ascii="宋体" w:hAnsi="宋体"/>
          <w:bCs/>
          <w:color w:val="000000" w:themeColor="text1"/>
          <w:sz w:val="24"/>
          <w14:textFill>
            <w14:solidFill>
              <w14:schemeClr w14:val="tx1"/>
            </w14:solidFill>
          </w14:textFill>
        </w:rPr>
      </w:pPr>
      <w:r>
        <w:rPr>
          <w:rFonts w:ascii="宋体" w:hAnsi="宋体"/>
          <w:bCs/>
          <w:color w:val="000000" w:themeColor="text1"/>
          <w:sz w:val="24"/>
          <w14:textFill>
            <w14:solidFill>
              <w14:schemeClr w14:val="tx1"/>
            </w14:solidFill>
          </w14:textFill>
        </w:rPr>
        <w:t>（1）本基金对债券的投资比例不低于基金资产的80%，其中投资于本基金界定的央企债的比例不低于非现金基金资产的80%；但应开放期流动性需要，为保护基金份额持有人利益，在每次开放期前</w:t>
      </w:r>
      <w:r>
        <w:rPr>
          <w:rFonts w:hint="eastAsia" w:ascii="宋体" w:hAnsi="宋体"/>
          <w:bCs/>
          <w:color w:val="000000" w:themeColor="text1"/>
          <w:sz w:val="24"/>
          <w:lang w:val="en-US" w:eastAsia="zh-CN"/>
          <w14:textFill>
            <w14:solidFill>
              <w14:schemeClr w14:val="tx1"/>
            </w14:solidFill>
          </w14:textFill>
        </w:rPr>
        <w:t>15个工作日</w:t>
      </w:r>
      <w:r>
        <w:rPr>
          <w:rFonts w:ascii="宋体" w:hAnsi="宋体"/>
          <w:bCs/>
          <w:color w:val="000000" w:themeColor="text1"/>
          <w:sz w:val="24"/>
          <w14:textFill>
            <w14:solidFill>
              <w14:schemeClr w14:val="tx1"/>
            </w14:solidFill>
          </w14:textFill>
        </w:rPr>
        <w:t>、开放期及开放期结束后</w:t>
      </w:r>
      <w:r>
        <w:rPr>
          <w:rFonts w:hint="eastAsia" w:ascii="宋体" w:hAnsi="宋体"/>
          <w:bCs/>
          <w:color w:val="000000" w:themeColor="text1"/>
          <w:sz w:val="24"/>
          <w:lang w:val="en-US" w:eastAsia="zh-CN"/>
          <w14:textFill>
            <w14:solidFill>
              <w14:schemeClr w14:val="tx1"/>
            </w14:solidFill>
          </w14:textFill>
        </w:rPr>
        <w:t>15个工作日</w:t>
      </w:r>
      <w:r>
        <w:rPr>
          <w:rFonts w:ascii="宋体" w:hAnsi="宋体"/>
          <w:bCs/>
          <w:color w:val="000000" w:themeColor="text1"/>
          <w:sz w:val="24"/>
          <w14:textFill>
            <w14:solidFill>
              <w14:schemeClr w14:val="tx1"/>
            </w14:solidFill>
          </w14:textFill>
        </w:rPr>
        <w:t>的期间内，基金投资不受上述比例限制；</w:t>
      </w:r>
    </w:p>
    <w:p>
      <w:pPr>
        <w:spacing w:line="360" w:lineRule="auto"/>
        <w:ind w:firstLine="480" w:firstLineChars="200"/>
        <w:rPr>
          <w:rFonts w:ascii="宋体" w:hAnsi="宋体"/>
          <w:bCs/>
          <w:color w:val="000000" w:themeColor="text1"/>
          <w:sz w:val="24"/>
          <w14:textFill>
            <w14:solidFill>
              <w14:schemeClr w14:val="tx1"/>
            </w14:solidFill>
          </w14:textFill>
        </w:rPr>
      </w:pPr>
      <w:r>
        <w:rPr>
          <w:rFonts w:ascii="宋体" w:hAnsi="宋体"/>
          <w:bCs/>
          <w:color w:val="000000" w:themeColor="text1"/>
          <w:sz w:val="24"/>
          <w14:textFill>
            <w14:solidFill>
              <w14:schemeClr w14:val="tx1"/>
            </w14:solidFill>
          </w14:textFill>
        </w:rPr>
        <w:t>（</w:t>
      </w:r>
      <w:r>
        <w:rPr>
          <w:rFonts w:hint="eastAsia" w:ascii="宋体" w:hAnsi="宋体"/>
          <w:bCs/>
          <w:color w:val="000000" w:themeColor="text1"/>
          <w:sz w:val="24"/>
          <w14:textFill>
            <w14:solidFill>
              <w14:schemeClr w14:val="tx1"/>
            </w14:solidFill>
          </w14:textFill>
        </w:rPr>
        <w:t>2</w:t>
      </w:r>
      <w:r>
        <w:rPr>
          <w:rFonts w:ascii="宋体" w:hAnsi="宋体"/>
          <w:bCs/>
          <w:color w:val="000000" w:themeColor="text1"/>
          <w:sz w:val="24"/>
          <w14:textFill>
            <w14:solidFill>
              <w14:schemeClr w14:val="tx1"/>
            </w14:solidFill>
          </w14:textFill>
        </w:rPr>
        <w:t>）</w:t>
      </w:r>
      <w:r>
        <w:rPr>
          <w:rFonts w:hint="eastAsia" w:ascii="宋体" w:hAnsi="宋体"/>
          <w:bCs/>
          <w:color w:val="000000" w:themeColor="text1"/>
          <w:sz w:val="24"/>
          <w14:textFill>
            <w14:solidFill>
              <w14:schemeClr w14:val="tx1"/>
            </w14:solidFill>
          </w14:textFill>
        </w:rPr>
        <w:t>开放期内，本基金持有的现金或者到期日在一年以内的政府债券不低于基金资产净值的5％，其中现金不包括结算备付金、存出保证金、应收申购款等；在封闭期内，本基金不受上述5%的限制</w:t>
      </w:r>
      <w:r>
        <w:rPr>
          <w:rFonts w:ascii="宋体" w:hAnsi="宋体"/>
          <w:bCs/>
          <w:color w:val="000000" w:themeColor="text1"/>
          <w:sz w:val="24"/>
          <w14:textFill>
            <w14:solidFill>
              <w14:schemeClr w14:val="tx1"/>
            </w14:solidFill>
          </w14:textFill>
        </w:rPr>
        <w:t>；</w:t>
      </w:r>
    </w:p>
    <w:p>
      <w:pPr>
        <w:spacing w:line="360" w:lineRule="auto"/>
        <w:ind w:firstLine="480" w:firstLineChars="200"/>
        <w:rPr>
          <w:rFonts w:ascii="宋体" w:hAnsi="宋体"/>
          <w:bCs/>
          <w:color w:val="000000" w:themeColor="text1"/>
          <w:sz w:val="24"/>
          <w14:textFill>
            <w14:solidFill>
              <w14:schemeClr w14:val="tx1"/>
            </w14:solidFill>
          </w14:textFill>
        </w:rPr>
      </w:pPr>
      <w:r>
        <w:rPr>
          <w:rFonts w:ascii="宋体" w:hAnsi="宋体"/>
          <w:bCs/>
          <w:color w:val="000000" w:themeColor="text1"/>
          <w:sz w:val="24"/>
          <w14:textFill>
            <w14:solidFill>
              <w14:schemeClr w14:val="tx1"/>
            </w14:solidFill>
          </w14:textFill>
        </w:rPr>
        <w:t>（</w:t>
      </w:r>
      <w:r>
        <w:rPr>
          <w:rFonts w:hint="eastAsia" w:ascii="宋体" w:hAnsi="宋体"/>
          <w:bCs/>
          <w:color w:val="000000" w:themeColor="text1"/>
          <w:sz w:val="24"/>
          <w14:textFill>
            <w14:solidFill>
              <w14:schemeClr w14:val="tx1"/>
            </w14:solidFill>
          </w14:textFill>
        </w:rPr>
        <w:t>3</w:t>
      </w:r>
      <w:r>
        <w:rPr>
          <w:rFonts w:ascii="宋体" w:hAnsi="宋体"/>
          <w:bCs/>
          <w:color w:val="000000" w:themeColor="text1"/>
          <w:sz w:val="24"/>
          <w14:textFill>
            <w14:solidFill>
              <w14:schemeClr w14:val="tx1"/>
            </w14:solidFill>
          </w14:textFill>
        </w:rPr>
        <w:t>）本基金持有一家公司</w:t>
      </w:r>
      <w:r>
        <w:rPr>
          <w:rFonts w:hint="eastAsia" w:ascii="宋体" w:hAnsi="宋体"/>
          <w:bCs/>
          <w:color w:val="000000" w:themeColor="text1"/>
          <w:sz w:val="24"/>
          <w14:textFill>
            <w14:solidFill>
              <w14:schemeClr w14:val="tx1"/>
            </w14:solidFill>
          </w14:textFill>
        </w:rPr>
        <w:t>发行</w:t>
      </w:r>
      <w:r>
        <w:rPr>
          <w:rFonts w:ascii="宋体" w:hAnsi="宋体"/>
          <w:bCs/>
          <w:color w:val="000000" w:themeColor="text1"/>
          <w:sz w:val="24"/>
          <w14:textFill>
            <w14:solidFill>
              <w14:schemeClr w14:val="tx1"/>
            </w14:solidFill>
          </w14:textFill>
        </w:rPr>
        <w:t>的</w:t>
      </w:r>
      <w:r>
        <w:rPr>
          <w:rFonts w:hint="eastAsia" w:ascii="宋体" w:hAnsi="宋体"/>
          <w:bCs/>
          <w:color w:val="000000" w:themeColor="text1"/>
          <w:sz w:val="24"/>
          <w14:textFill>
            <w14:solidFill>
              <w14:schemeClr w14:val="tx1"/>
            </w14:solidFill>
          </w14:textFill>
        </w:rPr>
        <w:t>证券</w:t>
      </w:r>
      <w:r>
        <w:rPr>
          <w:rFonts w:ascii="宋体" w:hAnsi="宋体"/>
          <w:bCs/>
          <w:color w:val="000000" w:themeColor="text1"/>
          <w:sz w:val="24"/>
          <w14:textFill>
            <w14:solidFill>
              <w14:schemeClr w14:val="tx1"/>
            </w14:solidFill>
          </w14:textFill>
        </w:rPr>
        <w:t>，其市值不超过基金资产净值的10%；</w:t>
      </w:r>
    </w:p>
    <w:p>
      <w:pPr>
        <w:spacing w:line="360" w:lineRule="auto"/>
        <w:ind w:firstLine="480" w:firstLineChars="200"/>
        <w:rPr>
          <w:rFonts w:ascii="宋体" w:hAnsi="宋体"/>
          <w:bCs/>
          <w:color w:val="000000" w:themeColor="text1"/>
          <w:sz w:val="24"/>
          <w14:textFill>
            <w14:solidFill>
              <w14:schemeClr w14:val="tx1"/>
            </w14:solidFill>
          </w14:textFill>
        </w:rPr>
      </w:pPr>
      <w:r>
        <w:rPr>
          <w:rFonts w:ascii="宋体" w:hAnsi="宋体"/>
          <w:bCs/>
          <w:color w:val="000000" w:themeColor="text1"/>
          <w:sz w:val="24"/>
          <w14:textFill>
            <w14:solidFill>
              <w14:schemeClr w14:val="tx1"/>
            </w14:solidFill>
          </w14:textFill>
        </w:rPr>
        <w:t>（</w:t>
      </w:r>
      <w:r>
        <w:rPr>
          <w:rFonts w:hint="eastAsia" w:ascii="宋体" w:hAnsi="宋体"/>
          <w:bCs/>
          <w:color w:val="000000" w:themeColor="text1"/>
          <w:sz w:val="24"/>
          <w14:textFill>
            <w14:solidFill>
              <w14:schemeClr w14:val="tx1"/>
            </w14:solidFill>
          </w14:textFill>
        </w:rPr>
        <w:t>4</w:t>
      </w:r>
      <w:r>
        <w:rPr>
          <w:rFonts w:ascii="宋体" w:hAnsi="宋体"/>
          <w:bCs/>
          <w:color w:val="000000" w:themeColor="text1"/>
          <w:sz w:val="24"/>
          <w14:textFill>
            <w14:solidFill>
              <w14:schemeClr w14:val="tx1"/>
            </w14:solidFill>
          </w14:textFill>
        </w:rPr>
        <w:t>）本基金管理人管理的全部基金持有一家公司发行的证券，不超过该证券的10%；</w:t>
      </w:r>
    </w:p>
    <w:p>
      <w:pPr>
        <w:spacing w:line="360" w:lineRule="auto"/>
        <w:ind w:firstLine="480" w:firstLineChars="200"/>
        <w:rPr>
          <w:rFonts w:ascii="宋体" w:hAnsi="宋体"/>
          <w:bCs/>
          <w:color w:val="000000" w:themeColor="text1"/>
          <w:sz w:val="24"/>
          <w14:textFill>
            <w14:solidFill>
              <w14:schemeClr w14:val="tx1"/>
            </w14:solidFill>
          </w14:textFill>
        </w:rPr>
      </w:pPr>
      <w:r>
        <w:rPr>
          <w:rFonts w:ascii="宋体" w:hAnsi="宋体"/>
          <w:bCs/>
          <w:color w:val="000000" w:themeColor="text1"/>
          <w:sz w:val="24"/>
          <w14:textFill>
            <w14:solidFill>
              <w14:schemeClr w14:val="tx1"/>
            </w14:solidFill>
          </w14:textFill>
        </w:rPr>
        <w:t>（</w:t>
      </w:r>
      <w:r>
        <w:rPr>
          <w:rFonts w:hint="eastAsia" w:ascii="宋体" w:hAnsi="宋体"/>
          <w:bCs/>
          <w:color w:val="000000" w:themeColor="text1"/>
          <w:sz w:val="24"/>
          <w14:textFill>
            <w14:solidFill>
              <w14:schemeClr w14:val="tx1"/>
            </w14:solidFill>
          </w14:textFill>
        </w:rPr>
        <w:t>5</w:t>
      </w:r>
      <w:r>
        <w:rPr>
          <w:rFonts w:ascii="宋体" w:hAnsi="宋体"/>
          <w:bCs/>
          <w:color w:val="000000" w:themeColor="text1"/>
          <w:sz w:val="24"/>
          <w14:textFill>
            <w14:solidFill>
              <w14:schemeClr w14:val="tx1"/>
            </w14:solidFill>
          </w14:textFill>
        </w:rPr>
        <w:t>）本基金</w:t>
      </w:r>
      <w:r>
        <w:rPr>
          <w:rFonts w:hint="eastAsia" w:ascii="宋体" w:hAnsi="宋体"/>
          <w:bCs/>
          <w:color w:val="000000" w:themeColor="text1"/>
          <w:sz w:val="24"/>
          <w14:textFill>
            <w14:solidFill>
              <w14:schemeClr w14:val="tx1"/>
            </w14:solidFill>
          </w14:textFill>
        </w:rPr>
        <w:t>进入全国银行间同业市场进行债券回购的最长期限为1年，债券回购到期后不得展期</w:t>
      </w:r>
      <w:r>
        <w:rPr>
          <w:rFonts w:ascii="宋体" w:hAnsi="宋体"/>
          <w:bCs/>
          <w:color w:val="000000" w:themeColor="text1"/>
          <w:sz w:val="24"/>
          <w14:textFill>
            <w14:solidFill>
              <w14:schemeClr w14:val="tx1"/>
            </w14:solidFill>
          </w14:textFill>
        </w:rPr>
        <w:t>；</w:t>
      </w:r>
    </w:p>
    <w:p>
      <w:pPr>
        <w:spacing w:line="360" w:lineRule="auto"/>
        <w:ind w:firstLine="480" w:firstLineChars="200"/>
        <w:rPr>
          <w:rFonts w:ascii="宋体" w:hAnsi="宋体"/>
          <w:bCs/>
          <w:color w:val="000000" w:themeColor="text1"/>
          <w:sz w:val="24"/>
          <w14:textFill>
            <w14:solidFill>
              <w14:schemeClr w14:val="tx1"/>
            </w14:solidFill>
          </w14:textFill>
        </w:rPr>
      </w:pPr>
      <w:r>
        <w:rPr>
          <w:rFonts w:ascii="宋体" w:hAnsi="宋体"/>
          <w:bCs/>
          <w:color w:val="000000" w:themeColor="text1"/>
          <w:sz w:val="24"/>
          <w14:textFill>
            <w14:solidFill>
              <w14:schemeClr w14:val="tx1"/>
            </w14:solidFill>
          </w14:textFill>
        </w:rPr>
        <w:t>（6）</w:t>
      </w:r>
      <w:r>
        <w:rPr>
          <w:rFonts w:hint="eastAsia" w:ascii="宋体" w:hAnsi="宋体"/>
          <w:bCs/>
          <w:color w:val="000000" w:themeColor="text1"/>
          <w:sz w:val="24"/>
          <w14:textFill>
            <w14:solidFill>
              <w14:schemeClr w14:val="tx1"/>
            </w14:solidFill>
          </w14:textFill>
        </w:rPr>
        <w:t>封闭期内，本</w:t>
      </w:r>
      <w:r>
        <w:rPr>
          <w:rFonts w:ascii="宋体" w:hAnsi="宋体"/>
          <w:bCs/>
          <w:color w:val="000000" w:themeColor="text1"/>
          <w:sz w:val="24"/>
          <w14:textFill>
            <w14:solidFill>
              <w14:schemeClr w14:val="tx1"/>
            </w14:solidFill>
          </w14:textFill>
        </w:rPr>
        <w:t>基金资产</w:t>
      </w:r>
      <w:r>
        <w:rPr>
          <w:rFonts w:hint="eastAsia" w:ascii="宋体" w:hAnsi="宋体"/>
          <w:bCs/>
          <w:color w:val="000000" w:themeColor="text1"/>
          <w:sz w:val="24"/>
          <w14:textFill>
            <w14:solidFill>
              <w14:schemeClr w14:val="tx1"/>
            </w14:solidFill>
          </w14:textFill>
        </w:rPr>
        <w:t>总值不得</w:t>
      </w:r>
      <w:r>
        <w:rPr>
          <w:rFonts w:ascii="宋体" w:hAnsi="宋体"/>
          <w:bCs/>
          <w:color w:val="000000" w:themeColor="text1"/>
          <w:sz w:val="24"/>
          <w14:textFill>
            <w14:solidFill>
              <w14:schemeClr w14:val="tx1"/>
            </w14:solidFill>
          </w14:textFill>
        </w:rPr>
        <w:t>超过基金资产</w:t>
      </w:r>
      <w:r>
        <w:rPr>
          <w:rFonts w:hint="eastAsia" w:ascii="宋体" w:hAnsi="宋体"/>
          <w:bCs/>
          <w:color w:val="000000" w:themeColor="text1"/>
          <w:sz w:val="24"/>
          <w14:textFill>
            <w14:solidFill>
              <w14:schemeClr w14:val="tx1"/>
            </w14:solidFill>
          </w14:textFill>
        </w:rPr>
        <w:t>净值</w:t>
      </w:r>
      <w:r>
        <w:rPr>
          <w:rFonts w:ascii="宋体" w:hAnsi="宋体"/>
          <w:bCs/>
          <w:color w:val="000000" w:themeColor="text1"/>
          <w:sz w:val="24"/>
          <w14:textFill>
            <w14:solidFill>
              <w14:schemeClr w14:val="tx1"/>
            </w14:solidFill>
          </w14:textFill>
        </w:rPr>
        <w:t>的</w:t>
      </w:r>
      <w:r>
        <w:rPr>
          <w:rFonts w:hint="eastAsia" w:ascii="宋体" w:hAnsi="宋体"/>
          <w:bCs/>
          <w:color w:val="000000" w:themeColor="text1"/>
          <w:sz w:val="24"/>
          <w14:textFill>
            <w14:solidFill>
              <w14:schemeClr w14:val="tx1"/>
            </w14:solidFill>
          </w14:textFill>
        </w:rPr>
        <w:t>200%；开放期内，</w:t>
      </w:r>
      <w:r>
        <w:rPr>
          <w:rFonts w:ascii="宋体" w:hAnsi="宋体"/>
          <w:bCs/>
          <w:color w:val="000000" w:themeColor="text1"/>
          <w:sz w:val="24"/>
          <w14:textFill>
            <w14:solidFill>
              <w14:schemeClr w14:val="tx1"/>
            </w14:solidFill>
          </w14:textFill>
        </w:rPr>
        <w:t>本基金资产总值不超过基金资产净值的140%</w:t>
      </w:r>
      <w:r>
        <w:rPr>
          <w:rFonts w:hint="eastAsia" w:ascii="宋体" w:hAnsi="宋体"/>
          <w:bCs/>
          <w:color w:val="000000" w:themeColor="text1"/>
          <w:sz w:val="24"/>
          <w14:textFill>
            <w14:solidFill>
              <w14:schemeClr w14:val="tx1"/>
            </w14:solidFill>
          </w14:textFill>
        </w:rPr>
        <w:t>；</w:t>
      </w:r>
    </w:p>
    <w:p>
      <w:pPr>
        <w:spacing w:line="360" w:lineRule="auto"/>
        <w:ind w:firstLine="480" w:firstLineChars="200"/>
        <w:rPr>
          <w:rFonts w:ascii="宋体" w:hAnsi="宋体"/>
          <w:bCs/>
          <w:color w:val="000000" w:themeColor="text1"/>
          <w:sz w:val="24"/>
          <w14:textFill>
            <w14:solidFill>
              <w14:schemeClr w14:val="tx1"/>
            </w14:solidFill>
          </w14:textFill>
        </w:rPr>
      </w:pPr>
      <w:r>
        <w:rPr>
          <w:rFonts w:ascii="宋体" w:hAnsi="宋体"/>
          <w:bCs/>
          <w:color w:val="000000" w:themeColor="text1"/>
          <w:sz w:val="24"/>
          <w14:textFill>
            <w14:solidFill>
              <w14:schemeClr w14:val="tx1"/>
            </w14:solidFill>
          </w14:textFill>
        </w:rPr>
        <w:t>（7）</w:t>
      </w:r>
      <w:r>
        <w:rPr>
          <w:rFonts w:hint="eastAsia" w:ascii="宋体" w:hAnsi="宋体"/>
          <w:bCs/>
          <w:color w:val="000000" w:themeColor="text1"/>
          <w:sz w:val="24"/>
          <w14:textFill>
            <w14:solidFill>
              <w14:schemeClr w14:val="tx1"/>
            </w14:solidFill>
          </w14:textFill>
        </w:rPr>
        <w:t>开放期内，</w:t>
      </w:r>
      <w:r>
        <w:rPr>
          <w:rFonts w:ascii="宋体" w:hAnsi="宋体"/>
          <w:bCs/>
          <w:color w:val="000000" w:themeColor="text1"/>
          <w:sz w:val="24"/>
          <w14:textFill>
            <w14:solidFill>
              <w14:schemeClr w14:val="tx1"/>
            </w14:solidFill>
          </w14:textFill>
        </w:rPr>
        <w:t>本基金主动投资于流动性受限资产的市值合计不得超过该基金资产净值的15%；因证券市场波动、基金规模变动等基金管理人之外的因素致使基金不符合该比例限制的，基金管理人不得主动新增流动性受限资产的投资；</w:t>
      </w:r>
    </w:p>
    <w:p>
      <w:pPr>
        <w:spacing w:line="360" w:lineRule="auto"/>
        <w:ind w:firstLine="480" w:firstLineChars="200"/>
        <w:rPr>
          <w:rFonts w:ascii="宋体" w:hAnsi="宋体"/>
          <w:bCs/>
          <w:color w:val="000000" w:themeColor="text1"/>
          <w:sz w:val="24"/>
          <w14:textFill>
            <w14:solidFill>
              <w14:schemeClr w14:val="tx1"/>
            </w14:solidFill>
          </w14:textFill>
        </w:rPr>
      </w:pPr>
      <w:r>
        <w:rPr>
          <w:rFonts w:ascii="宋体" w:hAnsi="宋体"/>
          <w:bCs/>
          <w:color w:val="000000" w:themeColor="text1"/>
          <w:sz w:val="24"/>
          <w14:textFill>
            <w14:solidFill>
              <w14:schemeClr w14:val="tx1"/>
            </w14:solidFill>
          </w14:textFill>
        </w:rPr>
        <w:t>（8）本基金与私募类证券资管产品及中国证监会认定的其他主体为交易对手开展逆回购交易的，可接受质押品的资质要求应当与本基金合同约定的投资范围保持一致；</w:t>
      </w:r>
    </w:p>
    <w:p>
      <w:pPr>
        <w:spacing w:line="360" w:lineRule="auto"/>
        <w:ind w:firstLine="480" w:firstLineChars="200"/>
        <w:rPr>
          <w:rFonts w:ascii="宋体" w:hAnsi="宋体"/>
          <w:bCs/>
          <w:color w:val="000000" w:themeColor="text1"/>
          <w:sz w:val="24"/>
          <w14:textFill>
            <w14:solidFill>
              <w14:schemeClr w14:val="tx1"/>
            </w14:solidFill>
          </w14:textFill>
        </w:rPr>
      </w:pPr>
      <w:r>
        <w:rPr>
          <w:rFonts w:ascii="宋体" w:hAnsi="宋体"/>
          <w:bCs/>
          <w:color w:val="000000" w:themeColor="text1"/>
          <w:sz w:val="24"/>
          <w14:textFill>
            <w14:solidFill>
              <w14:schemeClr w14:val="tx1"/>
            </w14:solidFill>
          </w14:textFill>
        </w:rPr>
        <w:t>（9）</w:t>
      </w:r>
      <w:r>
        <w:rPr>
          <w:rFonts w:hint="eastAsia" w:ascii="宋体" w:hAnsi="宋体"/>
          <w:bCs/>
          <w:color w:val="000000" w:themeColor="text1"/>
          <w:sz w:val="24"/>
          <w14:textFill>
            <w14:solidFill>
              <w14:schemeClr w14:val="tx1"/>
            </w14:solidFill>
          </w14:textFill>
        </w:rPr>
        <w:t>法律法规及中国证监会规定的和《基金合同》约定的其他投资限制。</w:t>
      </w:r>
    </w:p>
    <w:p>
      <w:pPr>
        <w:spacing w:line="360" w:lineRule="auto"/>
        <w:ind w:firstLine="480" w:firstLineChars="200"/>
        <w:rPr>
          <w:rFonts w:ascii="宋体" w:hAnsi="宋体"/>
          <w:bCs/>
          <w:color w:val="000000" w:themeColor="text1"/>
          <w14:textFill>
            <w14:solidFill>
              <w14:schemeClr w14:val="tx1"/>
            </w14:solidFill>
          </w14:textFill>
        </w:rPr>
      </w:pPr>
      <w:r>
        <w:rPr>
          <w:rFonts w:ascii="宋体" w:hAnsi="宋体"/>
          <w:bCs/>
          <w:color w:val="000000" w:themeColor="text1"/>
          <w:sz w:val="24"/>
          <w14:textFill>
            <w14:solidFill>
              <w14:schemeClr w14:val="tx1"/>
            </w14:solidFill>
          </w14:textFill>
        </w:rPr>
        <w:t>除上述（2）、（7）、（8）情形之外，因证券市场波动、</w:t>
      </w:r>
      <w:r>
        <w:rPr>
          <w:rFonts w:hint="eastAsia" w:ascii="宋体" w:hAnsi="宋体"/>
          <w:bCs/>
          <w:color w:val="000000" w:themeColor="text1"/>
          <w:sz w:val="24"/>
          <w14:textFill>
            <w14:solidFill>
              <w14:schemeClr w14:val="tx1"/>
            </w14:solidFill>
          </w14:textFill>
        </w:rPr>
        <w:t>证券发行人</w:t>
      </w:r>
      <w:r>
        <w:rPr>
          <w:rFonts w:ascii="宋体" w:hAnsi="宋体"/>
          <w:bCs/>
          <w:color w:val="000000" w:themeColor="text1"/>
          <w:sz w:val="24"/>
          <w14:textFill>
            <w14:solidFill>
              <w14:schemeClr w14:val="tx1"/>
            </w14:solidFill>
          </w14:textFill>
        </w:rPr>
        <w:t>合并、基金规模变动等基金管理人之外的因素致使基金投资比例不符合上述规定投资比例的，基金管理人应当在10个交易日内进行调整</w:t>
      </w:r>
      <w:r>
        <w:rPr>
          <w:rFonts w:hint="eastAsia" w:ascii="宋体" w:hAnsi="宋体"/>
          <w:bCs/>
          <w:color w:val="000000" w:themeColor="text1"/>
          <w:sz w:val="24"/>
          <w14:textFill>
            <w14:solidFill>
              <w14:schemeClr w14:val="tx1"/>
            </w14:solidFill>
          </w14:textFill>
        </w:rPr>
        <w:t>，</w:t>
      </w:r>
      <w:r>
        <w:rPr>
          <w:rFonts w:ascii="宋体" w:hAnsi="宋体"/>
          <w:bCs/>
          <w:color w:val="000000" w:themeColor="text1"/>
          <w:sz w:val="24"/>
          <w14:textFill>
            <w14:solidFill>
              <w14:schemeClr w14:val="tx1"/>
            </w14:solidFill>
          </w14:textFill>
        </w:rPr>
        <w:t>但中国证监会规定的特殊情形除外。</w:t>
      </w:r>
    </w:p>
    <w:p>
      <w:pPr>
        <w:spacing w:line="360" w:lineRule="auto"/>
        <w:ind w:firstLine="480" w:firstLineChars="200"/>
        <w:rPr>
          <w:rFonts w:ascii="宋体" w:hAnsi="宋体"/>
          <w:bCs/>
          <w:color w:val="000000" w:themeColor="text1"/>
          <w:sz w:val="24"/>
          <w14:textFill>
            <w14:solidFill>
              <w14:schemeClr w14:val="tx1"/>
            </w14:solidFill>
          </w14:textFill>
        </w:rPr>
      </w:pPr>
      <w:r>
        <w:rPr>
          <w:rFonts w:ascii="宋体" w:hAnsi="宋体"/>
          <w:bCs/>
          <w:color w:val="000000" w:themeColor="text1"/>
          <w:sz w:val="24"/>
          <w14:textFill>
            <w14:solidFill>
              <w14:schemeClr w14:val="tx1"/>
            </w14:solidFill>
          </w14:textFill>
        </w:rPr>
        <w:t>基金管理人应当自基金合同生效之日起</w:t>
      </w:r>
      <w:r>
        <w:rPr>
          <w:rFonts w:hint="eastAsia" w:ascii="宋体" w:hAnsi="宋体"/>
          <w:bCs/>
          <w:color w:val="000000" w:themeColor="text1"/>
          <w:sz w:val="24"/>
          <w14:textFill>
            <w14:solidFill>
              <w14:schemeClr w14:val="tx1"/>
            </w14:solidFill>
          </w14:textFill>
        </w:rPr>
        <w:t>6</w:t>
      </w:r>
      <w:r>
        <w:rPr>
          <w:rFonts w:ascii="宋体" w:hAnsi="宋体"/>
          <w:bCs/>
          <w:color w:val="000000" w:themeColor="text1"/>
          <w:sz w:val="24"/>
          <w14:textFill>
            <w14:solidFill>
              <w14:schemeClr w14:val="tx1"/>
            </w14:solidFill>
          </w14:textFill>
        </w:rPr>
        <w:t>个月内使基金的投资组合比例符合基金合同的有关约定。在上述期间内，本基金的投资范围、投资策略应当符合基金合同的约定。基金托管人对基金的投资的监督与检查自本基金合同生效之日起开始。</w:t>
      </w:r>
    </w:p>
    <w:p>
      <w:pPr>
        <w:spacing w:line="360" w:lineRule="auto"/>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如果法律法规或监管部门对上述投资组合比例限制进行变更的，则本基金投资以变更后的规定为准。</w:t>
      </w:r>
      <w:r>
        <w:rPr>
          <w:rFonts w:ascii="宋体" w:hAnsi="宋体"/>
          <w:bCs/>
          <w:color w:val="000000" w:themeColor="text1"/>
          <w:sz w:val="24"/>
          <w14:textFill>
            <w14:solidFill>
              <w14:schemeClr w14:val="tx1"/>
            </w14:solidFill>
          </w14:textFill>
        </w:rPr>
        <w:t>法律法规或监管部门取消上述限制，如适用于本基金，基金管理人</w:t>
      </w:r>
      <w:r>
        <w:rPr>
          <w:rFonts w:hint="eastAsia" w:ascii="宋体" w:hAnsi="宋体"/>
          <w:bCs/>
          <w:color w:val="000000" w:themeColor="text1"/>
          <w:sz w:val="24"/>
          <w14:textFill>
            <w14:solidFill>
              <w14:schemeClr w14:val="tx1"/>
            </w14:solidFill>
          </w14:textFill>
        </w:rPr>
        <w:t>在</w:t>
      </w:r>
      <w:r>
        <w:rPr>
          <w:rFonts w:ascii="宋体" w:hAnsi="宋体"/>
          <w:bCs/>
          <w:color w:val="000000" w:themeColor="text1"/>
          <w:sz w:val="24"/>
          <w14:textFill>
            <w14:solidFill>
              <w14:schemeClr w14:val="tx1"/>
            </w14:solidFill>
          </w14:textFill>
        </w:rPr>
        <w:t>履行适当程序后，则本基金投资不再受相关限制。</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2</w:t>
      </w: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禁止行为</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为维护基金份额持有人的合法权益，基金财产不得用于下列投资或者活动：</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（1）承销证券；</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w:t>
      </w:r>
      <w:r>
        <w:rPr>
          <w:rFonts w:hint="eastAsia"/>
          <w:bCs/>
          <w:color w:val="000000" w:themeColor="text1"/>
          <w:sz w:val="24"/>
          <w14:textFill>
            <w14:solidFill>
              <w14:schemeClr w14:val="tx1"/>
            </w14:solidFill>
          </w14:textFill>
        </w:rPr>
        <w:t>2</w:t>
      </w:r>
      <w:r>
        <w:rPr>
          <w:bCs/>
          <w:color w:val="000000" w:themeColor="text1"/>
          <w:sz w:val="24"/>
          <w14:textFill>
            <w14:solidFill>
              <w14:schemeClr w14:val="tx1"/>
            </w14:solidFill>
          </w14:textFill>
        </w:rPr>
        <w:t>）</w:t>
      </w:r>
      <w:r>
        <w:rPr>
          <w:rFonts w:hint="eastAsia"/>
          <w:bCs/>
          <w:color w:val="000000" w:themeColor="text1"/>
          <w:sz w:val="24"/>
          <w14:textFill>
            <w14:solidFill>
              <w14:schemeClr w14:val="tx1"/>
            </w14:solidFill>
          </w14:textFill>
        </w:rPr>
        <w:t>违反规定</w:t>
      </w:r>
      <w:r>
        <w:rPr>
          <w:bCs/>
          <w:color w:val="000000" w:themeColor="text1"/>
          <w:sz w:val="24"/>
          <w14:textFill>
            <w14:solidFill>
              <w14:schemeClr w14:val="tx1"/>
            </w14:solidFill>
          </w14:textFill>
        </w:rPr>
        <w:t>向他人贷款或者提供担保；</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w:t>
      </w:r>
      <w:r>
        <w:rPr>
          <w:rFonts w:hint="eastAsia"/>
          <w:bCs/>
          <w:color w:val="000000" w:themeColor="text1"/>
          <w:sz w:val="24"/>
          <w14:textFill>
            <w14:solidFill>
              <w14:schemeClr w14:val="tx1"/>
            </w14:solidFill>
          </w14:textFill>
        </w:rPr>
        <w:t>3</w:t>
      </w:r>
      <w:r>
        <w:rPr>
          <w:bCs/>
          <w:color w:val="000000" w:themeColor="text1"/>
          <w:sz w:val="24"/>
          <w14:textFill>
            <w14:solidFill>
              <w14:schemeClr w14:val="tx1"/>
            </w14:solidFill>
          </w14:textFill>
        </w:rPr>
        <w:t>）从事承担无限责任的投资；</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w:t>
      </w:r>
      <w:r>
        <w:rPr>
          <w:rFonts w:hint="eastAsia"/>
          <w:bCs/>
          <w:color w:val="000000" w:themeColor="text1"/>
          <w:sz w:val="24"/>
          <w14:textFill>
            <w14:solidFill>
              <w14:schemeClr w14:val="tx1"/>
            </w14:solidFill>
          </w14:textFill>
        </w:rPr>
        <w:t>4</w:t>
      </w:r>
      <w:r>
        <w:rPr>
          <w:bCs/>
          <w:color w:val="000000" w:themeColor="text1"/>
          <w:sz w:val="24"/>
          <w14:textFill>
            <w14:solidFill>
              <w14:schemeClr w14:val="tx1"/>
            </w14:solidFill>
          </w14:textFill>
        </w:rPr>
        <w:t>）买卖其他基金份额，但是</w:t>
      </w:r>
      <w:r>
        <w:rPr>
          <w:rFonts w:hint="eastAsia"/>
          <w:bCs/>
          <w:color w:val="000000" w:themeColor="text1"/>
          <w:sz w:val="24"/>
          <w14:textFill>
            <w14:solidFill>
              <w14:schemeClr w14:val="tx1"/>
            </w14:solidFill>
          </w14:textFill>
        </w:rPr>
        <w:t>中国证监会</w:t>
      </w:r>
      <w:r>
        <w:rPr>
          <w:bCs/>
          <w:color w:val="000000" w:themeColor="text1"/>
          <w:sz w:val="24"/>
          <w14:textFill>
            <w14:solidFill>
              <w14:schemeClr w14:val="tx1"/>
            </w14:solidFill>
          </w14:textFill>
        </w:rPr>
        <w:t>另有规定的除外；</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w:t>
      </w:r>
      <w:r>
        <w:rPr>
          <w:rFonts w:hint="eastAsia"/>
          <w:bCs/>
          <w:color w:val="000000" w:themeColor="text1"/>
          <w:sz w:val="24"/>
          <w14:textFill>
            <w14:solidFill>
              <w14:schemeClr w14:val="tx1"/>
            </w14:solidFill>
          </w14:textFill>
        </w:rPr>
        <w:t>5</w:t>
      </w:r>
      <w:r>
        <w:rPr>
          <w:bCs/>
          <w:color w:val="000000" w:themeColor="text1"/>
          <w:sz w:val="24"/>
          <w14:textFill>
            <w14:solidFill>
              <w14:schemeClr w14:val="tx1"/>
            </w14:solidFill>
          </w14:textFill>
        </w:rPr>
        <w:t>）向其基金管理人、基金托管人出资；</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w:t>
      </w:r>
      <w:r>
        <w:rPr>
          <w:rFonts w:hint="eastAsia"/>
          <w:bCs/>
          <w:color w:val="000000" w:themeColor="text1"/>
          <w:sz w:val="24"/>
          <w14:textFill>
            <w14:solidFill>
              <w14:schemeClr w14:val="tx1"/>
            </w14:solidFill>
          </w14:textFill>
        </w:rPr>
        <w:t>6</w:t>
      </w:r>
      <w:r>
        <w:rPr>
          <w:bCs/>
          <w:color w:val="000000" w:themeColor="text1"/>
          <w:sz w:val="24"/>
          <w14:textFill>
            <w14:solidFill>
              <w14:schemeClr w14:val="tx1"/>
            </w14:solidFill>
          </w14:textFill>
        </w:rPr>
        <w:t>）从事内幕交易、操纵证券交易价格及其他不正当的证券交易活动；</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w:t>
      </w:r>
      <w:r>
        <w:rPr>
          <w:rFonts w:hint="eastAsia"/>
          <w:bCs/>
          <w:color w:val="000000" w:themeColor="text1"/>
          <w:sz w:val="24"/>
          <w14:textFill>
            <w14:solidFill>
              <w14:schemeClr w14:val="tx1"/>
            </w14:solidFill>
          </w14:textFill>
        </w:rPr>
        <w:t>7</w:t>
      </w:r>
      <w:r>
        <w:rPr>
          <w:bCs/>
          <w:color w:val="000000" w:themeColor="text1"/>
          <w:sz w:val="24"/>
          <w14:textFill>
            <w14:solidFill>
              <w14:schemeClr w14:val="tx1"/>
            </w14:solidFill>
          </w14:textFill>
        </w:rPr>
        <w:t>）法律</w:t>
      </w:r>
      <w:r>
        <w:rPr>
          <w:rFonts w:hint="eastAsia"/>
          <w:bCs/>
          <w:color w:val="000000" w:themeColor="text1"/>
          <w:sz w:val="24"/>
          <w14:textFill>
            <w14:solidFill>
              <w14:schemeClr w14:val="tx1"/>
            </w14:solidFill>
          </w14:textFill>
        </w:rPr>
        <w:t>、行政</w:t>
      </w:r>
      <w:r>
        <w:rPr>
          <w:bCs/>
          <w:color w:val="000000" w:themeColor="text1"/>
          <w:sz w:val="24"/>
          <w14:textFill>
            <w14:solidFill>
              <w14:schemeClr w14:val="tx1"/>
            </w14:solidFill>
          </w14:textFill>
        </w:rPr>
        <w:t>法规</w:t>
      </w:r>
      <w:r>
        <w:rPr>
          <w:rFonts w:hint="eastAsia"/>
          <w:bCs/>
          <w:color w:val="000000" w:themeColor="text1"/>
          <w:sz w:val="24"/>
          <w14:textFill>
            <w14:solidFill>
              <w14:schemeClr w14:val="tx1"/>
            </w14:solidFill>
          </w14:textFill>
        </w:rPr>
        <w:t>和</w:t>
      </w:r>
      <w:r>
        <w:rPr>
          <w:bCs/>
          <w:color w:val="000000" w:themeColor="text1"/>
          <w:sz w:val="24"/>
          <w14:textFill>
            <w14:solidFill>
              <w14:schemeClr w14:val="tx1"/>
            </w14:solidFill>
          </w14:textFill>
        </w:rPr>
        <w:t>中国证监会规定禁止的其他活动</w:t>
      </w:r>
      <w:r>
        <w:rPr>
          <w:rFonts w:hint="eastAsia"/>
          <w:bCs/>
          <w:color w:val="000000" w:themeColor="text1"/>
          <w:sz w:val="24"/>
          <w14:textFill>
            <w14:solidFill>
              <w14:schemeClr w14:val="tx1"/>
            </w14:solidFill>
          </w14:textFill>
        </w:rPr>
        <w:t>。</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法律、行政法规或监管部门取消或变更上述禁止性或限制性规定，如适用于本基金，则基金管理人在履行适当程序后，本基金可不受上述规定的限制或以变更后的规定为准。</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五、业绩比较基准</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本基金的业绩比较基准为：</w:t>
      </w:r>
      <w:r>
        <w:rPr>
          <w:bCs/>
          <w:color w:val="000000" w:themeColor="text1"/>
          <w:sz w:val="24"/>
          <w14:textFill>
            <w14:solidFill>
              <w14:schemeClr w14:val="tx1"/>
            </w14:solidFill>
          </w14:textFill>
        </w:rPr>
        <w:t>中债综合全价（总值）指数收益率。</w:t>
      </w:r>
    </w:p>
    <w:p>
      <w:pPr>
        <w:spacing w:line="360" w:lineRule="auto"/>
        <w:ind w:firstLine="480" w:firstLineChars="200"/>
        <w:rPr>
          <w:rFonts w:ascii="宋体" w:hAnsi="宋体"/>
          <w:bCs/>
          <w:color w:val="000000" w:themeColor="text1"/>
          <w:sz w:val="24"/>
          <w14:textFill>
            <w14:solidFill>
              <w14:schemeClr w14:val="tx1"/>
            </w14:solidFill>
          </w14:textFill>
        </w:rPr>
      </w:pPr>
      <w:r>
        <w:rPr>
          <w:rFonts w:ascii="宋体" w:hAnsi="宋体"/>
          <w:bCs/>
          <w:color w:val="000000" w:themeColor="text1"/>
          <w:sz w:val="24"/>
          <w14:textFill>
            <w14:solidFill>
              <w14:schemeClr w14:val="tx1"/>
            </w14:solidFill>
          </w14:textFill>
        </w:rPr>
        <w:t>中债综合全价（总值）指数是中国全市场债券指数，以2001年12月31日为基期，基点为100点，并于2002年12月31日起发布。中债综合全价（总值）指数的样本具有广泛的市场代表性，其样本范围涵盖银行间市场和交易所市场，成分债券包括国债、企业债券、央行票据等所有主要债券种类</w:t>
      </w:r>
      <w:r>
        <w:rPr>
          <w:rFonts w:hint="eastAsia" w:ascii="宋体" w:hAnsi="宋体"/>
          <w:bCs/>
          <w:color w:val="000000" w:themeColor="text1"/>
          <w:sz w:val="24"/>
          <w14:textFill>
            <w14:solidFill>
              <w14:schemeClr w14:val="tx1"/>
            </w14:solidFill>
          </w14:textFill>
        </w:rPr>
        <w:t>，</w:t>
      </w:r>
      <w:r>
        <w:rPr>
          <w:rFonts w:ascii="宋体" w:hAnsi="宋体"/>
          <w:bCs/>
          <w:color w:val="000000" w:themeColor="text1"/>
          <w:sz w:val="24"/>
          <w14:textFill>
            <w14:solidFill>
              <w14:schemeClr w14:val="tx1"/>
            </w14:solidFill>
          </w14:textFill>
        </w:rPr>
        <w:t>该指数由中央国债登记结算有限责任公司编制，并在中国债券网（www.chinabond.com.cn）公开发布，具有较强的权威性和市场影响力；同时</w:t>
      </w:r>
      <w:r>
        <w:rPr>
          <w:rFonts w:hint="eastAsia" w:ascii="宋体" w:hAnsi="宋体"/>
          <w:bCs/>
          <w:color w:val="000000" w:themeColor="text1"/>
          <w:sz w:val="24"/>
          <w14:textFill>
            <w14:solidFill>
              <w14:schemeClr w14:val="tx1"/>
            </w14:solidFill>
          </w14:textFill>
        </w:rPr>
        <w:t>，</w:t>
      </w:r>
      <w:r>
        <w:rPr>
          <w:rFonts w:ascii="宋体" w:hAnsi="宋体"/>
          <w:bCs/>
          <w:color w:val="000000" w:themeColor="text1"/>
          <w:sz w:val="24"/>
          <w14:textFill>
            <w14:solidFill>
              <w14:schemeClr w14:val="tx1"/>
            </w14:solidFill>
          </w14:textFill>
        </w:rPr>
        <w:t>该指数的样本券涵盖面广，能较好地反映债券市场的整体收益。</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如果指数编制单位停止计算编制指数或更改指数名称，或者今后法律法规发生变化，或者有更权威的、更能为市场普遍接受的业绩比较基准推出，经与基金托管人协商一致，本基金可在报中国证监会备案后变更业绩比较基准并及时公告，无需召开基金份额持有人大会。</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六、风险收益特征</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本基金为债券型基金，预期收益和预期风险高于货币市场基金，但低于混合型基金、股票型基金。</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七、基金管理人代表基金行使债权人权利的处理原则及方法</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1、基金管理人按照国家有关规定代表基金独立行使债权人权利，保护基金份额持有人的利益；</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2、有利于基金财产的安全与增值；</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3、不通过关联交易为自身、雇员、授权代理人或任何存在利害关系的第三人牟取任何不当利益。</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八、侧袋机制的实施和投资运作安排</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侧袋机制实施期间，本部分约定的投资组合比例、投资策略、组合限制、业绩比较基准、风险收益特征等约定仅适用于主袋账户。</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侧袋账户的实施条件、实施程序、运作安排、投资安排、特定资产的处置变现和支付等对投资者权益有重大影响的事项详见招募说明书的规定。</w:t>
      </w:r>
    </w:p>
    <w:p>
      <w:pPr>
        <w:rPr>
          <w:bCs/>
          <w:color w:val="000000" w:themeColor="text1"/>
          <w:sz w:val="24"/>
          <w14:textFill>
            <w14:solidFill>
              <w14:schemeClr w14:val="tx1"/>
            </w14:solidFill>
          </w14:textFill>
        </w:rPr>
      </w:pPr>
    </w:p>
    <w:p>
      <w:pPr>
        <w:pStyle w:val="2"/>
        <w:spacing w:before="0" w:after="0"/>
        <w:jc w:val="center"/>
        <w:rPr>
          <w:rFonts w:ascii="Times New Roman"/>
          <w:color w:val="000000" w:themeColor="text1"/>
          <w:sz w:val="30"/>
          <w14:textFill>
            <w14:solidFill>
              <w14:schemeClr w14:val="tx1"/>
            </w14:solidFill>
          </w14:textFill>
        </w:rPr>
      </w:pPr>
      <w:r>
        <w:rPr>
          <w:rFonts w:ascii="Times New Roman"/>
          <w:b w:val="0"/>
          <w:bCs/>
          <w:color w:val="000000" w:themeColor="text1"/>
          <w:kern w:val="44"/>
          <w:sz w:val="21"/>
          <w14:textFill>
            <w14:solidFill>
              <w14:schemeClr w14:val="tx1"/>
            </w14:solidFill>
          </w14:textFill>
        </w:rPr>
        <w:br w:type="page"/>
      </w:r>
      <w:bookmarkStart w:id="288" w:name="_Toc93226145"/>
      <w:bookmarkStart w:id="289" w:name="_Toc92662704"/>
      <w:bookmarkStart w:id="290" w:name="_Toc26114"/>
      <w:bookmarkStart w:id="291" w:name="_Toc29561"/>
      <w:bookmarkStart w:id="292" w:name="_Toc32030"/>
      <w:bookmarkStart w:id="293" w:name="_Toc31611"/>
      <w:bookmarkStart w:id="294" w:name="_Toc128310496"/>
      <w:bookmarkStart w:id="295" w:name="_Toc20782"/>
      <w:bookmarkStart w:id="296" w:name="_Toc139991743"/>
      <w:bookmarkStart w:id="297" w:name="_Toc24474"/>
      <w:bookmarkStart w:id="298" w:name="_Toc141703893"/>
      <w:bookmarkStart w:id="299" w:name="_Toc18000"/>
      <w:bookmarkStart w:id="300" w:name="_Toc3054"/>
      <w:bookmarkStart w:id="301" w:name="_Toc95997124"/>
      <w:bookmarkStart w:id="302" w:name="_Toc20102"/>
      <w:bookmarkStart w:id="303" w:name="_Toc21642"/>
      <w:r>
        <w:rPr>
          <w:rFonts w:ascii="Times New Roman"/>
          <w:color w:val="000000" w:themeColor="text1"/>
          <w:sz w:val="30"/>
          <w14:textFill>
            <w14:solidFill>
              <w14:schemeClr w14:val="tx1"/>
            </w14:solidFill>
          </w14:textFill>
        </w:rPr>
        <w:t>第十三部分  基金</w:t>
      </w:r>
      <w:bookmarkEnd w:id="288"/>
      <w:bookmarkEnd w:id="289"/>
      <w:r>
        <w:rPr>
          <w:rFonts w:ascii="Times New Roman"/>
          <w:color w:val="000000" w:themeColor="text1"/>
          <w:sz w:val="30"/>
          <w14:textFill>
            <w14:solidFill>
              <w14:schemeClr w14:val="tx1"/>
            </w14:solidFill>
          </w14:textFill>
        </w:rPr>
        <w:t>的财产</w:t>
      </w:r>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p>
    <w:p>
      <w:pPr>
        <w:spacing w:line="360" w:lineRule="auto"/>
        <w:ind w:firstLine="480" w:firstLineChars="200"/>
        <w:rPr>
          <w:bCs/>
          <w:color w:val="000000" w:themeColor="text1"/>
          <w:sz w:val="24"/>
          <w14:textFill>
            <w14:solidFill>
              <w14:schemeClr w14:val="tx1"/>
            </w14:solidFill>
          </w14:textFill>
        </w:rPr>
      </w:pP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一、基金资产总值</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基金资产总值是指基金购买的各类证券及票据价值、银行存款本息和基金应收的申购基金款以及其他投资所形成的价值总和。</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二、基金资产净值</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基金资产净值是指基金资产总值减去基金负债后的价值。</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三、基金财产的账户</w:t>
      </w:r>
    </w:p>
    <w:p>
      <w:pPr>
        <w:spacing w:line="360" w:lineRule="auto"/>
        <w:ind w:firstLine="480" w:firstLineChars="200"/>
        <w:rPr>
          <w:color w:val="000000" w:themeColor="text1"/>
          <w14:textFill>
            <w14:solidFill>
              <w14:schemeClr w14:val="tx1"/>
            </w14:solidFill>
          </w14:textFill>
        </w:rPr>
      </w:pPr>
      <w:r>
        <w:rPr>
          <w:bCs/>
          <w:color w:val="000000" w:themeColor="text1"/>
          <w:sz w:val="24"/>
          <w14:textFill>
            <w14:solidFill>
              <w14:schemeClr w14:val="tx1"/>
            </w14:solidFill>
          </w14:textFill>
        </w:rPr>
        <w:t>基金托管人根据相关法律法规、规范性文件为本基金开立资金</w:t>
      </w:r>
      <w:r>
        <w:rPr>
          <w:rFonts w:hint="eastAsia"/>
          <w:bCs/>
          <w:color w:val="000000" w:themeColor="text1"/>
          <w:sz w:val="24"/>
          <w14:textFill>
            <w14:solidFill>
              <w14:schemeClr w14:val="tx1"/>
            </w14:solidFill>
          </w14:textFill>
        </w:rPr>
        <w:t>账户</w:t>
      </w:r>
      <w:r>
        <w:rPr>
          <w:bCs/>
          <w:color w:val="000000" w:themeColor="text1"/>
          <w:sz w:val="24"/>
          <w14:textFill>
            <w14:solidFill>
              <w14:schemeClr w14:val="tx1"/>
            </w14:solidFill>
          </w14:textFill>
        </w:rPr>
        <w:t>、证券</w:t>
      </w:r>
      <w:r>
        <w:rPr>
          <w:rFonts w:hint="eastAsia"/>
          <w:bCs/>
          <w:color w:val="000000" w:themeColor="text1"/>
          <w:sz w:val="24"/>
          <w14:textFill>
            <w14:solidFill>
              <w14:schemeClr w14:val="tx1"/>
            </w14:solidFill>
          </w14:textFill>
        </w:rPr>
        <w:t>账户</w:t>
      </w:r>
      <w:r>
        <w:rPr>
          <w:bCs/>
          <w:color w:val="000000" w:themeColor="text1"/>
          <w:sz w:val="24"/>
          <w14:textFill>
            <w14:solidFill>
              <w14:schemeClr w14:val="tx1"/>
            </w14:solidFill>
          </w14:textFill>
        </w:rPr>
        <w:t>以及投资所需的其他专用</w:t>
      </w:r>
      <w:r>
        <w:rPr>
          <w:rFonts w:hint="eastAsia"/>
          <w:bCs/>
          <w:color w:val="000000" w:themeColor="text1"/>
          <w:sz w:val="24"/>
          <w14:textFill>
            <w14:solidFill>
              <w14:schemeClr w14:val="tx1"/>
            </w14:solidFill>
          </w14:textFill>
        </w:rPr>
        <w:t>账户</w:t>
      </w:r>
      <w:r>
        <w:rPr>
          <w:bCs/>
          <w:color w:val="000000" w:themeColor="text1"/>
          <w:sz w:val="24"/>
          <w14:textFill>
            <w14:solidFill>
              <w14:schemeClr w14:val="tx1"/>
            </w14:solidFill>
          </w14:textFill>
        </w:rPr>
        <w:t>。开立的基金专用账户与基金管理人、基金托管人、基金销售机构和基金登记机构自有的财产账户以及其他基金财产账户相独立。</w:t>
      </w:r>
      <w:bookmarkStart w:id="304" w:name="_Hlt88841837"/>
      <w:bookmarkEnd w:id="304"/>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四、基金财产的保管和处分</w:t>
      </w:r>
      <w:bookmarkStart w:id="305" w:name="_Hlt88900062"/>
      <w:bookmarkEnd w:id="305"/>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本基金财产独立于基金管理人、基金托管人和基金</w:t>
      </w:r>
      <w:r>
        <w:rPr>
          <w:rFonts w:hint="eastAsia"/>
          <w:bCs/>
          <w:color w:val="000000" w:themeColor="text1"/>
          <w:sz w:val="24"/>
          <w14:textFill>
            <w14:solidFill>
              <w14:schemeClr w14:val="tx1"/>
            </w14:solidFill>
          </w14:textFill>
        </w:rPr>
        <w:t>销售</w:t>
      </w:r>
      <w:r>
        <w:rPr>
          <w:bCs/>
          <w:color w:val="000000" w:themeColor="text1"/>
          <w:sz w:val="24"/>
          <w14:textFill>
            <w14:solidFill>
              <w14:schemeClr w14:val="tx1"/>
            </w14:solidFill>
          </w14:textFill>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pPr>
        <w:spacing w:line="360" w:lineRule="auto"/>
        <w:ind w:firstLine="480" w:firstLineChars="200"/>
        <w:rPr>
          <w:bCs/>
          <w:color w:val="000000" w:themeColor="text1"/>
          <w:sz w:val="24"/>
          <w14:textFill>
            <w14:solidFill>
              <w14:schemeClr w14:val="tx1"/>
            </w14:solidFill>
          </w14:textFill>
        </w:rPr>
      </w:pPr>
    </w:p>
    <w:p>
      <w:pPr>
        <w:pStyle w:val="2"/>
        <w:spacing w:before="0" w:after="0"/>
        <w:jc w:val="center"/>
        <w:rPr>
          <w:rFonts w:ascii="Times New Roman"/>
          <w:color w:val="000000" w:themeColor="text1"/>
          <w:sz w:val="30"/>
          <w14:textFill>
            <w14:solidFill>
              <w14:schemeClr w14:val="tx1"/>
            </w14:solidFill>
          </w14:textFill>
        </w:rPr>
      </w:pPr>
      <w:r>
        <w:rPr>
          <w:rFonts w:ascii="Times New Roman"/>
          <w:b w:val="0"/>
          <w:bCs/>
          <w:color w:val="000000" w:themeColor="text1"/>
          <w:kern w:val="44"/>
          <w:sz w:val="21"/>
          <w14:textFill>
            <w14:solidFill>
              <w14:schemeClr w14:val="tx1"/>
            </w14:solidFill>
          </w14:textFill>
        </w:rPr>
        <w:br w:type="page"/>
      </w:r>
      <w:bookmarkStart w:id="306" w:name="_Toc7802"/>
      <w:bookmarkStart w:id="307" w:name="_Toc31917"/>
      <w:bookmarkStart w:id="308" w:name="_Toc95997125"/>
      <w:bookmarkStart w:id="309" w:name="_Toc17782"/>
      <w:bookmarkStart w:id="310" w:name="_Toc19714"/>
      <w:bookmarkStart w:id="311" w:name="_Toc871"/>
      <w:bookmarkStart w:id="312" w:name="_Toc27832"/>
      <w:bookmarkStart w:id="313" w:name="_Toc141703894"/>
      <w:bookmarkStart w:id="314" w:name="_Toc139991744"/>
      <w:r>
        <w:rPr>
          <w:rFonts w:ascii="Times New Roman"/>
          <w:color w:val="000000" w:themeColor="text1"/>
          <w:sz w:val="30"/>
          <w14:textFill>
            <w14:solidFill>
              <w14:schemeClr w14:val="tx1"/>
            </w14:solidFill>
          </w14:textFill>
        </w:rPr>
        <w:t>第十四部分  基金资产估值</w:t>
      </w:r>
      <w:bookmarkEnd w:id="306"/>
      <w:bookmarkEnd w:id="307"/>
      <w:bookmarkEnd w:id="308"/>
      <w:bookmarkEnd w:id="309"/>
      <w:bookmarkEnd w:id="310"/>
      <w:bookmarkEnd w:id="311"/>
      <w:bookmarkEnd w:id="312"/>
    </w:p>
    <w:p>
      <w:pPr>
        <w:spacing w:line="360" w:lineRule="auto"/>
        <w:ind w:firstLine="480" w:firstLineChars="200"/>
        <w:rPr>
          <w:bCs/>
          <w:color w:val="000000" w:themeColor="text1"/>
          <w:sz w:val="24"/>
          <w14:textFill>
            <w14:solidFill>
              <w14:schemeClr w14:val="tx1"/>
            </w14:solidFill>
          </w14:textFill>
        </w:rPr>
      </w:pPr>
    </w:p>
    <w:bookmarkEnd w:id="313"/>
    <w:bookmarkEnd w:id="314"/>
    <w:p>
      <w:pPr>
        <w:spacing w:line="360" w:lineRule="auto"/>
        <w:ind w:firstLine="480" w:firstLineChars="200"/>
        <w:rPr>
          <w:bCs/>
          <w:color w:val="000000" w:themeColor="text1"/>
          <w:sz w:val="24"/>
          <w14:textFill>
            <w14:solidFill>
              <w14:schemeClr w14:val="tx1"/>
            </w14:solidFill>
          </w14:textFill>
        </w:rPr>
      </w:pPr>
      <w:bookmarkStart w:id="315" w:name="_Toc141703895"/>
      <w:bookmarkStart w:id="316" w:name="_Toc139991745"/>
      <w:bookmarkStart w:id="317" w:name="_Toc32046"/>
      <w:r>
        <w:rPr>
          <w:bCs/>
          <w:color w:val="000000" w:themeColor="text1"/>
          <w:sz w:val="24"/>
          <w14:textFill>
            <w14:solidFill>
              <w14:schemeClr w14:val="tx1"/>
            </w14:solidFill>
          </w14:textFill>
        </w:rPr>
        <w:t>一、估值日</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本基金的估值日为本基金相关的证券交易场所的交易日以及国家法律法规规定需要对外披露基金净值的非交易日。</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二、估值对象</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基金所拥有的债券</w:t>
      </w: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银行存款本息、应收款项、其它投资等资产及负债。</w:t>
      </w:r>
    </w:p>
    <w:p>
      <w:pPr>
        <w:numPr>
          <w:ilvl w:val="0"/>
          <w:numId w:val="3"/>
        </w:num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估值原则</w:t>
      </w:r>
    </w:p>
    <w:p>
      <w:pPr>
        <w:spacing w:line="360" w:lineRule="auto"/>
        <w:ind w:firstLine="480" w:firstLineChars="200"/>
        <w:rPr>
          <w:bCs/>
          <w:color w:val="000000" w:themeColor="text1"/>
          <w:sz w:val="24"/>
          <w:szCs w:val="24"/>
          <w14:textFill>
            <w14:solidFill>
              <w14:schemeClr w14:val="tx1"/>
            </w14:solidFill>
          </w14:textFill>
        </w:rPr>
      </w:pPr>
      <w:r>
        <w:rPr>
          <w:rFonts w:hint="eastAsia"/>
          <w:bCs/>
          <w:color w:val="000000" w:themeColor="text1"/>
          <w:sz w:val="24"/>
          <w:szCs w:val="24"/>
          <w14:textFill>
            <w14:solidFill>
              <w14:schemeClr w14:val="tx1"/>
            </w14:solidFill>
          </w14:textFill>
        </w:rPr>
        <w:t>基金管理人在确定相关金融资产和金融负债的公允价值时，应符合《企业会计准则》、监管部门有关规定。</w:t>
      </w:r>
    </w:p>
    <w:p>
      <w:pPr>
        <w:numPr>
          <w:ilvl w:val="0"/>
          <w:numId w:val="4"/>
        </w:numPr>
        <w:spacing w:line="360" w:lineRule="auto"/>
        <w:ind w:firstLine="480" w:firstLineChars="200"/>
        <w:rPr>
          <w:bCs/>
          <w:color w:val="000000" w:themeColor="text1"/>
          <w:sz w:val="24"/>
          <w:szCs w:val="24"/>
          <w14:textFill>
            <w14:solidFill>
              <w14:schemeClr w14:val="tx1"/>
            </w14:solidFill>
          </w14:textFill>
        </w:rPr>
      </w:pPr>
      <w:r>
        <w:rPr>
          <w:rFonts w:hint="eastAsia"/>
          <w:bCs/>
          <w:color w:val="000000" w:themeColor="text1"/>
          <w:sz w:val="24"/>
          <w:szCs w:val="24"/>
          <w14:textFill>
            <w14:solidFill>
              <w14:schemeClr w14:val="tx1"/>
            </w14:solidFill>
          </w14:textFill>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pPr>
        <w:spacing w:line="360" w:lineRule="auto"/>
        <w:ind w:firstLine="480" w:firstLineChars="200"/>
        <w:rPr>
          <w:bCs/>
          <w:color w:val="000000" w:themeColor="text1"/>
          <w:sz w:val="24"/>
          <w:szCs w:val="24"/>
          <w14:textFill>
            <w14:solidFill>
              <w14:schemeClr w14:val="tx1"/>
            </w14:solidFill>
          </w14:textFill>
        </w:rPr>
      </w:pPr>
      <w:r>
        <w:rPr>
          <w:rFonts w:hint="eastAsia"/>
          <w:bCs/>
          <w:color w:val="000000" w:themeColor="text1"/>
          <w:sz w:val="24"/>
          <w:szCs w:val="24"/>
          <w14:textFill>
            <w14:solidFill>
              <w14:schemeClr w14:val="tx1"/>
            </w14:solidFill>
          </w14:textFill>
        </w:rPr>
        <w:t>与上述投资品种</w:t>
      </w:r>
      <w:r>
        <w:rPr>
          <w:bCs/>
          <w:color w:val="000000" w:themeColor="text1"/>
          <w:sz w:val="24"/>
          <w:szCs w:val="24"/>
          <w14:textFill>
            <w14:solidFill>
              <w14:schemeClr w14:val="tx1"/>
            </w14:solidFill>
          </w14:textFill>
        </w:rPr>
        <w:t>形</w:t>
      </w:r>
      <w:r>
        <w:rPr>
          <w:rFonts w:hint="eastAsia"/>
          <w:bCs/>
          <w:color w:val="000000" w:themeColor="text1"/>
          <w:sz w:val="24"/>
          <w:szCs w:val="24"/>
          <w14:textFill>
            <w14:solidFill>
              <w14:schemeClr w14:val="tx1"/>
            </w14:solidFill>
          </w14:textFill>
        </w:rPr>
        <w:t>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pPr>
        <w:numPr>
          <w:ilvl w:val="0"/>
          <w:numId w:val="4"/>
        </w:numPr>
        <w:spacing w:line="360" w:lineRule="auto"/>
        <w:ind w:firstLine="480" w:firstLineChars="200"/>
        <w:rPr>
          <w:bCs/>
          <w:color w:val="000000" w:themeColor="text1"/>
          <w:sz w:val="24"/>
          <w:szCs w:val="24"/>
          <w14:textFill>
            <w14:solidFill>
              <w14:schemeClr w14:val="tx1"/>
            </w14:solidFill>
          </w14:textFill>
        </w:rPr>
      </w:pPr>
      <w:r>
        <w:rPr>
          <w:rFonts w:hint="eastAsia"/>
          <w:bCs/>
          <w:color w:val="000000" w:themeColor="text1"/>
          <w:sz w:val="24"/>
          <w:szCs w:val="24"/>
          <w14:textFill>
            <w14:solidFill>
              <w14:schemeClr w14:val="tx1"/>
            </w14:solidFill>
          </w14:textFill>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szCs w:val="24"/>
          <w14:textFill>
            <w14:solidFill>
              <w14:schemeClr w14:val="tx1"/>
            </w14:solidFill>
          </w14:textFill>
        </w:rPr>
        <w:t>（三）如经济环境发生重大变化或证券发行人发生影响证券价格的重大事件，使潜在估值调整对前一估值日的基金资产净值的影响在0.25%以上的，应对估值进行调整并确定公允价值。</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四</w:t>
      </w:r>
      <w:r>
        <w:rPr>
          <w:bCs/>
          <w:color w:val="000000" w:themeColor="text1"/>
          <w:sz w:val="24"/>
          <w14:textFill>
            <w14:solidFill>
              <w14:schemeClr w14:val="tx1"/>
            </w14:solidFill>
          </w14:textFill>
        </w:rPr>
        <w:t>、估值方法</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1、证券交易所上市的有价证券的估值</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w:t>
      </w:r>
      <w:r>
        <w:rPr>
          <w:rFonts w:hint="eastAsia"/>
          <w:bCs/>
          <w:color w:val="000000" w:themeColor="text1"/>
          <w:sz w:val="24"/>
          <w14:textFill>
            <w14:solidFill>
              <w14:schemeClr w14:val="tx1"/>
            </w14:solidFill>
          </w14:textFill>
        </w:rPr>
        <w:t>除本部分另有约定的品种外，</w:t>
      </w:r>
      <w:r>
        <w:rPr>
          <w:bCs/>
          <w:color w:val="000000" w:themeColor="text1"/>
          <w:sz w:val="24"/>
          <w14:textFill>
            <w14:solidFill>
              <w14:schemeClr w14:val="tx1"/>
            </w14:solidFill>
          </w14:textFill>
        </w:rPr>
        <w:t>交易所上市的有价证券，以其估值日在证券交易所挂牌的市价（收盘价）估值；估值日无交易的，且最近交易日后经济环境未发生重大变化</w:t>
      </w:r>
      <w:r>
        <w:rPr>
          <w:rFonts w:hint="eastAsia"/>
          <w:bCs/>
          <w:color w:val="000000" w:themeColor="text1"/>
          <w:sz w:val="24"/>
          <w14:textFill>
            <w14:solidFill>
              <w14:schemeClr w14:val="tx1"/>
            </w14:solidFill>
          </w14:textFill>
        </w:rPr>
        <w:t>或</w:t>
      </w:r>
      <w:r>
        <w:rPr>
          <w:bCs/>
          <w:color w:val="000000" w:themeColor="text1"/>
          <w:sz w:val="24"/>
          <w14:textFill>
            <w14:solidFill>
              <w14:schemeClr w14:val="tx1"/>
            </w14:solidFill>
          </w14:textFill>
        </w:rPr>
        <w:t>证券发行机构未发生影响证券价格的重大事件的，以最近交易日的市价（收盘价）估值；如最近交易日后经济环境发生了重大变化</w:t>
      </w:r>
      <w:r>
        <w:rPr>
          <w:rFonts w:hint="eastAsia"/>
          <w:bCs/>
          <w:color w:val="000000" w:themeColor="text1"/>
          <w:sz w:val="24"/>
          <w14:textFill>
            <w14:solidFill>
              <w14:schemeClr w14:val="tx1"/>
            </w14:solidFill>
          </w14:textFill>
        </w:rPr>
        <w:t>或</w:t>
      </w:r>
      <w:r>
        <w:rPr>
          <w:bCs/>
          <w:color w:val="000000" w:themeColor="text1"/>
          <w:sz w:val="24"/>
          <w14:textFill>
            <w14:solidFill>
              <w14:schemeClr w14:val="tx1"/>
            </w14:solidFill>
          </w14:textFill>
        </w:rPr>
        <w:t>证券发行机构发生影响证券价格的重大事件的，可参考类似投资品种的现行市价及重大变化因素，调整最近交易市价，确定公允价格。</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（2）交易所上市交易或挂牌转让的不含权固定收益品种，选取估值日第三方估值机构提供的相应品种当日的估值净价进行估值；</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（3）交易所上市交易或挂牌转让的含权固定收益品种，选取估值日第三方估值机构提供的相应品种当日的唯一估值净价或推荐估值净价进行估值；</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（4）交易所上市不存在活跃市场的有价证券，采用估值技术确定公允价值。</w:t>
      </w:r>
      <w:r>
        <w:rPr>
          <w:rFonts w:hint="eastAsia"/>
          <w:bCs/>
          <w:color w:val="000000" w:themeColor="text1"/>
          <w:sz w:val="24"/>
          <w14:textFill>
            <w14:solidFill>
              <w14:schemeClr w14:val="tx1"/>
            </w14:solidFill>
          </w14:textFill>
        </w:rPr>
        <w:t>交易所市场挂牌转让</w:t>
      </w:r>
      <w:r>
        <w:rPr>
          <w:bCs/>
          <w:color w:val="000000" w:themeColor="text1"/>
          <w:sz w:val="24"/>
          <w14:textFill>
            <w14:solidFill>
              <w14:schemeClr w14:val="tx1"/>
            </w14:solidFill>
          </w14:textFill>
        </w:rPr>
        <w:t>的资产支持证券，采用估值技术确定公允价值</w:t>
      </w:r>
      <w:r>
        <w:rPr>
          <w:rFonts w:hint="eastAsia"/>
          <w:bCs/>
          <w:color w:val="000000" w:themeColor="text1"/>
          <w:sz w:val="24"/>
          <w14:textFill>
            <w14:solidFill>
              <w14:schemeClr w14:val="tx1"/>
            </w14:solidFill>
          </w14:textFill>
        </w:rPr>
        <w:t>，在估值技术难以可靠计量公允价值的情况下，按成本估值；</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5）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w:t>
      </w:r>
      <w:r>
        <w:rPr>
          <w:rFonts w:hint="eastAsia"/>
          <w:bCs/>
          <w:color w:val="000000" w:themeColor="text1"/>
          <w:sz w:val="24"/>
          <w14:textFill>
            <w14:solidFill>
              <w14:schemeClr w14:val="tx1"/>
            </w14:solidFill>
          </w14:textFill>
        </w:rPr>
        <w:t>市场活动</w:t>
      </w:r>
      <w:r>
        <w:rPr>
          <w:bCs/>
          <w:color w:val="000000" w:themeColor="text1"/>
          <w:sz w:val="24"/>
          <w14:textFill>
            <w14:solidFill>
              <w14:schemeClr w14:val="tx1"/>
            </w14:solidFill>
          </w14:textFill>
        </w:rPr>
        <w:t>或市场活动很少的情况下，应采用估值技术确定其公允价值。</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2、首次公开发行未上市的债券，采用估值技术确定公允价值，在估值技术难以可靠计量公允价值的情况下，按成本估值。</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w:t>
      </w:r>
      <w:r>
        <w:rPr>
          <w:rFonts w:hint="eastAsia"/>
          <w:bCs/>
          <w:color w:val="000000" w:themeColor="text1"/>
          <w:sz w:val="24"/>
          <w14:textFill>
            <w14:solidFill>
              <w14:schemeClr w14:val="tx1"/>
            </w14:solidFill>
          </w14:textFill>
        </w:rPr>
        <w:t>期</w:t>
      </w:r>
      <w:r>
        <w:rPr>
          <w:bCs/>
          <w:color w:val="000000" w:themeColor="text1"/>
          <w:sz w:val="24"/>
          <w14:textFill>
            <w14:solidFill>
              <w14:schemeClr w14:val="tx1"/>
            </w14:solidFill>
          </w14:textFill>
        </w:rPr>
        <w:t>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pPr>
        <w:spacing w:line="360" w:lineRule="auto"/>
        <w:ind w:firstLine="484" w:firstLineChars="202"/>
        <w:rPr>
          <w:bCs/>
          <w:color w:val="000000" w:themeColor="text1"/>
          <w:sz w:val="24"/>
          <w14:textFill>
            <w14:solidFill>
              <w14:schemeClr w14:val="tx1"/>
            </w14:solidFill>
          </w14:textFill>
        </w:rPr>
      </w:pPr>
      <w:r>
        <w:rPr>
          <w:bCs/>
          <w:color w:val="000000" w:themeColor="text1"/>
          <w:sz w:val="24"/>
          <w14:textFill>
            <w14:solidFill>
              <w14:schemeClr w14:val="tx1"/>
            </w14:solidFill>
          </w14:textFill>
        </w:rPr>
        <w:t>4、</w:t>
      </w:r>
      <w:r>
        <w:rPr>
          <w:rFonts w:hint="eastAsia"/>
          <w:bCs/>
          <w:color w:val="000000" w:themeColor="text1"/>
          <w:sz w:val="24"/>
          <w14:textFill>
            <w14:solidFill>
              <w14:schemeClr w14:val="tx1"/>
            </w14:solidFill>
          </w14:textFill>
        </w:rPr>
        <w:t>同一债券同时在两个或两个以上市场交易的，按债券所处的市场分别估值。</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5、</w:t>
      </w:r>
      <w:r>
        <w:rPr>
          <w:rFonts w:hint="eastAsia" w:ascii="宋体" w:hAnsi="宋体"/>
          <w:color w:val="000000" w:themeColor="text1"/>
          <w:sz w:val="24"/>
          <w14:textFill>
            <w14:solidFill>
              <w14:schemeClr w14:val="tx1"/>
            </w14:solidFill>
          </w14:textFill>
        </w:rPr>
        <w:t>基金投资同业存单，按估值日第三方估值机构提供的估值净价估值；选定的第三方估值机构未提供估值价格的，按成本估值。</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6、本基金持有的回购以成本列示，按合同利率在实际持有期内逐日计提利息。</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7、本基金持有的银行存款和备付金余额以本金列示，按相应利率逐日确认利息收入。</w:t>
      </w:r>
    </w:p>
    <w:p>
      <w:pPr>
        <w:spacing w:line="360" w:lineRule="auto"/>
        <w:ind w:firstLine="480" w:firstLineChars="200"/>
        <w:rPr>
          <w:bCs/>
          <w:color w:val="000000" w:themeColor="text1"/>
          <w14:textFill>
            <w14:solidFill>
              <w14:schemeClr w14:val="tx1"/>
            </w14:solidFill>
          </w14:textFill>
        </w:rPr>
      </w:pPr>
      <w:r>
        <w:rPr>
          <w:bCs/>
          <w:color w:val="000000" w:themeColor="text1"/>
          <w:sz w:val="24"/>
          <w14:textFill>
            <w14:solidFill>
              <w14:schemeClr w14:val="tx1"/>
            </w14:solidFill>
          </w14:textFill>
        </w:rPr>
        <w:t>8、如有确凿证据表明按上述方法进行估值不能客观反映其公允价值的，基金管理人可根据具体情况与基金托管人商定后，按最能反映公允价值的价格估值。</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9、当发生大额申购或赎回情形时，基金管理人可以采用摆动定价机制，以确保基金估值的公平性。</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10、相关法律法规以及监管部门有强制规定的，从其规定。如有新增事项，按国家最新规定估值。</w:t>
      </w:r>
    </w:p>
    <w:p>
      <w:pPr>
        <w:spacing w:line="360" w:lineRule="auto"/>
        <w:ind w:firstLine="480" w:firstLineChars="200"/>
        <w:rPr>
          <w:rStyle w:val="42"/>
          <w:bCs/>
          <w:color w:val="000000" w:themeColor="text1"/>
          <w:sz w:val="24"/>
          <w14:textFill>
            <w14:solidFill>
              <w14:schemeClr w14:val="tx1"/>
            </w14:solidFill>
          </w14:textFill>
        </w:rPr>
      </w:pPr>
      <w:r>
        <w:rPr>
          <w:rStyle w:val="42"/>
          <w:bCs/>
          <w:color w:val="000000" w:themeColor="text1"/>
          <w:sz w:val="24"/>
          <w14:textFill>
            <w14:solidFill>
              <w14:schemeClr w14:val="tx1"/>
            </w14:solidFill>
          </w14:textFill>
        </w:rPr>
        <w:t>如基金管理人或基金托管人发现基金估值违反基金合同订明的估值方法、程序及相关法律法规的规定或者未能充分维护基金份额持有人利益时，应立即通知对方，共同查明原因，双方协商解决。</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信息的计算结果对外予以公布。</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五</w:t>
      </w:r>
      <w:r>
        <w:rPr>
          <w:bCs/>
          <w:color w:val="000000" w:themeColor="text1"/>
          <w:sz w:val="24"/>
          <w14:textFill>
            <w14:solidFill>
              <w14:schemeClr w14:val="tx1"/>
            </w14:solidFill>
          </w14:textFill>
        </w:rPr>
        <w:t>、估值程序</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1、基金份额净值是按照每个工作日闭市后，基金资产净值除以当日基金份额的余额数量计算，精确到</w:t>
      </w:r>
      <w:r>
        <w:rPr>
          <w:rFonts w:hint="eastAsia"/>
          <w:bCs/>
          <w:color w:val="000000" w:themeColor="text1"/>
          <w:sz w:val="24"/>
          <w14:textFill>
            <w14:solidFill>
              <w14:schemeClr w14:val="tx1"/>
            </w14:solidFill>
          </w14:textFill>
        </w:rPr>
        <w:t>0.0001</w:t>
      </w:r>
      <w:r>
        <w:rPr>
          <w:bCs/>
          <w:color w:val="000000" w:themeColor="text1"/>
          <w:sz w:val="24"/>
          <w14:textFill>
            <w14:solidFill>
              <w14:schemeClr w14:val="tx1"/>
            </w14:solidFill>
          </w14:textFill>
        </w:rPr>
        <w:t>元，小数点后第</w:t>
      </w:r>
      <w:r>
        <w:rPr>
          <w:rFonts w:hint="eastAsia"/>
          <w:bCs/>
          <w:color w:val="000000" w:themeColor="text1"/>
          <w:sz w:val="24"/>
          <w14:textFill>
            <w14:solidFill>
              <w14:schemeClr w14:val="tx1"/>
            </w14:solidFill>
          </w14:textFill>
        </w:rPr>
        <w:t>5</w:t>
      </w:r>
      <w:r>
        <w:rPr>
          <w:bCs/>
          <w:color w:val="000000" w:themeColor="text1"/>
          <w:sz w:val="24"/>
          <w14:textFill>
            <w14:solidFill>
              <w14:schemeClr w14:val="tx1"/>
            </w14:solidFill>
          </w14:textFill>
        </w:rPr>
        <w:t>位四舍五入，由此产生的收益或损失由基金资产承担。基金管理人可以设立大额赎回情形下的净值精度应急调整机制。国家另有规定的，从其规定。</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基金管理人</w:t>
      </w:r>
      <w:r>
        <w:rPr>
          <w:bCs/>
          <w:color w:val="000000" w:themeColor="text1"/>
          <w:sz w:val="24"/>
          <w14:textFill>
            <w14:solidFill>
              <w14:schemeClr w14:val="tx1"/>
            </w14:solidFill>
          </w14:textFill>
        </w:rPr>
        <w:t>每个工作日计算基金资产净值及基金份额净值，并按规定公告。</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2、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w:t>
      </w:r>
      <w:r>
        <w:rPr>
          <w:rFonts w:hint="eastAsia"/>
          <w:bCs/>
          <w:color w:val="000000" w:themeColor="text1"/>
          <w:sz w:val="24"/>
          <w14:textFill>
            <w14:solidFill>
              <w14:schemeClr w14:val="tx1"/>
            </w14:solidFill>
          </w14:textFill>
        </w:rPr>
        <w:t>按约定</w:t>
      </w:r>
      <w:r>
        <w:rPr>
          <w:bCs/>
          <w:color w:val="000000" w:themeColor="text1"/>
          <w:sz w:val="24"/>
          <w14:textFill>
            <w14:solidFill>
              <w14:schemeClr w14:val="tx1"/>
            </w14:solidFill>
          </w14:textFill>
        </w:rPr>
        <w:t>对外公布。</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六</w:t>
      </w:r>
      <w:r>
        <w:rPr>
          <w:bCs/>
          <w:color w:val="000000" w:themeColor="text1"/>
          <w:sz w:val="24"/>
          <w14:textFill>
            <w14:solidFill>
              <w14:schemeClr w14:val="tx1"/>
            </w14:solidFill>
          </w14:textFill>
        </w:rPr>
        <w:t>、估值错误的处理</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基金管理人和基金托管人将采取必要、适当、合理的措施确保基金资产估值的准确性、及时性。当基金份额净值小数点后</w:t>
      </w:r>
      <w:r>
        <w:rPr>
          <w:rFonts w:hint="eastAsia"/>
          <w:bCs/>
          <w:color w:val="000000" w:themeColor="text1"/>
          <w:sz w:val="24"/>
          <w14:textFill>
            <w14:solidFill>
              <w14:schemeClr w14:val="tx1"/>
            </w14:solidFill>
          </w14:textFill>
        </w:rPr>
        <w:t>4</w:t>
      </w:r>
      <w:r>
        <w:rPr>
          <w:bCs/>
          <w:color w:val="000000" w:themeColor="text1"/>
          <w:sz w:val="24"/>
          <w14:textFill>
            <w14:solidFill>
              <w14:schemeClr w14:val="tx1"/>
            </w14:solidFill>
          </w14:textFill>
        </w:rPr>
        <w:t>位以内（含第</w:t>
      </w:r>
      <w:r>
        <w:rPr>
          <w:rFonts w:hint="eastAsia"/>
          <w:bCs/>
          <w:color w:val="000000" w:themeColor="text1"/>
          <w:sz w:val="24"/>
          <w14:textFill>
            <w14:solidFill>
              <w14:schemeClr w14:val="tx1"/>
            </w14:solidFill>
          </w14:textFill>
        </w:rPr>
        <w:t>4</w:t>
      </w:r>
      <w:r>
        <w:rPr>
          <w:bCs/>
          <w:color w:val="000000" w:themeColor="text1"/>
          <w:sz w:val="24"/>
          <w14:textFill>
            <w14:solidFill>
              <w14:schemeClr w14:val="tx1"/>
            </w14:solidFill>
          </w14:textFill>
        </w:rPr>
        <w:t>位）发生估值错误时，视为基金份额净值错误。</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本基金合同的当事人应按照以下约定处理：</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1、估值错误类型</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上述估值错误的主要类型包括但不限于：资料申报差错、数据传输差错、数据计算差错、系统故障差错、下达指令差错等。</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2、估值错误处理原则</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w:t>
      </w:r>
      <w:r>
        <w:rPr>
          <w:rFonts w:hint="eastAsia"/>
          <w:bCs/>
          <w:color w:val="000000" w:themeColor="text1"/>
          <w:sz w:val="24"/>
          <w14:textFill>
            <w14:solidFill>
              <w14:schemeClr w14:val="tx1"/>
            </w14:solidFill>
          </w14:textFill>
        </w:rPr>
        <w:t>2</w:t>
      </w:r>
      <w:r>
        <w:rPr>
          <w:bCs/>
          <w:color w:val="000000" w:themeColor="text1"/>
          <w:sz w:val="24"/>
          <w14:textFill>
            <w14:solidFill>
              <w14:schemeClr w14:val="tx1"/>
            </w14:solidFill>
          </w14:textFill>
        </w:rPr>
        <w:t>）估值错误的责任方对有关当事人的直接损失负责，不对间接损失负责，并且仅对估值错误的有关直接当事人负责，不对第三方负责。</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w:t>
      </w:r>
      <w:r>
        <w:rPr>
          <w:rFonts w:hint="eastAsia"/>
          <w:bCs/>
          <w:color w:val="000000" w:themeColor="text1"/>
          <w:sz w:val="24"/>
          <w14:textFill>
            <w14:solidFill>
              <w14:schemeClr w14:val="tx1"/>
            </w14:solidFill>
          </w14:textFill>
        </w:rPr>
        <w:t>3</w:t>
      </w:r>
      <w:r>
        <w:rPr>
          <w:bCs/>
          <w:color w:val="000000" w:themeColor="text1"/>
          <w:sz w:val="24"/>
          <w14:textFill>
            <w14:solidFill>
              <w14:schemeClr w14:val="tx1"/>
            </w14:solidFill>
          </w14:textFill>
        </w:rPr>
        <w:t>）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w:t>
      </w:r>
      <w:r>
        <w:rPr>
          <w:rFonts w:hint="eastAsia"/>
          <w:bCs/>
          <w:color w:val="000000" w:themeColor="text1"/>
          <w:sz w:val="24"/>
          <w14:textFill>
            <w14:solidFill>
              <w14:schemeClr w14:val="tx1"/>
            </w14:solidFill>
          </w14:textFill>
        </w:rPr>
        <w:t>4</w:t>
      </w:r>
      <w:r>
        <w:rPr>
          <w:bCs/>
          <w:color w:val="000000" w:themeColor="text1"/>
          <w:sz w:val="24"/>
          <w14:textFill>
            <w14:solidFill>
              <w14:schemeClr w14:val="tx1"/>
            </w14:solidFill>
          </w14:textFill>
        </w:rPr>
        <w:t>）估值错误调整采用尽量恢复至假设未发生估值错误的正确情形的方式。</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（5）按法律法规规定的其他原则处理差错。</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3、估值错误处理程序</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估值错误被发现后，有关的当事人应当及时进行处理，处理的程序如下：</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（1）查明估值错误发生的原因，列明所有的当事人，并根据估值错误发生的原因确定估值错误的责任方；</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w:t>
      </w:r>
      <w:r>
        <w:rPr>
          <w:rFonts w:hint="eastAsia"/>
          <w:bCs/>
          <w:color w:val="000000" w:themeColor="text1"/>
          <w:sz w:val="24"/>
          <w14:textFill>
            <w14:solidFill>
              <w14:schemeClr w14:val="tx1"/>
            </w14:solidFill>
          </w14:textFill>
        </w:rPr>
        <w:t>2</w:t>
      </w:r>
      <w:r>
        <w:rPr>
          <w:bCs/>
          <w:color w:val="000000" w:themeColor="text1"/>
          <w:sz w:val="24"/>
          <w14:textFill>
            <w14:solidFill>
              <w14:schemeClr w14:val="tx1"/>
            </w14:solidFill>
          </w14:textFill>
        </w:rPr>
        <w:t>）根据估值错误处理原则或当事人协商的方法对因估值错误造成的损失进行评估；</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w:t>
      </w:r>
      <w:r>
        <w:rPr>
          <w:rFonts w:hint="eastAsia"/>
          <w:bCs/>
          <w:color w:val="000000" w:themeColor="text1"/>
          <w:sz w:val="24"/>
          <w14:textFill>
            <w14:solidFill>
              <w14:schemeClr w14:val="tx1"/>
            </w14:solidFill>
          </w14:textFill>
        </w:rPr>
        <w:t>3</w:t>
      </w:r>
      <w:r>
        <w:rPr>
          <w:bCs/>
          <w:color w:val="000000" w:themeColor="text1"/>
          <w:sz w:val="24"/>
          <w14:textFill>
            <w14:solidFill>
              <w14:schemeClr w14:val="tx1"/>
            </w14:solidFill>
          </w14:textFill>
        </w:rPr>
        <w:t>）根据估值错误处理原则或当事人协商的方法由估值错误的责任方进行更正和赔偿损失；</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w:t>
      </w:r>
      <w:r>
        <w:rPr>
          <w:rFonts w:hint="eastAsia"/>
          <w:bCs/>
          <w:color w:val="000000" w:themeColor="text1"/>
          <w:sz w:val="24"/>
          <w14:textFill>
            <w14:solidFill>
              <w14:schemeClr w14:val="tx1"/>
            </w14:solidFill>
          </w14:textFill>
        </w:rPr>
        <w:t>4</w:t>
      </w:r>
      <w:r>
        <w:rPr>
          <w:bCs/>
          <w:color w:val="000000" w:themeColor="text1"/>
          <w:sz w:val="24"/>
          <w14:textFill>
            <w14:solidFill>
              <w14:schemeClr w14:val="tx1"/>
            </w14:solidFill>
          </w14:textFill>
        </w:rPr>
        <w:t>）根据估值错误处理的方法，需要修改基金登记机构交易数据的，由基金登记机构进行更正，并就估值错误的更正向有关当事人进行确认。</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4、基金份额净值估值错误处理的方法如下：</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（1）基金份额净值计算出现错误时，基金管理人应当立即予以纠正，通报基金托管人，并采取合理的措施防止损失进一步扩大。</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w:t>
      </w:r>
      <w:r>
        <w:rPr>
          <w:rFonts w:hint="eastAsia"/>
          <w:bCs/>
          <w:color w:val="000000" w:themeColor="text1"/>
          <w:sz w:val="24"/>
          <w14:textFill>
            <w14:solidFill>
              <w14:schemeClr w14:val="tx1"/>
            </w14:solidFill>
          </w14:textFill>
        </w:rPr>
        <w:t>2</w:t>
      </w:r>
      <w:r>
        <w:rPr>
          <w:bCs/>
          <w:color w:val="000000" w:themeColor="text1"/>
          <w:sz w:val="24"/>
          <w14:textFill>
            <w14:solidFill>
              <w14:schemeClr w14:val="tx1"/>
            </w14:solidFill>
          </w14:textFill>
        </w:rPr>
        <w:t>）错误偏差达到基金份额净值的0.25%时，基金管理人应当通报基金托管人并报中国证监会备案；错误偏差达到基金份额净值的0.5%时，基金管理人应当公告，并报中国证监会备案。</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w:t>
      </w:r>
      <w:r>
        <w:rPr>
          <w:rFonts w:hint="eastAsia"/>
          <w:bCs/>
          <w:color w:val="000000" w:themeColor="text1"/>
          <w:sz w:val="24"/>
          <w14:textFill>
            <w14:solidFill>
              <w14:schemeClr w14:val="tx1"/>
            </w14:solidFill>
          </w14:textFill>
        </w:rPr>
        <w:t>3</w:t>
      </w:r>
      <w:r>
        <w:rPr>
          <w:bCs/>
          <w:color w:val="000000" w:themeColor="text1"/>
          <w:sz w:val="24"/>
          <w14:textFill>
            <w14:solidFill>
              <w14:schemeClr w14:val="tx1"/>
            </w14:solidFill>
          </w14:textFill>
        </w:rPr>
        <w:t>）</w:t>
      </w:r>
      <w:r>
        <w:rPr>
          <w:rFonts w:hint="eastAsia"/>
          <w:bCs/>
          <w:color w:val="000000" w:themeColor="text1"/>
          <w:sz w:val="24"/>
          <w14:textFill>
            <w14:solidFill>
              <w14:schemeClr w14:val="tx1"/>
            </w14:solidFill>
          </w14:textFill>
        </w:rPr>
        <w:t>基金管理人和基金托管人由于各自技术系统设置而产生的净值计算尾差，以基金管理人计算结果为准。</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（4）</w:t>
      </w:r>
      <w:r>
        <w:rPr>
          <w:bCs/>
          <w:color w:val="000000" w:themeColor="text1"/>
          <w:sz w:val="24"/>
          <w14:textFill>
            <w14:solidFill>
              <w14:schemeClr w14:val="tx1"/>
            </w14:solidFill>
          </w14:textFill>
        </w:rPr>
        <w:t>前述内容如法律法规或监管机关另有规定的，从其规定处理。</w:t>
      </w:r>
      <w:r>
        <w:rPr>
          <w:rFonts w:hint="eastAsia"/>
          <w:bCs/>
          <w:color w:val="000000" w:themeColor="text1"/>
          <w:sz w:val="24"/>
          <w14:textFill>
            <w14:solidFill>
              <w14:schemeClr w14:val="tx1"/>
            </w14:solidFill>
          </w14:textFill>
        </w:rPr>
        <w:t>如果法律法规或监管机关没有规定的，基金管理人、基金托管人应本着平等和保护基金份额持有人利益的原则协商一致后参照行业惯例处理。</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七</w:t>
      </w:r>
      <w:r>
        <w:rPr>
          <w:bCs/>
          <w:color w:val="000000" w:themeColor="text1"/>
          <w:sz w:val="24"/>
          <w14:textFill>
            <w14:solidFill>
              <w14:schemeClr w14:val="tx1"/>
            </w14:solidFill>
          </w14:textFill>
        </w:rPr>
        <w:t>、暂停估值的情形</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1、基金投资所涉及的证券交易市场遇法定节假日或因其他原因暂停营业时；</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2、因不可抗力致使基金管理人、基金托管人无法准确评估基金资产价值时；</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3、当特定资产占前一估值日基金资产净值50%以上的，经与基金托管人协商确认后，基金管理人应当暂停估值；</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4</w:t>
      </w:r>
      <w:r>
        <w:rPr>
          <w:bCs/>
          <w:color w:val="000000" w:themeColor="text1"/>
          <w:sz w:val="24"/>
          <w14:textFill>
            <w14:solidFill>
              <w14:schemeClr w14:val="tx1"/>
            </w14:solidFill>
          </w14:textFill>
        </w:rPr>
        <w:t>、</w:t>
      </w:r>
      <w:r>
        <w:rPr>
          <w:rFonts w:hint="eastAsia"/>
          <w:bCs/>
          <w:color w:val="000000" w:themeColor="text1"/>
          <w:sz w:val="24"/>
          <w14:textFill>
            <w14:solidFill>
              <w14:schemeClr w14:val="tx1"/>
            </w14:solidFill>
          </w14:textFill>
        </w:rPr>
        <w:t>法律法规、</w:t>
      </w:r>
      <w:r>
        <w:rPr>
          <w:bCs/>
          <w:color w:val="000000" w:themeColor="text1"/>
          <w:sz w:val="24"/>
          <w14:textFill>
            <w14:solidFill>
              <w14:schemeClr w14:val="tx1"/>
            </w14:solidFill>
          </w14:textFill>
        </w:rPr>
        <w:t>中国证监会和基金合同认定的其它情形。</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八</w:t>
      </w:r>
      <w:r>
        <w:rPr>
          <w:bCs/>
          <w:color w:val="000000" w:themeColor="text1"/>
          <w:sz w:val="24"/>
          <w14:textFill>
            <w14:solidFill>
              <w14:schemeClr w14:val="tx1"/>
            </w14:solidFill>
          </w14:textFill>
        </w:rPr>
        <w:t>、基金净值的确认</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用于基金信息披露的基金资产净值和基金份额净值由基金管理人负责计算，基金托管人负责进行复核。基金管理人应于每个</w:t>
      </w:r>
      <w:r>
        <w:rPr>
          <w:rFonts w:hint="eastAsia"/>
          <w:bCs/>
          <w:color w:val="000000" w:themeColor="text1"/>
          <w:sz w:val="24"/>
          <w14:textFill>
            <w14:solidFill>
              <w14:schemeClr w14:val="tx1"/>
            </w14:solidFill>
          </w14:textFill>
        </w:rPr>
        <w:t>工作</w:t>
      </w:r>
      <w:r>
        <w:rPr>
          <w:bCs/>
          <w:color w:val="000000" w:themeColor="text1"/>
          <w:sz w:val="24"/>
          <w14:textFill>
            <w14:solidFill>
              <w14:schemeClr w14:val="tx1"/>
            </w14:solidFill>
          </w14:textFill>
        </w:rPr>
        <w:t>日交易结束后计算当日的基金资产净值和基金份额净值并发送给基金托管人。基金托管人对净值计算结果复核确认后发送给基金管理人，由基金管理人对基金净值予以公布。</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九、实施侧袋机制期间的基金资产估值</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本基金实施侧袋机制的，应根据本部分的约定对主袋账户资产进行估值并披露主袋账户的基金净值信息，暂停披露侧袋账户份额净值。</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十、特殊情况的处理</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w:t>
      </w:r>
      <w:r>
        <w:rPr>
          <w:rFonts w:hint="eastAsia"/>
          <w:bCs/>
          <w:color w:val="000000" w:themeColor="text1"/>
          <w:sz w:val="24"/>
          <w14:textFill>
            <w14:solidFill>
              <w14:schemeClr w14:val="tx1"/>
            </w14:solidFill>
          </w14:textFill>
        </w:rPr>
        <w:t>、基金管理人或基金托管人按估值方法的第</w:t>
      </w:r>
      <w:r>
        <w:rPr>
          <w:bCs/>
          <w:color w:val="000000" w:themeColor="text1"/>
          <w:sz w:val="24"/>
          <w14:textFill>
            <w14:solidFill>
              <w14:schemeClr w14:val="tx1"/>
            </w14:solidFill>
          </w14:textFill>
        </w:rPr>
        <w:t>8</w:t>
      </w:r>
      <w:r>
        <w:rPr>
          <w:rFonts w:hint="eastAsia"/>
          <w:bCs/>
          <w:color w:val="000000" w:themeColor="text1"/>
          <w:sz w:val="24"/>
          <w14:textFill>
            <w14:solidFill>
              <w14:schemeClr w14:val="tx1"/>
            </w14:solidFill>
          </w14:textFill>
        </w:rPr>
        <w:t>项进行估值时，所造成的误差不作为基金资产估值错误处理。</w:t>
      </w:r>
    </w:p>
    <w:p>
      <w:pPr>
        <w:spacing w:line="360" w:lineRule="auto"/>
        <w:ind w:firstLine="480" w:firstLineChars="200"/>
        <w:rPr>
          <w:b/>
          <w:color w:val="000000" w:themeColor="text1"/>
          <w:sz w:val="24"/>
          <w14:textFill>
            <w14:solidFill>
              <w14:schemeClr w14:val="tx1"/>
            </w14:solidFill>
          </w14:textFill>
        </w:rPr>
      </w:pPr>
      <w:r>
        <w:rPr>
          <w:bCs/>
          <w:color w:val="000000" w:themeColor="text1"/>
          <w:sz w:val="24"/>
          <w14:textFill>
            <w14:solidFill>
              <w14:schemeClr w14:val="tx1"/>
            </w14:solidFill>
          </w14:textFill>
        </w:rPr>
        <w:t>2</w:t>
      </w:r>
      <w:r>
        <w:rPr>
          <w:rFonts w:hint="eastAsia"/>
          <w:bCs/>
          <w:color w:val="000000" w:themeColor="text1"/>
          <w:sz w:val="24"/>
          <w14:textFill>
            <w14:solidFill>
              <w14:schemeClr w14:val="tx1"/>
            </w14:solidFill>
          </w14:textFill>
        </w:rPr>
        <w:t>、由于不可抗力原因，或证券交易所、登记机构及存款银行等第三方结算公司等机构发送的数据错误等非基金管理人与基金托管人原因，基金管理人和基金托管人虽然已经采取必要、适当、合理的措施进行检查，但是未能发现该错误的，由此造成的基金财产估值错误，基金管理人和基金托管人免除赔偿责任。但基金管理人和基金托管人应当积极采取必要的措施消除或减轻由此造成的影响。</w:t>
      </w:r>
    </w:p>
    <w:p>
      <w:pPr>
        <w:pStyle w:val="2"/>
        <w:spacing w:before="0" w:after="0"/>
        <w:jc w:val="center"/>
        <w:rPr>
          <w:rFonts w:ascii="Times New Roman"/>
          <w:color w:val="000000" w:themeColor="text1"/>
          <w:sz w:val="30"/>
          <w14:textFill>
            <w14:solidFill>
              <w14:schemeClr w14:val="tx1"/>
            </w14:solidFill>
          </w14:textFill>
        </w:rPr>
      </w:pPr>
      <w:r>
        <w:rPr>
          <w:rFonts w:ascii="Times New Roman"/>
          <w:b w:val="0"/>
          <w:bCs/>
          <w:color w:val="000000" w:themeColor="text1"/>
          <w:sz w:val="30"/>
          <w14:textFill>
            <w14:solidFill>
              <w14:schemeClr w14:val="tx1"/>
            </w14:solidFill>
          </w14:textFill>
        </w:rPr>
        <w:br w:type="page"/>
      </w:r>
      <w:bookmarkStart w:id="318" w:name="_Toc3365"/>
      <w:bookmarkStart w:id="319" w:name="_Toc19752"/>
      <w:bookmarkStart w:id="320" w:name="_Toc13987"/>
      <w:bookmarkStart w:id="321" w:name="_Toc95997126"/>
      <w:bookmarkStart w:id="322" w:name="_Toc24601"/>
      <w:bookmarkStart w:id="323" w:name="_Toc12105"/>
      <w:bookmarkStart w:id="324" w:name="_Toc32227"/>
      <w:bookmarkStart w:id="325" w:name="_Toc19706"/>
      <w:bookmarkStart w:id="326" w:name="_Toc15779"/>
      <w:bookmarkStart w:id="327" w:name="_Toc32041"/>
      <w:r>
        <w:rPr>
          <w:rFonts w:ascii="Times New Roman"/>
          <w:color w:val="000000" w:themeColor="text1"/>
          <w:sz w:val="30"/>
          <w14:textFill>
            <w14:solidFill>
              <w14:schemeClr w14:val="tx1"/>
            </w14:solidFill>
          </w14:textFill>
        </w:rPr>
        <w:t>第十五部分  基金费用与税收</w:t>
      </w:r>
      <w:bookmarkEnd w:id="315"/>
      <w:bookmarkEnd w:id="316"/>
      <w:bookmarkEnd w:id="317"/>
      <w:bookmarkEnd w:id="318"/>
      <w:bookmarkEnd w:id="319"/>
      <w:bookmarkEnd w:id="320"/>
      <w:bookmarkEnd w:id="321"/>
      <w:bookmarkEnd w:id="322"/>
      <w:bookmarkEnd w:id="323"/>
      <w:bookmarkEnd w:id="324"/>
      <w:bookmarkEnd w:id="325"/>
      <w:bookmarkEnd w:id="326"/>
      <w:bookmarkEnd w:id="327"/>
    </w:p>
    <w:p>
      <w:pPr>
        <w:spacing w:line="360" w:lineRule="auto"/>
        <w:ind w:firstLine="480" w:firstLineChars="200"/>
        <w:rPr>
          <w:bCs/>
          <w:color w:val="000000" w:themeColor="text1"/>
          <w:sz w:val="24"/>
          <w14:textFill>
            <w14:solidFill>
              <w14:schemeClr w14:val="tx1"/>
            </w14:solidFill>
          </w14:textFill>
        </w:rPr>
      </w:pP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一、基金费用的种类</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1、基金管理人的管理费；</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2、基金托管人的托管费；</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3、《基金合同》生效后与基金相关的信息披露费用；</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4、《基金合同》生效后与基金相关的会计师费、律师费</w:t>
      </w: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诉讼费</w:t>
      </w:r>
      <w:r>
        <w:rPr>
          <w:rFonts w:hint="eastAsia"/>
          <w:bCs/>
          <w:color w:val="000000" w:themeColor="text1"/>
          <w:sz w:val="24"/>
          <w14:textFill>
            <w14:solidFill>
              <w14:schemeClr w14:val="tx1"/>
            </w14:solidFill>
          </w14:textFill>
        </w:rPr>
        <w:t>和仲裁费等费用</w:t>
      </w:r>
      <w:r>
        <w:rPr>
          <w:bCs/>
          <w:color w:val="000000" w:themeColor="text1"/>
          <w:sz w:val="24"/>
          <w14:textFill>
            <w14:solidFill>
              <w14:schemeClr w14:val="tx1"/>
            </w14:solidFill>
          </w14:textFill>
        </w:rPr>
        <w:t>；</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5、基金份额持有人大会费用；</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6、基金的证券交易费用；</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7、基金的银行汇划费用；</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8、</w:t>
      </w:r>
      <w:r>
        <w:rPr>
          <w:rFonts w:hint="eastAsia"/>
          <w:bCs/>
          <w:color w:val="000000" w:themeColor="text1"/>
          <w:sz w:val="24"/>
          <w14:textFill>
            <w14:solidFill>
              <w14:schemeClr w14:val="tx1"/>
            </w14:solidFill>
          </w14:textFill>
        </w:rPr>
        <w:t>基金的账户开户费用、账户维护费用；</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9、按照国家有关规定和《基金合同》约定，可以在基金财产中列支的其他费用。</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二、基金费用计提方法、计提标准和支付方式</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1、基金管理人的管理费</w:t>
      </w:r>
    </w:p>
    <w:p>
      <w:pPr>
        <w:spacing w:line="360" w:lineRule="auto"/>
        <w:ind w:firstLine="480" w:firstLineChars="200"/>
        <w:rPr>
          <w:bCs/>
          <w:color w:val="000000" w:themeColor="text1"/>
          <w:sz w:val="24"/>
          <w:szCs w:val="24"/>
          <w14:textFill>
            <w14:solidFill>
              <w14:schemeClr w14:val="tx1"/>
            </w14:solidFill>
          </w14:textFill>
        </w:rPr>
      </w:pPr>
      <w:r>
        <w:rPr>
          <w:bCs/>
          <w:color w:val="000000" w:themeColor="text1"/>
          <w:sz w:val="24"/>
          <w:szCs w:val="24"/>
          <w14:textFill>
            <w14:solidFill>
              <w14:schemeClr w14:val="tx1"/>
            </w14:solidFill>
          </w14:textFill>
        </w:rPr>
        <w:t>本基金的管理费按前一日基金资产净值的</w:t>
      </w:r>
      <w:r>
        <w:rPr>
          <w:rFonts w:ascii="宋体" w:hAnsi="宋体"/>
          <w:color w:val="000000" w:themeColor="text1"/>
          <w:sz w:val="24"/>
          <w:szCs w:val="24"/>
          <w14:textFill>
            <w14:solidFill>
              <w14:schemeClr w14:val="tx1"/>
            </w14:solidFill>
          </w14:textFill>
        </w:rPr>
        <w:t>0.</w:t>
      </w:r>
      <w:r>
        <w:rPr>
          <w:rFonts w:hint="eastAsia" w:ascii="宋体" w:hAnsi="宋体"/>
          <w:color w:val="000000" w:themeColor="text1"/>
          <w:sz w:val="24"/>
          <w:szCs w:val="24"/>
          <w14:textFill>
            <w14:solidFill>
              <w14:schemeClr w14:val="tx1"/>
            </w14:solidFill>
          </w14:textFill>
        </w:rPr>
        <w:t>3</w:t>
      </w:r>
      <w:r>
        <w:rPr>
          <w:rFonts w:ascii="宋体" w:hAnsi="宋体"/>
          <w:color w:val="000000" w:themeColor="text1"/>
          <w:sz w:val="24"/>
          <w:szCs w:val="24"/>
          <w14:textFill>
            <w14:solidFill>
              <w14:schemeClr w14:val="tx1"/>
            </w14:solidFill>
          </w14:textFill>
        </w:rPr>
        <w:t>0</w:t>
      </w:r>
      <w:r>
        <w:rPr>
          <w:bCs/>
          <w:color w:val="000000" w:themeColor="text1"/>
          <w:sz w:val="24"/>
          <w:szCs w:val="24"/>
          <w14:textFill>
            <w14:solidFill>
              <w14:schemeClr w14:val="tx1"/>
            </w14:solidFill>
          </w14:textFill>
        </w:rPr>
        <w:t>%年费率计提。管理费的计算方法如下：</w:t>
      </w:r>
    </w:p>
    <w:p>
      <w:pPr>
        <w:spacing w:line="360" w:lineRule="auto"/>
        <w:ind w:firstLine="480" w:firstLineChars="200"/>
        <w:rPr>
          <w:bCs/>
          <w:color w:val="000000" w:themeColor="text1"/>
          <w:sz w:val="24"/>
          <w:szCs w:val="24"/>
          <w14:textFill>
            <w14:solidFill>
              <w14:schemeClr w14:val="tx1"/>
            </w14:solidFill>
          </w14:textFill>
        </w:rPr>
      </w:pPr>
      <w:r>
        <w:rPr>
          <w:bCs/>
          <w:color w:val="000000" w:themeColor="text1"/>
          <w:sz w:val="24"/>
          <w:szCs w:val="24"/>
          <w14:textFill>
            <w14:solidFill>
              <w14:schemeClr w14:val="tx1"/>
            </w14:solidFill>
          </w14:textFill>
        </w:rPr>
        <w:t>H＝E×</w:t>
      </w:r>
      <w:r>
        <w:rPr>
          <w:rFonts w:ascii="宋体" w:hAnsi="宋体"/>
          <w:color w:val="000000" w:themeColor="text1"/>
          <w:sz w:val="24"/>
          <w:szCs w:val="24"/>
          <w14:textFill>
            <w14:solidFill>
              <w14:schemeClr w14:val="tx1"/>
            </w14:solidFill>
          </w14:textFill>
        </w:rPr>
        <w:t>0.</w:t>
      </w:r>
      <w:r>
        <w:rPr>
          <w:rFonts w:hint="eastAsia" w:ascii="宋体" w:hAnsi="宋体"/>
          <w:color w:val="000000" w:themeColor="text1"/>
          <w:sz w:val="24"/>
          <w:szCs w:val="24"/>
          <w14:textFill>
            <w14:solidFill>
              <w14:schemeClr w14:val="tx1"/>
            </w14:solidFill>
          </w14:textFill>
        </w:rPr>
        <w:t>3</w:t>
      </w:r>
      <w:r>
        <w:rPr>
          <w:rFonts w:ascii="宋体" w:hAnsi="宋体"/>
          <w:color w:val="000000" w:themeColor="text1"/>
          <w:sz w:val="24"/>
          <w:szCs w:val="24"/>
          <w14:textFill>
            <w14:solidFill>
              <w14:schemeClr w14:val="tx1"/>
            </w14:solidFill>
          </w14:textFill>
        </w:rPr>
        <w:t>0</w:t>
      </w:r>
      <w:r>
        <w:rPr>
          <w:bCs/>
          <w:color w:val="000000" w:themeColor="text1"/>
          <w:sz w:val="24"/>
          <w:szCs w:val="24"/>
          <w14:textFill>
            <w14:solidFill>
              <w14:schemeClr w14:val="tx1"/>
            </w14:solidFill>
          </w14:textFill>
        </w:rPr>
        <w:t>%÷当年天数</w:t>
      </w:r>
    </w:p>
    <w:p>
      <w:pPr>
        <w:spacing w:line="360" w:lineRule="auto"/>
        <w:ind w:firstLine="480" w:firstLineChars="200"/>
        <w:rPr>
          <w:bCs/>
          <w:color w:val="000000" w:themeColor="text1"/>
          <w:sz w:val="24"/>
          <w:szCs w:val="24"/>
          <w14:textFill>
            <w14:solidFill>
              <w14:schemeClr w14:val="tx1"/>
            </w14:solidFill>
          </w14:textFill>
        </w:rPr>
      </w:pPr>
      <w:r>
        <w:rPr>
          <w:bCs/>
          <w:color w:val="000000" w:themeColor="text1"/>
          <w:sz w:val="24"/>
          <w:szCs w:val="24"/>
          <w14:textFill>
            <w14:solidFill>
              <w14:schemeClr w14:val="tx1"/>
            </w14:solidFill>
          </w14:textFill>
        </w:rPr>
        <w:t>H为每日应计提的基金管理费</w:t>
      </w:r>
    </w:p>
    <w:p>
      <w:pPr>
        <w:spacing w:line="360" w:lineRule="auto"/>
        <w:ind w:firstLine="480" w:firstLineChars="200"/>
        <w:rPr>
          <w:bCs/>
          <w:color w:val="000000" w:themeColor="text1"/>
          <w:sz w:val="24"/>
          <w:szCs w:val="24"/>
          <w14:textFill>
            <w14:solidFill>
              <w14:schemeClr w14:val="tx1"/>
            </w14:solidFill>
          </w14:textFill>
        </w:rPr>
      </w:pPr>
      <w:r>
        <w:rPr>
          <w:bCs/>
          <w:color w:val="000000" w:themeColor="text1"/>
          <w:sz w:val="24"/>
          <w:szCs w:val="24"/>
          <w14:textFill>
            <w14:solidFill>
              <w14:schemeClr w14:val="tx1"/>
            </w14:solidFill>
          </w14:textFill>
        </w:rPr>
        <w:t>E为前一日的基金资产净值</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基金管理费每日计算，逐日累计至每月月末，按月支付，由基金管理人向基金托管人发送基金管理费划款指令，基金托管人复核后于次月前5个工作日内从基金财产中一次性支付给基金管理人。若遇法定节假日、公休</w:t>
      </w:r>
      <w:r>
        <w:rPr>
          <w:rFonts w:hint="eastAsia"/>
          <w:bCs/>
          <w:color w:val="000000" w:themeColor="text1"/>
          <w:sz w:val="24"/>
          <w14:textFill>
            <w14:solidFill>
              <w14:schemeClr w14:val="tx1"/>
            </w14:solidFill>
          </w14:textFill>
        </w:rPr>
        <w:t>日或不可抗力致使无法按时</w:t>
      </w:r>
      <w:r>
        <w:rPr>
          <w:bCs/>
          <w:color w:val="000000" w:themeColor="text1"/>
          <w:sz w:val="24"/>
          <w14:textFill>
            <w14:solidFill>
              <w14:schemeClr w14:val="tx1"/>
            </w14:solidFill>
          </w14:textFill>
        </w:rPr>
        <w:t>支付</w:t>
      </w:r>
      <w:r>
        <w:rPr>
          <w:rFonts w:hint="eastAsia"/>
          <w:bCs/>
          <w:color w:val="000000" w:themeColor="text1"/>
          <w:sz w:val="24"/>
          <w14:textFill>
            <w14:solidFill>
              <w14:schemeClr w14:val="tx1"/>
            </w14:solidFill>
          </w14:textFill>
        </w:rPr>
        <w:t>的，</w:t>
      </w:r>
      <w:r>
        <w:rPr>
          <w:bCs/>
          <w:color w:val="000000" w:themeColor="text1"/>
          <w:sz w:val="24"/>
          <w14:textFill>
            <w14:solidFill>
              <w14:schemeClr w14:val="tx1"/>
            </w14:solidFill>
          </w14:textFill>
        </w:rPr>
        <w:t>顺延至最近可支付日支付。</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2、基金托管人的托管费</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本基金的托管费按前一日基金资产净值的0.</w:t>
      </w:r>
      <w:r>
        <w:rPr>
          <w:rFonts w:hint="eastAsia"/>
          <w:bCs/>
          <w:color w:val="000000" w:themeColor="text1"/>
          <w:sz w:val="24"/>
          <w14:textFill>
            <w14:solidFill>
              <w14:schemeClr w14:val="tx1"/>
            </w14:solidFill>
          </w14:textFill>
        </w:rPr>
        <w:t>05</w:t>
      </w:r>
      <w:r>
        <w:rPr>
          <w:bCs/>
          <w:color w:val="000000" w:themeColor="text1"/>
          <w:sz w:val="24"/>
          <w14:textFill>
            <w14:solidFill>
              <w14:schemeClr w14:val="tx1"/>
            </w14:solidFill>
          </w14:textFill>
        </w:rPr>
        <w:t>%的年费率计提。托管费的计算方法如下：</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H＝E×0.</w:t>
      </w:r>
      <w:r>
        <w:rPr>
          <w:rFonts w:hint="eastAsia"/>
          <w:bCs/>
          <w:color w:val="000000" w:themeColor="text1"/>
          <w:sz w:val="24"/>
          <w14:textFill>
            <w14:solidFill>
              <w14:schemeClr w14:val="tx1"/>
            </w14:solidFill>
          </w14:textFill>
        </w:rPr>
        <w:t>05</w:t>
      </w:r>
      <w:r>
        <w:rPr>
          <w:bCs/>
          <w:color w:val="000000" w:themeColor="text1"/>
          <w:sz w:val="24"/>
          <w14:textFill>
            <w14:solidFill>
              <w14:schemeClr w14:val="tx1"/>
            </w14:solidFill>
          </w14:textFill>
        </w:rPr>
        <w:t>%÷当年天数</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H为每日应计提的基金托管费</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E为前一日的基金资产净值</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基金托管费每日计算，逐日累计至每月月末，按月支付，由基金管理人向基金托管人发送基金托管费划款指令，基金托管人复核后于次月前5个工作日内从基金财产中一次性支取。若遇法定节假日、公休日</w:t>
      </w:r>
      <w:r>
        <w:rPr>
          <w:rFonts w:hint="eastAsia"/>
          <w:bCs/>
          <w:color w:val="000000" w:themeColor="text1"/>
          <w:sz w:val="24"/>
          <w14:textFill>
            <w14:solidFill>
              <w14:schemeClr w14:val="tx1"/>
            </w14:solidFill>
          </w14:textFill>
        </w:rPr>
        <w:t>或不可抗力致使无法按时</w:t>
      </w:r>
      <w:r>
        <w:rPr>
          <w:bCs/>
          <w:color w:val="000000" w:themeColor="text1"/>
          <w:sz w:val="24"/>
          <w14:textFill>
            <w14:solidFill>
              <w14:schemeClr w14:val="tx1"/>
            </w14:solidFill>
          </w14:textFill>
        </w:rPr>
        <w:t>支付</w:t>
      </w:r>
      <w:r>
        <w:rPr>
          <w:rFonts w:hint="eastAsia"/>
          <w:bCs/>
          <w:color w:val="000000" w:themeColor="text1"/>
          <w:sz w:val="24"/>
          <w14:textFill>
            <w14:solidFill>
              <w14:schemeClr w14:val="tx1"/>
            </w14:solidFill>
          </w14:textFill>
        </w:rPr>
        <w:t>的，</w:t>
      </w:r>
      <w:r>
        <w:rPr>
          <w:bCs/>
          <w:color w:val="000000" w:themeColor="text1"/>
          <w:sz w:val="24"/>
          <w14:textFill>
            <w14:solidFill>
              <w14:schemeClr w14:val="tx1"/>
            </w14:solidFill>
          </w14:textFill>
        </w:rPr>
        <w:t>顺延至最近可支付日支付。</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上述“</w:t>
      </w:r>
      <w:r>
        <w:rPr>
          <w:rFonts w:hint="eastAsia"/>
          <w:bCs/>
          <w:color w:val="000000" w:themeColor="text1"/>
          <w:sz w:val="24"/>
          <w14:textFill>
            <w14:solidFill>
              <w14:schemeClr w14:val="tx1"/>
            </w14:solidFill>
          </w14:textFill>
        </w:rPr>
        <w:t>一、</w:t>
      </w:r>
      <w:r>
        <w:rPr>
          <w:bCs/>
          <w:color w:val="000000" w:themeColor="text1"/>
          <w:sz w:val="24"/>
          <w14:textFill>
            <w14:solidFill>
              <w14:schemeClr w14:val="tx1"/>
            </w14:solidFill>
          </w14:textFill>
        </w:rPr>
        <w:t>基金费用的种类</w:t>
      </w: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中第3－9项费用，根据有关法规及相应协议规定，按费用实际支出金额列入</w:t>
      </w:r>
      <w:r>
        <w:rPr>
          <w:rFonts w:hint="eastAsia"/>
          <w:bCs/>
          <w:color w:val="000000" w:themeColor="text1"/>
          <w:sz w:val="24"/>
          <w14:textFill>
            <w14:solidFill>
              <w14:schemeClr w14:val="tx1"/>
            </w14:solidFill>
          </w14:textFill>
        </w:rPr>
        <w:t>或摊入</w:t>
      </w:r>
      <w:r>
        <w:rPr>
          <w:bCs/>
          <w:color w:val="000000" w:themeColor="text1"/>
          <w:sz w:val="24"/>
          <w14:textFill>
            <w14:solidFill>
              <w14:schemeClr w14:val="tx1"/>
            </w14:solidFill>
          </w14:textFill>
        </w:rPr>
        <w:t>当期费用，由基金托管人从基金财产中支付。</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三、不列入基金费用的项目</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下列费用不列入基金费用：</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1、基金管理人和基金托管人因未履行或未完全履行义务导致的费用支出或基金财产的损失；</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2、基金管理人和基金托管人处理与基金运作无关的事项发生的费用；</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3、《基金合同》生效前的相关费用；</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4、其他根据相关法律法规及中国证监会的有关规定不得列入基金费用的项目。</w:t>
      </w:r>
      <w:bookmarkStart w:id="328" w:name="_Hlt88827255"/>
      <w:bookmarkEnd w:id="328"/>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四、实施侧袋机制期间的基金费用</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本基金实施侧袋机制的，与侧袋账户有关的费用可以从侧袋账户中列支，但应待侧袋账户资产变现后方可列支，有关费用可酌情收取或减免，但不得收取管理费，详见招募说明书的规定。</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五</w:t>
      </w:r>
      <w:r>
        <w:rPr>
          <w:bCs/>
          <w:color w:val="000000" w:themeColor="text1"/>
          <w:sz w:val="24"/>
          <w14:textFill>
            <w14:solidFill>
              <w14:schemeClr w14:val="tx1"/>
            </w14:solidFill>
          </w14:textFill>
        </w:rPr>
        <w:t>、基金税收</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本基金运作过程中涉及的各纳税主体，其纳税义务按国家税收法律、法规执行。基金财产投资的相关税收，由基金份额持有人承担，基金管理人或者其他扣缴义务人按照国家有关税收征收的规定代扣代缴。</w:t>
      </w:r>
    </w:p>
    <w:p>
      <w:pPr>
        <w:pStyle w:val="2"/>
        <w:spacing w:before="0" w:after="0"/>
        <w:jc w:val="center"/>
        <w:rPr>
          <w:rFonts w:ascii="Times New Roman"/>
          <w:color w:val="000000" w:themeColor="text1"/>
          <w:sz w:val="30"/>
          <w14:textFill>
            <w14:solidFill>
              <w14:schemeClr w14:val="tx1"/>
            </w14:solidFill>
          </w14:textFill>
        </w:rPr>
      </w:pPr>
      <w:bookmarkStart w:id="329" w:name="_Toc92662707"/>
      <w:bookmarkStart w:id="330" w:name="_Toc93226149"/>
      <w:bookmarkStart w:id="331" w:name="_Toc128310499"/>
      <w:bookmarkStart w:id="332" w:name="_Toc139991746"/>
      <w:bookmarkStart w:id="333" w:name="_Toc22552"/>
      <w:bookmarkStart w:id="334" w:name="_Toc141703896"/>
      <w:r>
        <w:rPr>
          <w:rFonts w:ascii="Times New Roman"/>
          <w:b w:val="0"/>
          <w:bCs/>
          <w:color w:val="000000" w:themeColor="text1"/>
          <w:sz w:val="30"/>
          <w14:textFill>
            <w14:solidFill>
              <w14:schemeClr w14:val="tx1"/>
            </w14:solidFill>
          </w14:textFill>
        </w:rPr>
        <w:br w:type="page"/>
      </w:r>
      <w:bookmarkStart w:id="335" w:name="_Toc25883"/>
      <w:bookmarkStart w:id="336" w:name="_Toc15525"/>
      <w:bookmarkStart w:id="337" w:name="_Toc3656"/>
      <w:bookmarkStart w:id="338" w:name="_Toc20052"/>
      <w:bookmarkStart w:id="339" w:name="_Toc19558"/>
      <w:bookmarkStart w:id="340" w:name="_Toc95997127"/>
      <w:bookmarkStart w:id="341" w:name="_Toc12761"/>
      <w:bookmarkStart w:id="342" w:name="_Toc178"/>
      <w:bookmarkStart w:id="343" w:name="_Toc21829"/>
      <w:bookmarkStart w:id="344" w:name="_Toc1617"/>
      <w:r>
        <w:rPr>
          <w:rFonts w:ascii="Times New Roman"/>
          <w:color w:val="000000" w:themeColor="text1"/>
          <w:sz w:val="30"/>
          <w14:textFill>
            <w14:solidFill>
              <w14:schemeClr w14:val="tx1"/>
            </w14:solidFill>
          </w14:textFill>
        </w:rPr>
        <w:t>第十六部分  基金</w:t>
      </w:r>
      <w:bookmarkEnd w:id="329"/>
      <w:bookmarkEnd w:id="330"/>
      <w:r>
        <w:rPr>
          <w:rFonts w:ascii="Times New Roman"/>
          <w:color w:val="000000" w:themeColor="text1"/>
          <w:sz w:val="30"/>
          <w14:textFill>
            <w14:solidFill>
              <w14:schemeClr w14:val="tx1"/>
            </w14:solidFill>
          </w14:textFill>
        </w:rPr>
        <w:t>的收益与分配</w:t>
      </w:r>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p>
    <w:p>
      <w:pPr>
        <w:rPr>
          <w:bCs/>
          <w:color w:val="000000" w:themeColor="text1"/>
          <w14:textFill>
            <w14:solidFill>
              <w14:schemeClr w14:val="tx1"/>
            </w14:solidFill>
          </w14:textFill>
        </w:rPr>
      </w:pPr>
    </w:p>
    <w:p>
      <w:pPr>
        <w:spacing w:line="360" w:lineRule="auto"/>
        <w:ind w:firstLine="540" w:firstLineChars="225"/>
        <w:rPr>
          <w:bCs/>
          <w:color w:val="000000" w:themeColor="text1"/>
          <w:sz w:val="24"/>
          <w14:textFill>
            <w14:solidFill>
              <w14:schemeClr w14:val="tx1"/>
            </w14:solidFill>
          </w14:textFill>
        </w:rPr>
      </w:pPr>
      <w:r>
        <w:rPr>
          <w:bCs/>
          <w:color w:val="000000" w:themeColor="text1"/>
          <w:sz w:val="24"/>
          <w14:textFill>
            <w14:solidFill>
              <w14:schemeClr w14:val="tx1"/>
            </w14:solidFill>
          </w14:textFill>
        </w:rPr>
        <w:t>一、基金利润的构成</w:t>
      </w:r>
    </w:p>
    <w:p>
      <w:pPr>
        <w:spacing w:line="360" w:lineRule="auto"/>
        <w:ind w:firstLine="540" w:firstLineChars="225"/>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基金利润指基金利息收入、投资收益、公允价值变动收益和其他收入扣除相关费用后的余额，基金已实现收益指基金利润减去公允价值变动收益后的余额。</w:t>
      </w:r>
    </w:p>
    <w:p>
      <w:pPr>
        <w:spacing w:line="360" w:lineRule="auto"/>
        <w:ind w:firstLine="540" w:firstLineChars="225"/>
        <w:rPr>
          <w:bCs/>
          <w:color w:val="000000" w:themeColor="text1"/>
          <w:sz w:val="24"/>
          <w14:textFill>
            <w14:solidFill>
              <w14:schemeClr w14:val="tx1"/>
            </w14:solidFill>
          </w14:textFill>
        </w:rPr>
      </w:pPr>
      <w:r>
        <w:rPr>
          <w:bCs/>
          <w:color w:val="000000" w:themeColor="text1"/>
          <w:sz w:val="24"/>
          <w14:textFill>
            <w14:solidFill>
              <w14:schemeClr w14:val="tx1"/>
            </w14:solidFill>
          </w14:textFill>
        </w:rPr>
        <w:t>二、基金可供分配利润</w:t>
      </w:r>
    </w:p>
    <w:p>
      <w:pPr>
        <w:spacing w:line="360" w:lineRule="auto"/>
        <w:ind w:firstLine="540" w:firstLineChars="225"/>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基金可供分配利润指截至收益分配基准日基金未分配利润与未分配利润中已实现收益的孰低数。</w:t>
      </w:r>
    </w:p>
    <w:p>
      <w:pPr>
        <w:spacing w:line="360" w:lineRule="auto"/>
        <w:ind w:firstLine="540" w:firstLineChars="225"/>
        <w:rPr>
          <w:bCs/>
          <w:color w:val="000000" w:themeColor="text1"/>
          <w:sz w:val="24"/>
          <w14:textFill>
            <w14:solidFill>
              <w14:schemeClr w14:val="tx1"/>
            </w14:solidFill>
          </w14:textFill>
        </w:rPr>
      </w:pPr>
      <w:r>
        <w:rPr>
          <w:bCs/>
          <w:color w:val="000000" w:themeColor="text1"/>
          <w:sz w:val="24"/>
          <w14:textFill>
            <w14:solidFill>
              <w14:schemeClr w14:val="tx1"/>
            </w14:solidFill>
          </w14:textFill>
        </w:rPr>
        <w:t>三、基金收益分配原则</w:t>
      </w:r>
    </w:p>
    <w:p>
      <w:pPr>
        <w:spacing w:line="360" w:lineRule="auto"/>
        <w:ind w:firstLine="540" w:firstLineChars="225"/>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w:t>
      </w:r>
      <w:r>
        <w:rPr>
          <w:rFonts w:hint="eastAsia"/>
          <w:bCs/>
          <w:color w:val="000000" w:themeColor="text1"/>
          <w:sz w:val="24"/>
          <w14:textFill>
            <w14:solidFill>
              <w14:schemeClr w14:val="tx1"/>
            </w14:solidFill>
          </w14:textFill>
        </w:rPr>
        <w:t>在符合有关基金分红条件的前提下，本基金每年收益分配次数最少为1次，每次分红不低于可供分配利润50%，若《基金合同》生效不满3个月可不进行收益分配；</w:t>
      </w:r>
    </w:p>
    <w:p>
      <w:pPr>
        <w:spacing w:line="360" w:lineRule="auto"/>
        <w:ind w:firstLine="540" w:firstLineChars="225"/>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w:t>
      </w:r>
      <w:r>
        <w:rPr>
          <w:bCs/>
          <w:color w:val="000000" w:themeColor="text1"/>
          <w:sz w:val="24"/>
          <w14:textFill>
            <w14:solidFill>
              <w14:schemeClr w14:val="tx1"/>
            </w14:solidFill>
          </w14:textFill>
        </w:rPr>
        <w:t>本基金收益分配方式分两种：现金分红与红利再投资，投资者可选择现金红利或将现金红利自动转为基金份额进行再投资；若投资者不选择，本基金默认的收益分配方式是现金分红；</w:t>
      </w:r>
    </w:p>
    <w:p>
      <w:pPr>
        <w:spacing w:line="360" w:lineRule="auto"/>
        <w:ind w:firstLine="540" w:firstLineChars="225"/>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3</w:t>
      </w:r>
      <w:r>
        <w:rPr>
          <w:bCs/>
          <w:color w:val="000000" w:themeColor="text1"/>
          <w:sz w:val="24"/>
          <w14:textFill>
            <w14:solidFill>
              <w14:schemeClr w14:val="tx1"/>
            </w14:solidFill>
          </w14:textFill>
        </w:rPr>
        <w:t>、基金收益分配后基金份额净值不能低于面值；即基金收益分配基准日的基金份额净值减去每单位基金份额收益分配金额后不能低于面值</w:t>
      </w:r>
      <w:r>
        <w:rPr>
          <w:rFonts w:hint="eastAsia"/>
          <w:bCs/>
          <w:color w:val="000000" w:themeColor="text1"/>
          <w:sz w:val="24"/>
          <w14:textFill>
            <w14:solidFill>
              <w14:schemeClr w14:val="tx1"/>
            </w14:solidFill>
          </w14:textFill>
        </w:rPr>
        <w:t>；</w:t>
      </w:r>
    </w:p>
    <w:p>
      <w:pPr>
        <w:spacing w:line="360" w:lineRule="auto"/>
        <w:ind w:firstLine="540" w:firstLineChars="225"/>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4</w:t>
      </w:r>
      <w:r>
        <w:rPr>
          <w:bCs/>
          <w:color w:val="000000" w:themeColor="text1"/>
          <w:sz w:val="24"/>
          <w14:textFill>
            <w14:solidFill>
              <w14:schemeClr w14:val="tx1"/>
            </w14:solidFill>
          </w14:textFill>
        </w:rPr>
        <w:t>、每一基金份额享有同等分配权；</w:t>
      </w:r>
    </w:p>
    <w:p>
      <w:pPr>
        <w:spacing w:line="360" w:lineRule="auto"/>
        <w:ind w:firstLine="540" w:firstLineChars="225"/>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5</w:t>
      </w:r>
      <w:r>
        <w:rPr>
          <w:bCs/>
          <w:color w:val="000000" w:themeColor="text1"/>
          <w:sz w:val="24"/>
          <w14:textFill>
            <w14:solidFill>
              <w14:schemeClr w14:val="tx1"/>
            </w14:solidFill>
          </w14:textFill>
        </w:rPr>
        <w:t>、法律法规或监管机关另有规定的，从其规定。</w:t>
      </w:r>
    </w:p>
    <w:p>
      <w:pPr>
        <w:spacing w:line="360" w:lineRule="auto"/>
        <w:ind w:firstLine="540" w:firstLineChars="225"/>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在符合法律法规及基金合同约定，并对基金份额持有人利益无实质不利影响的前提下，基金管理人可对基金收益分配原则和支付方式进行调整，不需召开基金份额持有人大会。</w:t>
      </w:r>
    </w:p>
    <w:p>
      <w:pPr>
        <w:spacing w:line="360" w:lineRule="auto"/>
        <w:ind w:firstLine="540" w:firstLineChars="225"/>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四、收益分配方案</w:t>
      </w:r>
    </w:p>
    <w:p>
      <w:pPr>
        <w:spacing w:line="360" w:lineRule="auto"/>
        <w:ind w:firstLine="540" w:firstLineChars="225"/>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基金收益分配方案中应载明截止收益分配基准日的可供分配利润、基金收益分配对象、分配时间、分配数额及比例、分配方式等内容。</w:t>
      </w:r>
    </w:p>
    <w:p>
      <w:pPr>
        <w:spacing w:line="360" w:lineRule="auto"/>
        <w:ind w:firstLine="540" w:firstLineChars="225"/>
        <w:rPr>
          <w:bCs/>
          <w:color w:val="000000" w:themeColor="text1"/>
          <w:sz w:val="24"/>
          <w14:textFill>
            <w14:solidFill>
              <w14:schemeClr w14:val="tx1"/>
            </w14:solidFill>
          </w14:textFill>
        </w:rPr>
      </w:pPr>
      <w:r>
        <w:rPr>
          <w:bCs/>
          <w:color w:val="000000" w:themeColor="text1"/>
          <w:sz w:val="24"/>
          <w14:textFill>
            <w14:solidFill>
              <w14:schemeClr w14:val="tx1"/>
            </w14:solidFill>
          </w14:textFill>
        </w:rPr>
        <w:t>五、收益分配方案的确定、公告与实施</w:t>
      </w:r>
    </w:p>
    <w:p>
      <w:pPr>
        <w:spacing w:line="360" w:lineRule="auto"/>
        <w:ind w:firstLine="540" w:firstLineChars="225"/>
        <w:rPr>
          <w:bCs/>
          <w:color w:val="000000" w:themeColor="text1"/>
          <w:sz w:val="24"/>
          <w14:textFill>
            <w14:solidFill>
              <w14:schemeClr w14:val="tx1"/>
            </w14:solidFill>
          </w14:textFill>
        </w:rPr>
      </w:pPr>
      <w:r>
        <w:rPr>
          <w:bCs/>
          <w:color w:val="000000" w:themeColor="text1"/>
          <w:sz w:val="24"/>
          <w14:textFill>
            <w14:solidFill>
              <w14:schemeClr w14:val="tx1"/>
            </w14:solidFill>
          </w14:textFill>
        </w:rPr>
        <w:t>本基金收益分配方案由基金管理人拟定，并由基金托管人复核，在2日内在</w:t>
      </w:r>
      <w:r>
        <w:rPr>
          <w:rFonts w:hint="eastAsia"/>
          <w:bCs/>
          <w:color w:val="000000" w:themeColor="text1"/>
          <w:sz w:val="24"/>
          <w14:textFill>
            <w14:solidFill>
              <w14:schemeClr w14:val="tx1"/>
            </w14:solidFill>
          </w14:textFill>
        </w:rPr>
        <w:t>规</w:t>
      </w:r>
      <w:r>
        <w:rPr>
          <w:bCs/>
          <w:color w:val="000000" w:themeColor="text1"/>
          <w:sz w:val="24"/>
          <w14:textFill>
            <w14:solidFill>
              <w14:schemeClr w14:val="tx1"/>
            </w14:solidFill>
          </w14:textFill>
        </w:rPr>
        <w:t>定</w:t>
      </w:r>
      <w:r>
        <w:rPr>
          <w:rFonts w:hint="eastAsia"/>
          <w:bCs/>
          <w:color w:val="000000" w:themeColor="text1"/>
          <w:sz w:val="24"/>
          <w14:textFill>
            <w14:solidFill>
              <w14:schemeClr w14:val="tx1"/>
            </w14:solidFill>
          </w14:textFill>
        </w:rPr>
        <w:t>媒介</w:t>
      </w:r>
      <w:r>
        <w:rPr>
          <w:bCs/>
          <w:color w:val="000000" w:themeColor="text1"/>
          <w:sz w:val="24"/>
          <w14:textFill>
            <w14:solidFill>
              <w14:schemeClr w14:val="tx1"/>
            </w14:solidFill>
          </w14:textFill>
        </w:rPr>
        <w:t>公告。</w:t>
      </w:r>
    </w:p>
    <w:p>
      <w:pPr>
        <w:spacing w:line="360" w:lineRule="auto"/>
        <w:ind w:firstLine="540" w:firstLineChars="225"/>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六、基金收益分配中发生的费用</w:t>
      </w:r>
    </w:p>
    <w:p>
      <w:pPr>
        <w:spacing w:line="360" w:lineRule="auto"/>
        <w:ind w:firstLine="540" w:firstLineChars="225"/>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基金收益分配时所发生的银行转账或其他手续费用由投资者自行承担。当投资者的现金红利小于一定金额，不足</w:t>
      </w:r>
      <w:r>
        <w:rPr>
          <w:rFonts w:hint="eastAsia"/>
          <w:bCs/>
          <w:color w:val="000000" w:themeColor="text1"/>
          <w:sz w:val="24"/>
          <w14:textFill>
            <w14:solidFill>
              <w14:schemeClr w14:val="tx1"/>
            </w14:solidFill>
          </w14:textFill>
        </w:rPr>
        <w:t>以</w:t>
      </w:r>
      <w:r>
        <w:rPr>
          <w:bCs/>
          <w:color w:val="000000" w:themeColor="text1"/>
          <w:sz w:val="24"/>
          <w14:textFill>
            <w14:solidFill>
              <w14:schemeClr w14:val="tx1"/>
            </w14:solidFill>
          </w14:textFill>
        </w:rPr>
        <w:t>支付银行转账或其他手续费用时，基金登记机构可将基金份额持有人的现金红利自动转为基金份额。红利再投资的计算方法，依照《业务规则》执行。</w:t>
      </w:r>
    </w:p>
    <w:p>
      <w:pPr>
        <w:spacing w:line="360" w:lineRule="auto"/>
        <w:ind w:firstLine="540" w:firstLineChars="225"/>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七、实施侧袋机制期间的收益分配</w:t>
      </w:r>
    </w:p>
    <w:p>
      <w:pPr>
        <w:spacing w:line="360" w:lineRule="auto"/>
        <w:ind w:firstLine="540" w:firstLineChars="225"/>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本基金实施侧袋机制的，侧袋账户不进行收益分配，详见招募说明书的规定。</w:t>
      </w:r>
    </w:p>
    <w:p>
      <w:pPr>
        <w:pStyle w:val="2"/>
        <w:spacing w:before="0" w:after="0"/>
        <w:jc w:val="center"/>
        <w:rPr>
          <w:rFonts w:ascii="Times New Roman"/>
          <w:color w:val="000000" w:themeColor="text1"/>
          <w:sz w:val="30"/>
          <w14:textFill>
            <w14:solidFill>
              <w14:schemeClr w14:val="tx1"/>
            </w14:solidFill>
          </w14:textFill>
        </w:rPr>
      </w:pPr>
      <w:r>
        <w:rPr>
          <w:rFonts w:ascii="Times New Roman"/>
          <w:b w:val="0"/>
          <w:bCs/>
          <w:color w:val="000000" w:themeColor="text1"/>
          <w:kern w:val="44"/>
          <w:sz w:val="21"/>
          <w14:textFill>
            <w14:solidFill>
              <w14:schemeClr w14:val="tx1"/>
            </w14:solidFill>
          </w14:textFill>
        </w:rPr>
        <w:br w:type="page"/>
      </w:r>
      <w:bookmarkStart w:id="345" w:name="_Toc92662708"/>
      <w:bookmarkStart w:id="346" w:name="_Toc93226150"/>
      <w:bookmarkStart w:id="347" w:name="_Toc29695"/>
      <w:bookmarkStart w:id="348" w:name="_Toc10894"/>
      <w:bookmarkStart w:id="349" w:name="_Toc21206"/>
      <w:bookmarkStart w:id="350" w:name="_Toc1043"/>
      <w:bookmarkStart w:id="351" w:name="_Toc31736"/>
      <w:bookmarkStart w:id="352" w:name="_Toc95997128"/>
      <w:bookmarkStart w:id="353" w:name="_Toc128310500"/>
      <w:bookmarkStart w:id="354" w:name="_Toc13255"/>
      <w:bookmarkStart w:id="355" w:name="_Toc23859"/>
      <w:bookmarkStart w:id="356" w:name="_Toc139991747"/>
      <w:bookmarkStart w:id="357" w:name="_Toc141703897"/>
      <w:bookmarkStart w:id="358" w:name="_Toc17499"/>
      <w:bookmarkStart w:id="359" w:name="_Toc28961"/>
      <w:bookmarkStart w:id="360" w:name="_Toc18007"/>
      <w:r>
        <w:rPr>
          <w:rFonts w:ascii="Times New Roman"/>
          <w:color w:val="000000" w:themeColor="text1"/>
          <w:sz w:val="30"/>
          <w14:textFill>
            <w14:solidFill>
              <w14:schemeClr w14:val="tx1"/>
            </w14:solidFill>
          </w14:textFill>
        </w:rPr>
        <w:t>第十七部分  基金</w:t>
      </w:r>
      <w:bookmarkEnd w:id="345"/>
      <w:bookmarkEnd w:id="346"/>
      <w:r>
        <w:rPr>
          <w:rFonts w:ascii="Times New Roman"/>
          <w:color w:val="000000" w:themeColor="text1"/>
          <w:sz w:val="30"/>
          <w14:textFill>
            <w14:solidFill>
              <w14:schemeClr w14:val="tx1"/>
            </w14:solidFill>
          </w14:textFill>
        </w:rPr>
        <w:t>的会计与审计</w:t>
      </w:r>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p>
    <w:p>
      <w:pPr>
        <w:spacing w:line="360" w:lineRule="auto"/>
        <w:ind w:firstLine="480" w:firstLineChars="200"/>
        <w:rPr>
          <w:bCs/>
          <w:color w:val="000000" w:themeColor="text1"/>
          <w:sz w:val="24"/>
          <w14:textFill>
            <w14:solidFill>
              <w14:schemeClr w14:val="tx1"/>
            </w14:solidFill>
          </w14:textFill>
        </w:rPr>
      </w:pP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一、基金会计政策</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1、基金管理人为本基金的基金会计责任方；</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2、基金的会计年度为公历年度的1月1日至12月31日；基金首次募集的会计年度按如下原则：如果《基金合同》生效少于2个月，可以并入下一个会计年度披露；</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3、基金核算以人民币为记账本位币，以人民币元为记账单位；</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4、会计制度执行国家有关会计制度；</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5、本基金独立建账、独立核算；</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6、基金管理人及基金托管人各自保留完整的会计账目、凭证并进行日常的会计核算，按照有关规定编制基金会计报表；</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7、基金托管人每月与基金管理人就基金的会计核算、报表编制等进行核对并以</w:t>
      </w:r>
      <w:r>
        <w:rPr>
          <w:rFonts w:hint="eastAsia"/>
          <w:bCs/>
          <w:color w:val="000000" w:themeColor="text1"/>
          <w:sz w:val="24"/>
          <w14:textFill>
            <w14:solidFill>
              <w14:schemeClr w14:val="tx1"/>
            </w14:solidFill>
          </w14:textFill>
        </w:rPr>
        <w:t>基金管理人、基金托管人约定的</w:t>
      </w:r>
      <w:r>
        <w:rPr>
          <w:bCs/>
          <w:color w:val="000000" w:themeColor="text1"/>
          <w:sz w:val="24"/>
          <w14:textFill>
            <w14:solidFill>
              <w14:schemeClr w14:val="tx1"/>
            </w14:solidFill>
          </w14:textFill>
        </w:rPr>
        <w:t>方式确认。</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二、基金的年度审计</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1、基金管理人聘请与基金管理人、基金托管人相互独立的</w:t>
      </w:r>
      <w:r>
        <w:rPr>
          <w:rFonts w:hint="eastAsia"/>
          <w:bCs/>
          <w:color w:val="000000" w:themeColor="text1"/>
          <w:sz w:val="24"/>
          <w14:textFill>
            <w14:solidFill>
              <w14:schemeClr w14:val="tx1"/>
            </w14:solidFill>
          </w14:textFill>
        </w:rPr>
        <w:t>符合《中华人民共和国证券法》规定</w:t>
      </w:r>
      <w:r>
        <w:rPr>
          <w:bCs/>
          <w:color w:val="000000" w:themeColor="text1"/>
          <w:sz w:val="24"/>
          <w14:textFill>
            <w14:solidFill>
              <w14:schemeClr w14:val="tx1"/>
            </w14:solidFill>
          </w14:textFill>
        </w:rPr>
        <w:t>的会计师事务所及其注册会计师对本基金的年度财务报表进行审计。</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2、会计师事务所更换经办注册会计师，应事先征得基金管理人同意。</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3、</w:t>
      </w:r>
      <w:bookmarkStart w:id="361" w:name="_Hlt4221115"/>
      <w:bookmarkEnd w:id="361"/>
      <w:r>
        <w:rPr>
          <w:bCs/>
          <w:color w:val="000000" w:themeColor="text1"/>
          <w:sz w:val="24"/>
          <w14:textFill>
            <w14:solidFill>
              <w14:schemeClr w14:val="tx1"/>
            </w14:solidFill>
          </w14:textFill>
        </w:rPr>
        <w:t>基金管理人认为有充足理由更换会计师事务所，须通报基金托管人。更换会计师事务所需在2日内在</w:t>
      </w:r>
      <w:r>
        <w:rPr>
          <w:rFonts w:hint="eastAsia"/>
          <w:bCs/>
          <w:color w:val="000000" w:themeColor="text1"/>
          <w:sz w:val="24"/>
          <w14:textFill>
            <w14:solidFill>
              <w14:schemeClr w14:val="tx1"/>
            </w14:solidFill>
          </w14:textFill>
        </w:rPr>
        <w:t>规定媒介</w:t>
      </w:r>
      <w:r>
        <w:rPr>
          <w:bCs/>
          <w:color w:val="000000" w:themeColor="text1"/>
          <w:sz w:val="24"/>
          <w14:textFill>
            <w14:solidFill>
              <w14:schemeClr w14:val="tx1"/>
            </w14:solidFill>
          </w14:textFill>
        </w:rPr>
        <w:t>公告。</w:t>
      </w:r>
    </w:p>
    <w:p>
      <w:pPr>
        <w:pStyle w:val="2"/>
        <w:spacing w:before="0" w:after="0"/>
        <w:jc w:val="center"/>
        <w:rPr>
          <w:rFonts w:ascii="Times New Roman"/>
          <w:color w:val="000000" w:themeColor="text1"/>
          <w:sz w:val="30"/>
          <w14:textFill>
            <w14:solidFill>
              <w14:schemeClr w14:val="tx1"/>
            </w14:solidFill>
          </w14:textFill>
        </w:rPr>
      </w:pPr>
      <w:r>
        <w:rPr>
          <w:rFonts w:ascii="Times New Roman"/>
          <w:b w:val="0"/>
          <w:bCs/>
          <w:color w:val="000000" w:themeColor="text1"/>
          <w14:textFill>
            <w14:solidFill>
              <w14:schemeClr w14:val="tx1"/>
            </w14:solidFill>
          </w14:textFill>
        </w:rPr>
        <w:br w:type="page"/>
      </w:r>
      <w:bookmarkStart w:id="362" w:name="_Toc93226151"/>
      <w:bookmarkStart w:id="363" w:name="_Toc92662709"/>
      <w:bookmarkStart w:id="364" w:name="_Toc31866"/>
      <w:bookmarkStart w:id="365" w:name="_Toc193"/>
      <w:bookmarkStart w:id="366" w:name="_Toc1173"/>
      <w:bookmarkStart w:id="367" w:name="_Toc29289"/>
      <w:bookmarkStart w:id="368" w:name="_Toc141703898"/>
      <w:bookmarkStart w:id="369" w:name="_Toc3056"/>
      <w:bookmarkStart w:id="370" w:name="_Toc11802"/>
      <w:bookmarkStart w:id="371" w:name="_Toc12028"/>
      <w:bookmarkStart w:id="372" w:name="_Toc1421"/>
      <w:bookmarkStart w:id="373" w:name="_Toc139991748"/>
      <w:bookmarkStart w:id="374" w:name="_Toc11049"/>
      <w:bookmarkStart w:id="375" w:name="_Toc128310501"/>
      <w:bookmarkStart w:id="376" w:name="_Toc95997129"/>
      <w:bookmarkStart w:id="377" w:name="_Toc8512"/>
      <w:r>
        <w:rPr>
          <w:rFonts w:ascii="Times New Roman"/>
          <w:color w:val="000000" w:themeColor="text1"/>
          <w:sz w:val="30"/>
          <w14:textFill>
            <w14:solidFill>
              <w14:schemeClr w14:val="tx1"/>
            </w14:solidFill>
          </w14:textFill>
        </w:rPr>
        <w:t>第十八部分  基金</w:t>
      </w:r>
      <w:bookmarkEnd w:id="362"/>
      <w:bookmarkEnd w:id="363"/>
      <w:r>
        <w:rPr>
          <w:rFonts w:ascii="Times New Roman"/>
          <w:color w:val="000000" w:themeColor="text1"/>
          <w:sz w:val="30"/>
          <w14:textFill>
            <w14:solidFill>
              <w14:schemeClr w14:val="tx1"/>
            </w14:solidFill>
          </w14:textFill>
        </w:rPr>
        <w:t>的信息披露</w:t>
      </w:r>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p>
    <w:p>
      <w:pPr>
        <w:spacing w:line="360" w:lineRule="auto"/>
        <w:ind w:firstLine="480" w:firstLineChars="200"/>
        <w:rPr>
          <w:bCs/>
          <w:color w:val="000000" w:themeColor="text1"/>
          <w:sz w:val="24"/>
          <w14:textFill>
            <w14:solidFill>
              <w14:schemeClr w14:val="tx1"/>
            </w14:solidFill>
          </w14:textFill>
        </w:rPr>
      </w:pP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一、本基金的信息披露应符合《基金法》、《运作办法》、《信息披露办法》、</w:t>
      </w:r>
      <w:r>
        <w:rPr>
          <w:rFonts w:hint="eastAsia"/>
          <w:bCs/>
          <w:color w:val="000000" w:themeColor="text1"/>
          <w:sz w:val="24"/>
          <w14:textFill>
            <w14:solidFill>
              <w14:schemeClr w14:val="tx1"/>
            </w14:solidFill>
          </w14:textFill>
        </w:rPr>
        <w:t>《流动性风险管理规定》、</w:t>
      </w:r>
      <w:r>
        <w:rPr>
          <w:bCs/>
          <w:color w:val="000000" w:themeColor="text1"/>
          <w:sz w:val="24"/>
          <w14:textFill>
            <w14:solidFill>
              <w14:schemeClr w14:val="tx1"/>
            </w14:solidFill>
          </w14:textFill>
        </w:rPr>
        <w:t>《基金合同》及其他有关规定。</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二、信息披露义务人</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本基金信息披露义务人包括基金管理人、基金托管人、召集基金份额持有人大会的基金份额持有人等法律法规和中国证监会规定的自然人、法人和</w:t>
      </w:r>
      <w:r>
        <w:rPr>
          <w:rFonts w:hint="eastAsia"/>
          <w:bCs/>
          <w:color w:val="000000" w:themeColor="text1"/>
          <w:sz w:val="24"/>
          <w14:textFill>
            <w14:solidFill>
              <w14:schemeClr w14:val="tx1"/>
            </w14:solidFill>
          </w14:textFill>
        </w:rPr>
        <w:t>非法人</w:t>
      </w:r>
      <w:r>
        <w:rPr>
          <w:bCs/>
          <w:color w:val="000000" w:themeColor="text1"/>
          <w:sz w:val="24"/>
          <w14:textFill>
            <w14:solidFill>
              <w14:schemeClr w14:val="tx1"/>
            </w14:solidFill>
          </w14:textFill>
        </w:rPr>
        <w:t>组织。</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本基金信息披露义务人</w:t>
      </w:r>
      <w:r>
        <w:rPr>
          <w:rFonts w:hint="eastAsia"/>
          <w:bCs/>
          <w:color w:val="000000" w:themeColor="text1"/>
          <w:sz w:val="24"/>
          <w14:textFill>
            <w14:solidFill>
              <w14:schemeClr w14:val="tx1"/>
            </w14:solidFill>
          </w14:textFill>
        </w:rPr>
        <w:t>以保护基金份额持有人利益为根本出发点，</w:t>
      </w:r>
      <w:r>
        <w:rPr>
          <w:bCs/>
          <w:color w:val="000000" w:themeColor="text1"/>
          <w:sz w:val="24"/>
          <w14:textFill>
            <w14:solidFill>
              <w14:schemeClr w14:val="tx1"/>
            </w14:solidFill>
          </w14:textFill>
        </w:rPr>
        <w:t>按照法律法规和中国证监会的规定披露基金信息，并保证所披露信息的真实性、准确性和完整性</w:t>
      </w:r>
      <w:r>
        <w:rPr>
          <w:rFonts w:hint="eastAsia"/>
          <w:bCs/>
          <w:color w:val="000000" w:themeColor="text1"/>
          <w:sz w:val="24"/>
          <w14:textFill>
            <w14:solidFill>
              <w14:schemeClr w14:val="tx1"/>
            </w14:solidFill>
          </w14:textFill>
        </w:rPr>
        <w:t>、及时性、简明性和易得性</w:t>
      </w:r>
      <w:r>
        <w:rPr>
          <w:bCs/>
          <w:color w:val="000000" w:themeColor="text1"/>
          <w:sz w:val="24"/>
          <w14:textFill>
            <w14:solidFill>
              <w14:schemeClr w14:val="tx1"/>
            </w14:solidFill>
          </w14:textFill>
        </w:rPr>
        <w:t>。</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本基金信息披露义务人应当在中国证监会规定时间内，将应予披露的基金信息通过符合中国证监会</w:t>
      </w:r>
      <w:r>
        <w:rPr>
          <w:rFonts w:hint="eastAsia"/>
          <w:bCs/>
          <w:color w:val="000000" w:themeColor="text1"/>
          <w:sz w:val="24"/>
          <w14:textFill>
            <w14:solidFill>
              <w14:schemeClr w14:val="tx1"/>
            </w14:solidFill>
          </w14:textFill>
        </w:rPr>
        <w:t>规</w:t>
      </w:r>
      <w:r>
        <w:rPr>
          <w:bCs/>
          <w:color w:val="000000" w:themeColor="text1"/>
          <w:sz w:val="24"/>
          <w14:textFill>
            <w14:solidFill>
              <w14:schemeClr w14:val="tx1"/>
            </w14:solidFill>
          </w14:textFill>
        </w:rPr>
        <w:t>定条件的</w:t>
      </w:r>
      <w:r>
        <w:rPr>
          <w:rFonts w:hint="eastAsia"/>
          <w:bCs/>
          <w:color w:val="000000" w:themeColor="text1"/>
          <w:sz w:val="24"/>
          <w14:textFill>
            <w14:solidFill>
              <w14:schemeClr w14:val="tx1"/>
            </w14:solidFill>
          </w14:textFill>
        </w:rPr>
        <w:t>全国性报刊</w:t>
      </w:r>
      <w:r>
        <w:rPr>
          <w:bCs/>
          <w:color w:val="000000" w:themeColor="text1"/>
          <w:sz w:val="24"/>
          <w14:textFill>
            <w14:solidFill>
              <w14:schemeClr w14:val="tx1"/>
            </w14:solidFill>
          </w14:textFill>
        </w:rPr>
        <w:t>（以下简称“</w:t>
      </w:r>
      <w:r>
        <w:rPr>
          <w:rFonts w:hint="eastAsia"/>
          <w:bCs/>
          <w:color w:val="000000" w:themeColor="text1"/>
          <w:sz w:val="24"/>
          <w14:textFill>
            <w14:solidFill>
              <w14:schemeClr w14:val="tx1"/>
            </w14:solidFill>
          </w14:textFill>
        </w:rPr>
        <w:t>规定报刊</w:t>
      </w:r>
      <w:r>
        <w:rPr>
          <w:bCs/>
          <w:color w:val="000000" w:themeColor="text1"/>
          <w:sz w:val="24"/>
          <w14:textFill>
            <w14:solidFill>
              <w14:schemeClr w14:val="tx1"/>
            </w14:solidFill>
          </w14:textFill>
        </w:rPr>
        <w:t>”）</w:t>
      </w:r>
      <w:r>
        <w:rPr>
          <w:rFonts w:hint="eastAsia"/>
          <w:bCs/>
          <w:color w:val="000000" w:themeColor="text1"/>
          <w:sz w:val="24"/>
          <w14:textFill>
            <w14:solidFill>
              <w14:schemeClr w14:val="tx1"/>
            </w14:solidFill>
          </w14:textFill>
        </w:rPr>
        <w:t xml:space="preserve"> 及《信息披露办法》规定的</w:t>
      </w:r>
      <w:r>
        <w:rPr>
          <w:bCs/>
          <w:color w:val="000000" w:themeColor="text1"/>
          <w:sz w:val="24"/>
          <w14:textFill>
            <w14:solidFill>
              <w14:schemeClr w14:val="tx1"/>
            </w14:solidFill>
          </w14:textFill>
        </w:rPr>
        <w:t>互联网网站（以下简称“规定网站”）等媒介披露，并保证基金投资者能够按照《基金合同》约定的时间和方式查阅或者复制公开披露的信息资料。</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三、本基金信息披露义务人承诺公开披露的基金信息，不得有下列行为：</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1、虚假记载、误导性陈述或者重大遗漏；</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2、对证券投资业绩进行预测；</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3、违规承诺收益或者承担损失；</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4、诋毁其他基金管理人、基金托管人或者基金销售机构；</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5、登载任何自然人、法人</w:t>
      </w:r>
      <w:r>
        <w:rPr>
          <w:rFonts w:hint="eastAsia"/>
          <w:bCs/>
          <w:color w:val="000000" w:themeColor="text1"/>
          <w:sz w:val="24"/>
          <w14:textFill>
            <w14:solidFill>
              <w14:schemeClr w14:val="tx1"/>
            </w14:solidFill>
          </w14:textFill>
        </w:rPr>
        <w:t>和非法人</w:t>
      </w:r>
      <w:r>
        <w:rPr>
          <w:bCs/>
          <w:color w:val="000000" w:themeColor="text1"/>
          <w:sz w:val="24"/>
          <w14:textFill>
            <w14:solidFill>
              <w14:schemeClr w14:val="tx1"/>
            </w14:solidFill>
          </w14:textFill>
        </w:rPr>
        <w:t>组织的祝贺性、恭维性或推荐性的文字；</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6、中国证监会禁止的其他行为。</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四、本基金公开披露的信息应采用中文文本。如同时采用外文文本的，基金信息披露义务人应保证</w:t>
      </w:r>
      <w:r>
        <w:rPr>
          <w:rFonts w:hint="eastAsia"/>
          <w:bCs/>
          <w:color w:val="000000" w:themeColor="text1"/>
          <w:sz w:val="24"/>
          <w14:textFill>
            <w14:solidFill>
              <w14:schemeClr w14:val="tx1"/>
            </w14:solidFill>
          </w14:textFill>
        </w:rPr>
        <w:t>不同</w:t>
      </w:r>
      <w:r>
        <w:rPr>
          <w:bCs/>
          <w:color w:val="000000" w:themeColor="text1"/>
          <w:sz w:val="24"/>
          <w14:textFill>
            <w14:solidFill>
              <w14:schemeClr w14:val="tx1"/>
            </w14:solidFill>
          </w14:textFill>
        </w:rPr>
        <w:t>文本的内容一致。</w:t>
      </w:r>
      <w:r>
        <w:rPr>
          <w:rFonts w:hint="eastAsia"/>
          <w:bCs/>
          <w:color w:val="000000" w:themeColor="text1"/>
          <w:sz w:val="24"/>
          <w14:textFill>
            <w14:solidFill>
              <w14:schemeClr w14:val="tx1"/>
            </w14:solidFill>
          </w14:textFill>
        </w:rPr>
        <w:t>不同</w:t>
      </w:r>
      <w:r>
        <w:rPr>
          <w:bCs/>
          <w:color w:val="000000" w:themeColor="text1"/>
          <w:sz w:val="24"/>
          <w14:textFill>
            <w14:solidFill>
              <w14:schemeClr w14:val="tx1"/>
            </w14:solidFill>
          </w14:textFill>
        </w:rPr>
        <w:t>文本之间发生歧义的，以中文文本为准。</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本基金公开披露的信息采用阿拉伯数字；除特别说明外，货币单位为人民币元。</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五、公开披露的基金信息</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公开披露的基金信息包括：</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（一）基金招募说明书、《基金合同》、基金托管协议</w:t>
      </w:r>
      <w:r>
        <w:rPr>
          <w:rFonts w:hint="eastAsia"/>
          <w:bCs/>
          <w:color w:val="000000" w:themeColor="text1"/>
          <w:sz w:val="24"/>
          <w14:textFill>
            <w14:solidFill>
              <w14:schemeClr w14:val="tx1"/>
            </w14:solidFill>
          </w14:textFill>
        </w:rPr>
        <w:t>、基金产品资料概要</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1、《基金合同》是界定《基金合同》当事人的各项权利、义务关系，明确基金份额持有人大会召开的规则及具体程序，说明基金产品的特性等涉及基金投资者重大利益的事项的法律文件。</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2、基金招募说明书应当最大限度地披露影响基金投资者决策的全部事项，说明基金认购、申购和赎回安排、基金投资、基金产品特性、风险揭示、信息披露及基金份额持有人服务等内容。《基金合同》生效后，</w:t>
      </w:r>
      <w:r>
        <w:rPr>
          <w:rFonts w:hint="eastAsia"/>
          <w:bCs/>
          <w:color w:val="000000" w:themeColor="text1"/>
          <w:sz w:val="24"/>
          <w14:textFill>
            <w14:solidFill>
              <w14:schemeClr w14:val="tx1"/>
            </w14:solidFill>
          </w14:textFill>
        </w:rPr>
        <w:t>基金招募说明书的信息发生重大变更的，</w:t>
      </w:r>
      <w:r>
        <w:rPr>
          <w:bCs/>
          <w:color w:val="000000" w:themeColor="text1"/>
          <w:sz w:val="24"/>
          <w14:textFill>
            <w14:solidFill>
              <w14:schemeClr w14:val="tx1"/>
            </w14:solidFill>
          </w14:textFill>
        </w:rPr>
        <w:t>基金管理人</w:t>
      </w:r>
      <w:r>
        <w:rPr>
          <w:rFonts w:hint="eastAsia"/>
          <w:bCs/>
          <w:color w:val="000000" w:themeColor="text1"/>
          <w:sz w:val="24"/>
          <w14:textFill>
            <w14:solidFill>
              <w14:schemeClr w14:val="tx1"/>
            </w14:solidFill>
          </w14:textFill>
        </w:rPr>
        <w:t>应当</w:t>
      </w:r>
      <w:r>
        <w:rPr>
          <w:bCs/>
          <w:color w:val="000000" w:themeColor="text1"/>
          <w:sz w:val="24"/>
          <w14:textFill>
            <w14:solidFill>
              <w14:schemeClr w14:val="tx1"/>
            </w14:solidFill>
          </w14:textFill>
        </w:rPr>
        <w:t>在</w:t>
      </w:r>
      <w:r>
        <w:rPr>
          <w:rFonts w:hint="eastAsia"/>
          <w:bCs/>
          <w:color w:val="000000" w:themeColor="text1"/>
          <w:sz w:val="24"/>
          <w14:textFill>
            <w14:solidFill>
              <w14:schemeClr w14:val="tx1"/>
            </w14:solidFill>
          </w14:textFill>
        </w:rPr>
        <w:t>三个工作日</w:t>
      </w:r>
      <w:r>
        <w:rPr>
          <w:bCs/>
          <w:color w:val="000000" w:themeColor="text1"/>
          <w:sz w:val="24"/>
          <w14:textFill>
            <w14:solidFill>
              <w14:schemeClr w14:val="tx1"/>
            </w14:solidFill>
          </w14:textFill>
        </w:rPr>
        <w:t>内，更新基金招募说明书并登载在规定网站上</w:t>
      </w:r>
      <w:r>
        <w:rPr>
          <w:rFonts w:hint="eastAsia"/>
          <w:bCs/>
          <w:color w:val="000000" w:themeColor="text1"/>
          <w:sz w:val="24"/>
          <w14:textFill>
            <w14:solidFill>
              <w14:schemeClr w14:val="tx1"/>
            </w14:solidFill>
          </w14:textFill>
        </w:rPr>
        <w:t>；基金</w:t>
      </w:r>
      <w:r>
        <w:rPr>
          <w:bCs/>
          <w:color w:val="000000" w:themeColor="text1"/>
          <w:sz w:val="24"/>
          <w14:textFill>
            <w14:solidFill>
              <w14:schemeClr w14:val="tx1"/>
            </w14:solidFill>
          </w14:textFill>
        </w:rPr>
        <w:t>招募说明书</w:t>
      </w:r>
      <w:r>
        <w:rPr>
          <w:rFonts w:hint="eastAsia"/>
          <w:bCs/>
          <w:color w:val="000000" w:themeColor="text1"/>
          <w:sz w:val="24"/>
          <w14:textFill>
            <w14:solidFill>
              <w14:schemeClr w14:val="tx1"/>
            </w14:solidFill>
          </w14:textFill>
        </w:rPr>
        <w:t>其他信息发生变更的，</w:t>
      </w:r>
      <w:r>
        <w:rPr>
          <w:bCs/>
          <w:color w:val="000000" w:themeColor="text1"/>
          <w:sz w:val="24"/>
          <w14:textFill>
            <w14:solidFill>
              <w14:schemeClr w14:val="tx1"/>
            </w14:solidFill>
          </w14:textFill>
        </w:rPr>
        <w:t>基金管理人</w:t>
      </w:r>
      <w:r>
        <w:rPr>
          <w:rFonts w:hint="eastAsia"/>
          <w:bCs/>
          <w:color w:val="000000" w:themeColor="text1"/>
          <w:sz w:val="24"/>
          <w14:textFill>
            <w14:solidFill>
              <w14:schemeClr w14:val="tx1"/>
            </w14:solidFill>
          </w14:textFill>
        </w:rPr>
        <w:t>至少每年更新一次。基金终止运作的，基金管理人不再</w:t>
      </w:r>
      <w:r>
        <w:rPr>
          <w:bCs/>
          <w:color w:val="000000" w:themeColor="text1"/>
          <w:sz w:val="24"/>
          <w14:textFill>
            <w14:solidFill>
              <w14:schemeClr w14:val="tx1"/>
            </w14:solidFill>
          </w14:textFill>
        </w:rPr>
        <w:t>更新基金招募说明书。</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3、基金托管协议是界定基金托管人和基金管理人在基金财产保管及基金运作监督等活动中的权利、义务关系的法律文件。</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4</w:t>
      </w:r>
      <w:r>
        <w:rPr>
          <w:rFonts w:hint="eastAsia"/>
          <w:bCs/>
          <w:color w:val="000000" w:themeColor="text1"/>
          <w:sz w:val="24"/>
          <w14:textFill>
            <w14:solidFill>
              <w14:schemeClr w14:val="tx1"/>
            </w14:solidFill>
          </w14:textFill>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基金募集申请经中国证监会</w:t>
      </w:r>
      <w:r>
        <w:rPr>
          <w:rFonts w:hint="eastAsia"/>
          <w:bCs/>
          <w:color w:val="000000" w:themeColor="text1"/>
          <w:sz w:val="24"/>
          <w14:textFill>
            <w14:solidFill>
              <w14:schemeClr w14:val="tx1"/>
            </w14:solidFill>
          </w14:textFill>
        </w:rPr>
        <w:t>注册</w:t>
      </w:r>
      <w:r>
        <w:rPr>
          <w:bCs/>
          <w:color w:val="000000" w:themeColor="text1"/>
          <w:sz w:val="24"/>
          <w14:textFill>
            <w14:solidFill>
              <w14:schemeClr w14:val="tx1"/>
            </w14:solidFill>
          </w14:textFill>
        </w:rPr>
        <w:t>后，基金管理人应当在基金份额发售的3日前，将</w:t>
      </w:r>
      <w:r>
        <w:rPr>
          <w:rFonts w:hint="eastAsia"/>
          <w:bCs/>
          <w:color w:val="000000" w:themeColor="text1"/>
          <w:sz w:val="24"/>
          <w14:textFill>
            <w14:solidFill>
              <w14:schemeClr w14:val="tx1"/>
            </w14:solidFill>
          </w14:textFill>
        </w:rPr>
        <w:t>基金份额发售公告、</w:t>
      </w:r>
      <w:r>
        <w:rPr>
          <w:bCs/>
          <w:color w:val="000000" w:themeColor="text1"/>
          <w:sz w:val="24"/>
          <w14:textFill>
            <w14:solidFill>
              <w14:schemeClr w14:val="tx1"/>
            </w14:solidFill>
          </w14:textFill>
        </w:rPr>
        <w:t>基金招募说明书</w:t>
      </w:r>
      <w:r>
        <w:rPr>
          <w:rFonts w:hint="eastAsia"/>
          <w:bCs/>
          <w:color w:val="000000" w:themeColor="text1"/>
          <w:sz w:val="24"/>
          <w14:textFill>
            <w14:solidFill>
              <w14:schemeClr w14:val="tx1"/>
            </w14:solidFill>
          </w14:textFill>
        </w:rPr>
        <w:t>提示性公告</w:t>
      </w:r>
      <w:r>
        <w:rPr>
          <w:bCs/>
          <w:color w:val="000000" w:themeColor="text1"/>
          <w:sz w:val="24"/>
          <w14:textFill>
            <w14:solidFill>
              <w14:schemeClr w14:val="tx1"/>
            </w14:solidFill>
          </w14:textFill>
        </w:rPr>
        <w:t>、《基金合同》</w:t>
      </w:r>
      <w:r>
        <w:rPr>
          <w:rFonts w:hint="eastAsia"/>
          <w:bCs/>
          <w:color w:val="000000" w:themeColor="text1"/>
          <w:sz w:val="24"/>
          <w14:textFill>
            <w14:solidFill>
              <w14:schemeClr w14:val="tx1"/>
            </w14:solidFill>
          </w14:textFill>
        </w:rPr>
        <w:t>提示性公告</w:t>
      </w:r>
      <w:r>
        <w:rPr>
          <w:bCs/>
          <w:color w:val="000000" w:themeColor="text1"/>
          <w:sz w:val="24"/>
          <w14:textFill>
            <w14:solidFill>
              <w14:schemeClr w14:val="tx1"/>
            </w14:solidFill>
          </w14:textFill>
        </w:rPr>
        <w:t>登载在</w:t>
      </w:r>
      <w:r>
        <w:rPr>
          <w:rFonts w:hint="eastAsia"/>
          <w:bCs/>
          <w:color w:val="000000" w:themeColor="text1"/>
          <w:sz w:val="24"/>
          <w14:textFill>
            <w14:solidFill>
              <w14:schemeClr w14:val="tx1"/>
            </w14:solidFill>
          </w14:textFill>
        </w:rPr>
        <w:t>规定报刊</w:t>
      </w:r>
      <w:r>
        <w:rPr>
          <w:bCs/>
          <w:color w:val="000000" w:themeColor="text1"/>
          <w:sz w:val="24"/>
          <w14:textFill>
            <w14:solidFill>
              <w14:schemeClr w14:val="tx1"/>
            </w14:solidFill>
          </w14:textFill>
        </w:rPr>
        <w:t>上</w:t>
      </w:r>
      <w:r>
        <w:rPr>
          <w:rFonts w:hint="eastAsia"/>
          <w:bCs/>
          <w:color w:val="000000" w:themeColor="text1"/>
          <w:sz w:val="24"/>
          <w14:textFill>
            <w14:solidFill>
              <w14:schemeClr w14:val="tx1"/>
            </w14:solidFill>
          </w14:textFill>
        </w:rPr>
        <w:t>，将基金份额发售公告、基金招募说明书、基金产品资料概要、《基金合同》和基金托管协议登载在规定网站上，并将基金产品资料概要登载在基金销售机构网站或营业网点</w:t>
      </w:r>
      <w:r>
        <w:rPr>
          <w:bCs/>
          <w:color w:val="000000" w:themeColor="text1"/>
          <w:sz w:val="24"/>
          <w14:textFill>
            <w14:solidFill>
              <w14:schemeClr w14:val="tx1"/>
            </w14:solidFill>
          </w14:textFill>
        </w:rPr>
        <w:t>；基金托管人应当同时将《基金合同》、基金托管协议登载在规定网站上。</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（二）基金份额发售公告</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基金募集申请经中国证监会注册后，基金管理人应当在基金份额发售的三日前，将基金份额发售公告、基金招募说明书提示性公告和基金合同提示性公告登载在规定报刊上，将基金份额发售公告、基金招募说明书、基金产品资料概要、《基金合同》和基金托管协议登载在规定网站上，并将基金产品资料概要登载在基金销售机构网站或营业网点；基金托管人应当同时将基金合同、基金托管协议登载在规定网站上。</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（三）《基金合同》生效公告</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基金管理人应当在收到中国证监会确认文件的次日在</w:t>
      </w:r>
      <w:r>
        <w:rPr>
          <w:rFonts w:hint="eastAsia"/>
          <w:bCs/>
          <w:color w:val="000000" w:themeColor="text1"/>
          <w:sz w:val="24"/>
          <w14:textFill>
            <w14:solidFill>
              <w14:schemeClr w14:val="tx1"/>
            </w14:solidFill>
          </w14:textFill>
        </w:rPr>
        <w:t>规</w:t>
      </w:r>
      <w:r>
        <w:rPr>
          <w:bCs/>
          <w:color w:val="000000" w:themeColor="text1"/>
          <w:sz w:val="24"/>
          <w14:textFill>
            <w14:solidFill>
              <w14:schemeClr w14:val="tx1"/>
            </w14:solidFill>
          </w14:textFill>
        </w:rPr>
        <w:t>定</w:t>
      </w:r>
      <w:r>
        <w:rPr>
          <w:rFonts w:hint="eastAsia"/>
          <w:bCs/>
          <w:color w:val="000000" w:themeColor="text1"/>
          <w:sz w:val="24"/>
          <w14:textFill>
            <w14:solidFill>
              <w14:schemeClr w14:val="tx1"/>
            </w14:solidFill>
          </w14:textFill>
        </w:rPr>
        <w:t>媒介</w:t>
      </w:r>
      <w:r>
        <w:rPr>
          <w:bCs/>
          <w:color w:val="000000" w:themeColor="text1"/>
          <w:sz w:val="24"/>
          <w14:textFill>
            <w14:solidFill>
              <w14:schemeClr w14:val="tx1"/>
            </w14:solidFill>
          </w14:textFill>
        </w:rPr>
        <w:t>上登载《基金合同》生效公告。</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（四）基金净值</w:t>
      </w:r>
      <w:r>
        <w:rPr>
          <w:rFonts w:hint="eastAsia"/>
          <w:bCs/>
          <w:color w:val="000000" w:themeColor="text1"/>
          <w:sz w:val="24"/>
          <w14:textFill>
            <w14:solidFill>
              <w14:schemeClr w14:val="tx1"/>
            </w14:solidFill>
          </w14:textFill>
        </w:rPr>
        <w:t>信息</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《基金合同》生效后，在</w:t>
      </w:r>
      <w:r>
        <w:rPr>
          <w:rFonts w:hint="eastAsia"/>
          <w:bCs/>
          <w:color w:val="000000" w:themeColor="text1"/>
          <w:sz w:val="24"/>
          <w14:textFill>
            <w14:solidFill>
              <w14:schemeClr w14:val="tx1"/>
            </w14:solidFill>
          </w14:textFill>
        </w:rPr>
        <w:t>本</w:t>
      </w:r>
      <w:r>
        <w:rPr>
          <w:bCs/>
          <w:color w:val="000000" w:themeColor="text1"/>
          <w:sz w:val="24"/>
          <w14:textFill>
            <w14:solidFill>
              <w14:schemeClr w14:val="tx1"/>
            </w14:solidFill>
          </w14:textFill>
        </w:rPr>
        <w:t>基金</w:t>
      </w:r>
      <w:r>
        <w:rPr>
          <w:rFonts w:hint="eastAsia"/>
          <w:bCs/>
          <w:color w:val="000000" w:themeColor="text1"/>
          <w:sz w:val="24"/>
          <w14:textFill>
            <w14:solidFill>
              <w14:schemeClr w14:val="tx1"/>
            </w14:solidFill>
          </w14:textFill>
        </w:rPr>
        <w:t>封闭期内，</w:t>
      </w:r>
      <w:r>
        <w:rPr>
          <w:bCs/>
          <w:color w:val="000000" w:themeColor="text1"/>
          <w:sz w:val="24"/>
          <w14:textFill>
            <w14:solidFill>
              <w14:schemeClr w14:val="tx1"/>
            </w14:solidFill>
          </w14:textFill>
        </w:rPr>
        <w:t>份额申购或者赎回前，基金管理人应当至少每周在规定网站披露一次基金</w:t>
      </w:r>
      <w:r>
        <w:rPr>
          <w:rFonts w:hint="eastAsia"/>
          <w:bCs/>
          <w:color w:val="000000" w:themeColor="text1"/>
          <w:sz w:val="24"/>
          <w14:textFill>
            <w14:solidFill>
              <w14:schemeClr w14:val="tx1"/>
            </w14:solidFill>
          </w14:textFill>
        </w:rPr>
        <w:t>份额</w:t>
      </w:r>
      <w:r>
        <w:rPr>
          <w:bCs/>
          <w:color w:val="000000" w:themeColor="text1"/>
          <w:sz w:val="24"/>
          <w14:textFill>
            <w14:solidFill>
              <w14:schemeClr w14:val="tx1"/>
            </w14:solidFill>
          </w14:textFill>
        </w:rPr>
        <w:t>净值和基金份额累计净值。</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在</w:t>
      </w:r>
      <w:r>
        <w:rPr>
          <w:rFonts w:hint="eastAsia"/>
          <w:bCs/>
          <w:color w:val="000000" w:themeColor="text1"/>
          <w:sz w:val="24"/>
          <w14:textFill>
            <w14:solidFill>
              <w14:schemeClr w14:val="tx1"/>
            </w14:solidFill>
          </w14:textFill>
        </w:rPr>
        <w:t>开放期内</w:t>
      </w:r>
      <w:r>
        <w:rPr>
          <w:bCs/>
          <w:color w:val="000000" w:themeColor="text1"/>
          <w:sz w:val="24"/>
          <w14:textFill>
            <w14:solidFill>
              <w14:schemeClr w14:val="tx1"/>
            </w14:solidFill>
          </w14:textFill>
        </w:rPr>
        <w:t>，基金管理人应当在不晚于每个开放日的次日，通过规定网站、基金份额</w:t>
      </w:r>
      <w:r>
        <w:rPr>
          <w:rFonts w:hint="eastAsia"/>
          <w:bCs/>
          <w:color w:val="000000" w:themeColor="text1"/>
          <w:sz w:val="24"/>
          <w14:textFill>
            <w14:solidFill>
              <w14:schemeClr w14:val="tx1"/>
            </w14:solidFill>
          </w14:textFill>
        </w:rPr>
        <w:t>销售机构网站或者营业</w:t>
      </w:r>
      <w:r>
        <w:rPr>
          <w:bCs/>
          <w:color w:val="000000" w:themeColor="text1"/>
          <w:sz w:val="24"/>
          <w14:textFill>
            <w14:solidFill>
              <w14:schemeClr w14:val="tx1"/>
            </w14:solidFill>
          </w14:textFill>
        </w:rPr>
        <w:t>网点，披露开放日的基金份额净值和基金份额累计净值。</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基金管理人应当</w:t>
      </w:r>
      <w:r>
        <w:rPr>
          <w:rFonts w:hint="eastAsia"/>
          <w:bCs/>
          <w:color w:val="000000" w:themeColor="text1"/>
          <w:sz w:val="24"/>
          <w14:textFill>
            <w14:solidFill>
              <w14:schemeClr w14:val="tx1"/>
            </w14:solidFill>
          </w14:textFill>
        </w:rPr>
        <w:t>在不晚于</w:t>
      </w:r>
      <w:r>
        <w:rPr>
          <w:bCs/>
          <w:color w:val="000000" w:themeColor="text1"/>
          <w:sz w:val="24"/>
          <w14:textFill>
            <w14:solidFill>
              <w14:schemeClr w14:val="tx1"/>
            </w14:solidFill>
          </w14:textFill>
        </w:rPr>
        <w:t>半年度和年度最后一</w:t>
      </w:r>
      <w:r>
        <w:rPr>
          <w:rFonts w:hint="eastAsia"/>
          <w:bCs/>
          <w:color w:val="000000" w:themeColor="text1"/>
          <w:sz w:val="24"/>
          <w14:textFill>
            <w14:solidFill>
              <w14:schemeClr w14:val="tx1"/>
            </w14:solidFill>
          </w14:textFill>
        </w:rPr>
        <w:t>日的次日，在规定网站披露半年度和年度最后一日的</w:t>
      </w:r>
      <w:r>
        <w:rPr>
          <w:bCs/>
          <w:color w:val="000000" w:themeColor="text1"/>
          <w:sz w:val="24"/>
          <w14:textFill>
            <w14:solidFill>
              <w14:schemeClr w14:val="tx1"/>
            </w14:solidFill>
          </w14:textFill>
        </w:rPr>
        <w:t>基金份额净值和基金份额累计净值。</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（五）基金份额申购、赎回价格</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基金管理人应当在《基金合同》、招募说明书等信息披露文件上载明基金份额申购、赎回价格的计算方式及有关申购、赎回费率，并保证投资者能够在基金</w:t>
      </w:r>
      <w:r>
        <w:rPr>
          <w:rFonts w:hint="eastAsia"/>
          <w:bCs/>
          <w:color w:val="000000" w:themeColor="text1"/>
          <w:sz w:val="24"/>
          <w14:textFill>
            <w14:solidFill>
              <w14:schemeClr w14:val="tx1"/>
            </w14:solidFill>
          </w14:textFill>
        </w:rPr>
        <w:t>销售机构网站或营业</w:t>
      </w:r>
      <w:r>
        <w:rPr>
          <w:bCs/>
          <w:color w:val="000000" w:themeColor="text1"/>
          <w:sz w:val="24"/>
          <w14:textFill>
            <w14:solidFill>
              <w14:schemeClr w14:val="tx1"/>
            </w14:solidFill>
          </w14:textFill>
        </w:rPr>
        <w:t>网点查阅或者复制前述信息资料。</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（六）基金定期报告，包括基金年度报告、基金</w:t>
      </w:r>
      <w:r>
        <w:rPr>
          <w:rFonts w:hint="eastAsia"/>
          <w:bCs/>
          <w:color w:val="000000" w:themeColor="text1"/>
          <w:sz w:val="24"/>
          <w14:textFill>
            <w14:solidFill>
              <w14:schemeClr w14:val="tx1"/>
            </w14:solidFill>
          </w14:textFill>
        </w:rPr>
        <w:t>中期</w:t>
      </w:r>
      <w:r>
        <w:rPr>
          <w:bCs/>
          <w:color w:val="000000" w:themeColor="text1"/>
          <w:sz w:val="24"/>
          <w14:textFill>
            <w14:solidFill>
              <w14:schemeClr w14:val="tx1"/>
            </w14:solidFill>
          </w14:textFill>
        </w:rPr>
        <w:t>报告和基金季度报告</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基金管理人应当在每年结束之日起</w:t>
      </w:r>
      <w:r>
        <w:rPr>
          <w:rFonts w:hint="eastAsia"/>
          <w:bCs/>
          <w:color w:val="000000" w:themeColor="text1"/>
          <w:sz w:val="24"/>
          <w14:textFill>
            <w14:solidFill>
              <w14:schemeClr w14:val="tx1"/>
            </w14:solidFill>
          </w14:textFill>
        </w:rPr>
        <w:t>三个月</w:t>
      </w:r>
      <w:r>
        <w:rPr>
          <w:bCs/>
          <w:color w:val="000000" w:themeColor="text1"/>
          <w:sz w:val="24"/>
          <w14:textFill>
            <w14:solidFill>
              <w14:schemeClr w14:val="tx1"/>
            </w14:solidFill>
          </w14:textFill>
        </w:rPr>
        <w:t>内，编制完成基金年度报告，将年度报告登载</w:t>
      </w:r>
      <w:r>
        <w:rPr>
          <w:rFonts w:hint="eastAsia"/>
          <w:bCs/>
          <w:color w:val="000000" w:themeColor="text1"/>
          <w:sz w:val="24"/>
          <w14:textFill>
            <w14:solidFill>
              <w14:schemeClr w14:val="tx1"/>
            </w14:solidFill>
          </w14:textFill>
        </w:rPr>
        <w:t>在</w:t>
      </w:r>
      <w:r>
        <w:rPr>
          <w:bCs/>
          <w:color w:val="000000" w:themeColor="text1"/>
          <w:sz w:val="24"/>
          <w14:textFill>
            <w14:solidFill>
              <w14:schemeClr w14:val="tx1"/>
            </w14:solidFill>
          </w14:textFill>
        </w:rPr>
        <w:t>规定网站上，并将年度报告</w:t>
      </w:r>
      <w:r>
        <w:rPr>
          <w:rFonts w:hint="eastAsia"/>
          <w:bCs/>
          <w:color w:val="000000" w:themeColor="text1"/>
          <w:sz w:val="24"/>
          <w14:textFill>
            <w14:solidFill>
              <w14:schemeClr w14:val="tx1"/>
            </w14:solidFill>
          </w14:textFill>
        </w:rPr>
        <w:t>提示性公告</w:t>
      </w:r>
      <w:r>
        <w:rPr>
          <w:bCs/>
          <w:color w:val="000000" w:themeColor="text1"/>
          <w:sz w:val="24"/>
          <w14:textFill>
            <w14:solidFill>
              <w14:schemeClr w14:val="tx1"/>
            </w14:solidFill>
          </w14:textFill>
        </w:rPr>
        <w:t>登载在</w:t>
      </w:r>
      <w:r>
        <w:rPr>
          <w:rFonts w:hint="eastAsia"/>
          <w:bCs/>
          <w:color w:val="000000" w:themeColor="text1"/>
          <w:sz w:val="24"/>
          <w14:textFill>
            <w14:solidFill>
              <w14:schemeClr w14:val="tx1"/>
            </w14:solidFill>
          </w14:textFill>
        </w:rPr>
        <w:t>规定报刊</w:t>
      </w:r>
      <w:r>
        <w:rPr>
          <w:bCs/>
          <w:color w:val="000000" w:themeColor="text1"/>
          <w:sz w:val="24"/>
          <w14:textFill>
            <w14:solidFill>
              <w14:schemeClr w14:val="tx1"/>
            </w14:solidFill>
          </w14:textFill>
        </w:rPr>
        <w:t>上。基金年度报告中的财务会计报告应当经过</w:t>
      </w:r>
      <w:r>
        <w:rPr>
          <w:rFonts w:hint="eastAsia"/>
          <w:bCs/>
          <w:color w:val="000000" w:themeColor="text1"/>
          <w:sz w:val="24"/>
          <w14:textFill>
            <w14:solidFill>
              <w14:schemeClr w14:val="tx1"/>
            </w14:solidFill>
          </w14:textFill>
        </w:rPr>
        <w:t>符合《中华人民共和国证券法》规定的会计师事务所</w:t>
      </w:r>
      <w:r>
        <w:rPr>
          <w:bCs/>
          <w:color w:val="000000" w:themeColor="text1"/>
          <w:sz w:val="24"/>
          <w14:textFill>
            <w14:solidFill>
              <w14:schemeClr w14:val="tx1"/>
            </w14:solidFill>
          </w14:textFill>
        </w:rPr>
        <w:t>审计。</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基金管理人应当在上半年结束之日起</w:t>
      </w:r>
      <w:r>
        <w:rPr>
          <w:rFonts w:hint="eastAsia"/>
          <w:bCs/>
          <w:color w:val="000000" w:themeColor="text1"/>
          <w:sz w:val="24"/>
          <w14:textFill>
            <w14:solidFill>
              <w14:schemeClr w14:val="tx1"/>
            </w14:solidFill>
          </w14:textFill>
        </w:rPr>
        <w:t>两个月</w:t>
      </w:r>
      <w:r>
        <w:rPr>
          <w:bCs/>
          <w:color w:val="000000" w:themeColor="text1"/>
          <w:sz w:val="24"/>
          <w14:textFill>
            <w14:solidFill>
              <w14:schemeClr w14:val="tx1"/>
            </w14:solidFill>
          </w14:textFill>
        </w:rPr>
        <w:t>内，编制完成基金</w:t>
      </w:r>
      <w:r>
        <w:rPr>
          <w:rFonts w:hint="eastAsia"/>
          <w:bCs/>
          <w:color w:val="000000" w:themeColor="text1"/>
          <w:sz w:val="24"/>
          <w14:textFill>
            <w14:solidFill>
              <w14:schemeClr w14:val="tx1"/>
            </w14:solidFill>
          </w14:textFill>
        </w:rPr>
        <w:t>中期</w:t>
      </w:r>
      <w:r>
        <w:rPr>
          <w:bCs/>
          <w:color w:val="000000" w:themeColor="text1"/>
          <w:sz w:val="24"/>
          <w14:textFill>
            <w14:solidFill>
              <w14:schemeClr w14:val="tx1"/>
            </w14:solidFill>
          </w14:textFill>
        </w:rPr>
        <w:t>报告，并将</w:t>
      </w:r>
      <w:r>
        <w:rPr>
          <w:rFonts w:hint="eastAsia"/>
          <w:bCs/>
          <w:color w:val="000000" w:themeColor="text1"/>
          <w:sz w:val="24"/>
          <w14:textFill>
            <w14:solidFill>
              <w14:schemeClr w14:val="tx1"/>
            </w14:solidFill>
          </w14:textFill>
        </w:rPr>
        <w:t>中期</w:t>
      </w:r>
      <w:r>
        <w:rPr>
          <w:bCs/>
          <w:color w:val="000000" w:themeColor="text1"/>
          <w:sz w:val="24"/>
          <w14:textFill>
            <w14:solidFill>
              <w14:schemeClr w14:val="tx1"/>
            </w14:solidFill>
          </w14:textFill>
        </w:rPr>
        <w:t>报告正文登载在规定网站上，并将</w:t>
      </w:r>
      <w:r>
        <w:rPr>
          <w:rFonts w:hint="eastAsia"/>
          <w:bCs/>
          <w:color w:val="000000" w:themeColor="text1"/>
          <w:sz w:val="24"/>
          <w14:textFill>
            <w14:solidFill>
              <w14:schemeClr w14:val="tx1"/>
            </w14:solidFill>
          </w14:textFill>
        </w:rPr>
        <w:t>中期</w:t>
      </w:r>
      <w:r>
        <w:rPr>
          <w:bCs/>
          <w:color w:val="000000" w:themeColor="text1"/>
          <w:sz w:val="24"/>
          <w14:textFill>
            <w14:solidFill>
              <w14:schemeClr w14:val="tx1"/>
            </w14:solidFill>
          </w14:textFill>
        </w:rPr>
        <w:t>报告</w:t>
      </w:r>
      <w:r>
        <w:rPr>
          <w:rFonts w:hint="eastAsia"/>
          <w:bCs/>
          <w:color w:val="000000" w:themeColor="text1"/>
          <w:sz w:val="24"/>
          <w14:textFill>
            <w14:solidFill>
              <w14:schemeClr w14:val="tx1"/>
            </w14:solidFill>
          </w14:textFill>
        </w:rPr>
        <w:t>提示性公告</w:t>
      </w:r>
      <w:r>
        <w:rPr>
          <w:bCs/>
          <w:color w:val="000000" w:themeColor="text1"/>
          <w:sz w:val="24"/>
          <w14:textFill>
            <w14:solidFill>
              <w14:schemeClr w14:val="tx1"/>
            </w14:solidFill>
          </w14:textFill>
        </w:rPr>
        <w:t>登载在</w:t>
      </w:r>
      <w:r>
        <w:rPr>
          <w:rFonts w:hint="eastAsia"/>
          <w:bCs/>
          <w:color w:val="000000" w:themeColor="text1"/>
          <w:sz w:val="24"/>
          <w14:textFill>
            <w14:solidFill>
              <w14:schemeClr w14:val="tx1"/>
            </w14:solidFill>
          </w14:textFill>
        </w:rPr>
        <w:t>规定报刊</w:t>
      </w:r>
      <w:r>
        <w:rPr>
          <w:bCs/>
          <w:color w:val="000000" w:themeColor="text1"/>
          <w:sz w:val="24"/>
          <w14:textFill>
            <w14:solidFill>
              <w14:schemeClr w14:val="tx1"/>
            </w14:solidFill>
          </w14:textFill>
        </w:rPr>
        <w:t>上。</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基金管理人应当在每个季度结束之日起</w:t>
      </w:r>
      <w:r>
        <w:rPr>
          <w:rFonts w:hint="eastAsia"/>
          <w:bCs/>
          <w:color w:val="000000" w:themeColor="text1"/>
          <w:sz w:val="24"/>
          <w14:textFill>
            <w14:solidFill>
              <w14:schemeClr w14:val="tx1"/>
            </w14:solidFill>
          </w14:textFill>
        </w:rPr>
        <w:t>十五</w:t>
      </w:r>
      <w:r>
        <w:rPr>
          <w:bCs/>
          <w:color w:val="000000" w:themeColor="text1"/>
          <w:sz w:val="24"/>
          <w14:textFill>
            <w14:solidFill>
              <w14:schemeClr w14:val="tx1"/>
            </w14:solidFill>
          </w14:textFill>
        </w:rPr>
        <w:t>个工作日内，编制完成基金季度报告，并将季度报告登载在</w:t>
      </w:r>
      <w:r>
        <w:rPr>
          <w:rFonts w:hint="eastAsia"/>
          <w:bCs/>
          <w:color w:val="000000" w:themeColor="text1"/>
          <w:sz w:val="24"/>
          <w14:textFill>
            <w14:solidFill>
              <w14:schemeClr w14:val="tx1"/>
            </w14:solidFill>
          </w14:textFill>
        </w:rPr>
        <w:t>规定网站</w:t>
      </w:r>
      <w:r>
        <w:rPr>
          <w:bCs/>
          <w:color w:val="000000" w:themeColor="text1"/>
          <w:sz w:val="24"/>
          <w14:textFill>
            <w14:solidFill>
              <w14:schemeClr w14:val="tx1"/>
            </w14:solidFill>
          </w14:textFill>
        </w:rPr>
        <w:t>上</w:t>
      </w:r>
      <w:r>
        <w:rPr>
          <w:rFonts w:hint="eastAsia"/>
          <w:bCs/>
          <w:color w:val="000000" w:themeColor="text1"/>
          <w:sz w:val="24"/>
          <w14:textFill>
            <w14:solidFill>
              <w14:schemeClr w14:val="tx1"/>
            </w14:solidFill>
          </w14:textFill>
        </w:rPr>
        <w:t>，并将季度报告提示性公告登载在规定报刊</w:t>
      </w:r>
      <w:r>
        <w:rPr>
          <w:bCs/>
          <w:color w:val="000000" w:themeColor="text1"/>
          <w:sz w:val="24"/>
          <w14:textFill>
            <w14:solidFill>
              <w14:schemeClr w14:val="tx1"/>
            </w14:solidFill>
          </w14:textFill>
        </w:rPr>
        <w:t>上。</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《基金合同》生效不足</w:t>
      </w:r>
      <w:r>
        <w:rPr>
          <w:rFonts w:hint="eastAsia"/>
          <w:bCs/>
          <w:color w:val="000000" w:themeColor="text1"/>
          <w:sz w:val="24"/>
          <w14:textFill>
            <w14:solidFill>
              <w14:schemeClr w14:val="tx1"/>
            </w14:solidFill>
          </w14:textFill>
        </w:rPr>
        <w:t>两</w:t>
      </w:r>
      <w:r>
        <w:rPr>
          <w:bCs/>
          <w:color w:val="000000" w:themeColor="text1"/>
          <w:sz w:val="24"/>
          <w14:textFill>
            <w14:solidFill>
              <w14:schemeClr w14:val="tx1"/>
            </w14:solidFill>
          </w14:textFill>
        </w:rPr>
        <w:t>个月的，基金管理人可以不编制当期季度报告、</w:t>
      </w:r>
      <w:r>
        <w:rPr>
          <w:rFonts w:hint="eastAsia"/>
          <w:bCs/>
          <w:color w:val="000000" w:themeColor="text1"/>
          <w:sz w:val="24"/>
          <w14:textFill>
            <w14:solidFill>
              <w14:schemeClr w14:val="tx1"/>
            </w14:solidFill>
          </w14:textFill>
        </w:rPr>
        <w:t>中期</w:t>
      </w:r>
      <w:r>
        <w:rPr>
          <w:bCs/>
          <w:color w:val="000000" w:themeColor="text1"/>
          <w:sz w:val="24"/>
          <w14:textFill>
            <w14:solidFill>
              <w14:schemeClr w14:val="tx1"/>
            </w14:solidFill>
          </w14:textFill>
        </w:rPr>
        <w:t>报告或者年度报告。</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如报告期内出现单一投资者持有基金份额达到或超过基金总份额20%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pPr>
        <w:spacing w:line="360" w:lineRule="auto"/>
        <w:ind w:firstLine="480" w:firstLineChars="200"/>
        <w:rPr>
          <w:bCs/>
          <w:color w:val="000000" w:themeColor="text1"/>
          <w14:textFill>
            <w14:solidFill>
              <w14:schemeClr w14:val="tx1"/>
            </w14:solidFill>
          </w14:textFill>
        </w:rPr>
      </w:pPr>
      <w:r>
        <w:rPr>
          <w:bCs/>
          <w:color w:val="000000" w:themeColor="text1"/>
          <w:sz w:val="24"/>
          <w14:textFill>
            <w14:solidFill>
              <w14:schemeClr w14:val="tx1"/>
            </w14:solidFill>
          </w14:textFill>
        </w:rPr>
        <w:t>基金管理人应当在基金年度报告和</w:t>
      </w:r>
      <w:r>
        <w:rPr>
          <w:rFonts w:hint="eastAsia"/>
          <w:bCs/>
          <w:color w:val="000000" w:themeColor="text1"/>
          <w:sz w:val="24"/>
          <w14:textFill>
            <w14:solidFill>
              <w14:schemeClr w14:val="tx1"/>
            </w14:solidFill>
          </w14:textFill>
        </w:rPr>
        <w:t>中期</w:t>
      </w:r>
      <w:r>
        <w:rPr>
          <w:bCs/>
          <w:color w:val="000000" w:themeColor="text1"/>
          <w:sz w:val="24"/>
          <w14:textFill>
            <w14:solidFill>
              <w14:schemeClr w14:val="tx1"/>
            </w14:solidFill>
          </w14:textFill>
        </w:rPr>
        <w:t>报告中披露基金组合资产情况及其流动性风险分析等。</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（七）临时报告</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本基金发生重大事件，有关信息披露义务人应当在2日内编制临时报告书，并</w:t>
      </w:r>
      <w:r>
        <w:rPr>
          <w:rFonts w:hint="eastAsia"/>
          <w:bCs/>
          <w:color w:val="000000" w:themeColor="text1"/>
          <w:sz w:val="24"/>
          <w14:textFill>
            <w14:solidFill>
              <w14:schemeClr w14:val="tx1"/>
            </w14:solidFill>
          </w14:textFill>
        </w:rPr>
        <w:t>登载</w:t>
      </w:r>
      <w:r>
        <w:rPr>
          <w:bCs/>
          <w:color w:val="000000" w:themeColor="text1"/>
          <w:sz w:val="24"/>
          <w14:textFill>
            <w14:solidFill>
              <w14:schemeClr w14:val="tx1"/>
            </w14:solidFill>
          </w14:textFill>
        </w:rPr>
        <w:t>在</w:t>
      </w:r>
      <w:r>
        <w:rPr>
          <w:rFonts w:hint="eastAsia"/>
          <w:bCs/>
          <w:color w:val="000000" w:themeColor="text1"/>
          <w:sz w:val="24"/>
          <w14:textFill>
            <w14:solidFill>
              <w14:schemeClr w14:val="tx1"/>
            </w14:solidFill>
          </w14:textFill>
        </w:rPr>
        <w:t>规定报刊</w:t>
      </w:r>
      <w:r>
        <w:rPr>
          <w:bCs/>
          <w:color w:val="000000" w:themeColor="text1"/>
          <w:sz w:val="24"/>
          <w14:textFill>
            <w14:solidFill>
              <w14:schemeClr w14:val="tx1"/>
            </w14:solidFill>
          </w14:textFill>
        </w:rPr>
        <w:t>和</w:t>
      </w:r>
      <w:r>
        <w:rPr>
          <w:rFonts w:hint="eastAsia"/>
          <w:bCs/>
          <w:color w:val="000000" w:themeColor="text1"/>
          <w:sz w:val="24"/>
          <w14:textFill>
            <w14:solidFill>
              <w14:schemeClr w14:val="tx1"/>
            </w14:solidFill>
          </w14:textFill>
        </w:rPr>
        <w:t>规定网站上</w:t>
      </w:r>
      <w:r>
        <w:rPr>
          <w:bCs/>
          <w:color w:val="000000" w:themeColor="text1"/>
          <w:sz w:val="24"/>
          <w14:textFill>
            <w14:solidFill>
              <w14:schemeClr w14:val="tx1"/>
            </w14:solidFill>
          </w14:textFill>
        </w:rPr>
        <w:t>。</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前款所称重大事件，是指可能对基金份额持有人权益或者基金份额的价格产生重大影响的下列事件：</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1、基金份额持有人大会的召开</w:t>
      </w:r>
      <w:r>
        <w:rPr>
          <w:rFonts w:hint="eastAsia"/>
          <w:bCs/>
          <w:color w:val="000000" w:themeColor="text1"/>
          <w:sz w:val="24"/>
          <w14:textFill>
            <w14:solidFill>
              <w14:schemeClr w14:val="tx1"/>
            </w14:solidFill>
          </w14:textFill>
        </w:rPr>
        <w:t>及决定的事项</w:t>
      </w:r>
      <w:r>
        <w:rPr>
          <w:bCs/>
          <w:color w:val="000000" w:themeColor="text1"/>
          <w:sz w:val="24"/>
          <w14:textFill>
            <w14:solidFill>
              <w14:schemeClr w14:val="tx1"/>
            </w14:solidFill>
          </w14:textFill>
        </w:rPr>
        <w:t>；</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2、终止《基金合同》</w:t>
      </w:r>
      <w:r>
        <w:rPr>
          <w:rFonts w:hint="eastAsia"/>
          <w:bCs/>
          <w:color w:val="000000" w:themeColor="text1"/>
          <w:sz w:val="24"/>
          <w14:textFill>
            <w14:solidFill>
              <w14:schemeClr w14:val="tx1"/>
            </w14:solidFill>
          </w14:textFill>
        </w:rPr>
        <w:t>、基金清算</w:t>
      </w:r>
      <w:r>
        <w:rPr>
          <w:bCs/>
          <w:color w:val="000000" w:themeColor="text1"/>
          <w:sz w:val="24"/>
          <w14:textFill>
            <w14:solidFill>
              <w14:schemeClr w14:val="tx1"/>
            </w14:solidFill>
          </w14:textFill>
        </w:rPr>
        <w:t>；</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3、转换基金运作方式</w:t>
      </w:r>
      <w:r>
        <w:rPr>
          <w:rFonts w:hint="eastAsia"/>
          <w:bCs/>
          <w:color w:val="000000" w:themeColor="text1"/>
          <w:sz w:val="24"/>
          <w14:textFill>
            <w14:solidFill>
              <w14:schemeClr w14:val="tx1"/>
            </w14:solidFill>
          </w14:textFill>
        </w:rPr>
        <w:t>（不包括本基金开放期与封闭期运作方式的转换）、基金合并</w:t>
      </w:r>
      <w:r>
        <w:rPr>
          <w:bCs/>
          <w:color w:val="000000" w:themeColor="text1"/>
          <w:sz w:val="24"/>
          <w14:textFill>
            <w14:solidFill>
              <w14:schemeClr w14:val="tx1"/>
            </w14:solidFill>
          </w14:textFill>
        </w:rPr>
        <w:t>；</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4、更换基金管理人、基金托管人</w:t>
      </w:r>
      <w:r>
        <w:rPr>
          <w:rFonts w:hint="eastAsia"/>
          <w:bCs/>
          <w:color w:val="000000" w:themeColor="text1"/>
          <w:sz w:val="24"/>
          <w14:textFill>
            <w14:solidFill>
              <w14:schemeClr w14:val="tx1"/>
            </w14:solidFill>
          </w14:textFill>
        </w:rPr>
        <w:t>、基金份额登记机构，基金改聘会计师事务所</w:t>
      </w:r>
      <w:r>
        <w:rPr>
          <w:bCs/>
          <w:color w:val="000000" w:themeColor="text1"/>
          <w:sz w:val="24"/>
          <w14:textFill>
            <w14:solidFill>
              <w14:schemeClr w14:val="tx1"/>
            </w14:solidFill>
          </w14:textFill>
        </w:rPr>
        <w:t>；</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5、基金管理人</w:t>
      </w:r>
      <w:r>
        <w:rPr>
          <w:rFonts w:hint="eastAsia"/>
          <w:bCs/>
          <w:color w:val="000000" w:themeColor="text1"/>
          <w:sz w:val="24"/>
          <w14:textFill>
            <w14:solidFill>
              <w14:schemeClr w14:val="tx1"/>
            </w14:solidFill>
          </w14:textFill>
        </w:rPr>
        <w:t>委托基金服务机构代为办理基金的份额登记、核算、估值等事项，基金托管人委托基金服务机构代为办理基金的核算、估值、复核等事项；</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6、</w:t>
      </w:r>
      <w:r>
        <w:rPr>
          <w:bCs/>
          <w:color w:val="000000" w:themeColor="text1"/>
          <w:sz w:val="24"/>
          <w14:textFill>
            <w14:solidFill>
              <w14:schemeClr w14:val="tx1"/>
            </w14:solidFill>
          </w14:textFill>
        </w:rPr>
        <w:t>基金管理人、基金托管人的法定名称、住所发生变更；</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7、基金管理人</w:t>
      </w:r>
      <w:r>
        <w:rPr>
          <w:rFonts w:hint="eastAsia"/>
          <w:bCs/>
          <w:color w:val="000000" w:themeColor="text1"/>
          <w:sz w:val="24"/>
          <w14:textFill>
            <w14:solidFill>
              <w14:schemeClr w14:val="tx1"/>
            </w14:solidFill>
          </w14:textFill>
        </w:rPr>
        <w:t>变更持有百分之五以上股权的</w:t>
      </w:r>
      <w:r>
        <w:rPr>
          <w:bCs/>
          <w:color w:val="000000" w:themeColor="text1"/>
          <w:sz w:val="24"/>
          <w14:textFill>
            <w14:solidFill>
              <w14:schemeClr w14:val="tx1"/>
            </w14:solidFill>
          </w14:textFill>
        </w:rPr>
        <w:t>股东</w:t>
      </w:r>
      <w:r>
        <w:rPr>
          <w:rFonts w:hint="eastAsia"/>
          <w:bCs/>
          <w:color w:val="000000" w:themeColor="text1"/>
          <w:sz w:val="24"/>
          <w14:textFill>
            <w14:solidFill>
              <w14:schemeClr w14:val="tx1"/>
            </w14:solidFill>
          </w14:textFill>
        </w:rPr>
        <w:t>、基金管理人的实际控制人</w:t>
      </w:r>
      <w:r>
        <w:rPr>
          <w:bCs/>
          <w:color w:val="000000" w:themeColor="text1"/>
          <w:sz w:val="24"/>
          <w14:textFill>
            <w14:solidFill>
              <w14:schemeClr w14:val="tx1"/>
            </w14:solidFill>
          </w14:textFill>
        </w:rPr>
        <w:t>变更；</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8、基金募集期延长</w:t>
      </w:r>
      <w:r>
        <w:rPr>
          <w:rFonts w:hint="eastAsia"/>
          <w:bCs/>
          <w:color w:val="000000" w:themeColor="text1"/>
          <w:sz w:val="24"/>
          <w14:textFill>
            <w14:solidFill>
              <w14:schemeClr w14:val="tx1"/>
            </w14:solidFill>
          </w14:textFill>
        </w:rPr>
        <w:t>或提前结束募集</w:t>
      </w:r>
      <w:r>
        <w:rPr>
          <w:bCs/>
          <w:color w:val="000000" w:themeColor="text1"/>
          <w:sz w:val="24"/>
          <w14:textFill>
            <w14:solidFill>
              <w14:schemeClr w14:val="tx1"/>
            </w14:solidFill>
          </w14:textFill>
        </w:rPr>
        <w:t>；</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9、基金管理人的高级管理人员、基金经理和基金托管人的专门基金托管部门负责人发生变动；</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10、基金管理人的董事在</w:t>
      </w:r>
      <w:r>
        <w:rPr>
          <w:rFonts w:hint="eastAsia"/>
          <w:bCs/>
          <w:color w:val="000000" w:themeColor="text1"/>
          <w:sz w:val="24"/>
          <w14:textFill>
            <w14:solidFill>
              <w14:schemeClr w14:val="tx1"/>
            </w14:solidFill>
          </w14:textFill>
        </w:rPr>
        <w:t>最近</w:t>
      </w:r>
      <w:r>
        <w:rPr>
          <w:bCs/>
          <w:color w:val="000000" w:themeColor="text1"/>
          <w:sz w:val="24"/>
          <w14:textFill>
            <w14:solidFill>
              <w14:schemeClr w14:val="tx1"/>
            </w14:solidFill>
          </w14:textFill>
        </w:rPr>
        <w:t>12</w:t>
      </w:r>
      <w:r>
        <w:rPr>
          <w:rFonts w:hint="eastAsia"/>
          <w:bCs/>
          <w:color w:val="000000" w:themeColor="text1"/>
          <w:sz w:val="24"/>
          <w14:textFill>
            <w14:solidFill>
              <w14:schemeClr w14:val="tx1"/>
            </w14:solidFill>
          </w14:textFill>
        </w:rPr>
        <w:t>个月</w:t>
      </w:r>
      <w:r>
        <w:rPr>
          <w:bCs/>
          <w:color w:val="000000" w:themeColor="text1"/>
          <w:sz w:val="24"/>
          <w14:textFill>
            <w14:solidFill>
              <w14:schemeClr w14:val="tx1"/>
            </w14:solidFill>
          </w14:textFill>
        </w:rPr>
        <w:t>内变更超过百分之五十；基金管理人、基金托管人专门基金托管部门的主要业务人员在</w:t>
      </w:r>
      <w:r>
        <w:rPr>
          <w:rFonts w:hint="eastAsia"/>
          <w:bCs/>
          <w:color w:val="000000" w:themeColor="text1"/>
          <w:sz w:val="24"/>
          <w14:textFill>
            <w14:solidFill>
              <w14:schemeClr w14:val="tx1"/>
            </w14:solidFill>
          </w14:textFill>
        </w:rPr>
        <w:t>最近</w:t>
      </w:r>
      <w:r>
        <w:rPr>
          <w:bCs/>
          <w:color w:val="000000" w:themeColor="text1"/>
          <w:sz w:val="24"/>
          <w14:textFill>
            <w14:solidFill>
              <w14:schemeClr w14:val="tx1"/>
            </w14:solidFill>
          </w14:textFill>
        </w:rPr>
        <w:t>12</w:t>
      </w:r>
      <w:r>
        <w:rPr>
          <w:rFonts w:hint="eastAsia"/>
          <w:bCs/>
          <w:color w:val="000000" w:themeColor="text1"/>
          <w:sz w:val="24"/>
          <w14:textFill>
            <w14:solidFill>
              <w14:schemeClr w14:val="tx1"/>
            </w14:solidFill>
          </w14:textFill>
        </w:rPr>
        <w:t>个月</w:t>
      </w:r>
      <w:r>
        <w:rPr>
          <w:bCs/>
          <w:color w:val="000000" w:themeColor="text1"/>
          <w:sz w:val="24"/>
          <w14:textFill>
            <w14:solidFill>
              <w14:schemeClr w14:val="tx1"/>
            </w14:solidFill>
          </w14:textFill>
        </w:rPr>
        <w:t>内变动超过百分之三十；</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11、涉及基金管理</w:t>
      </w:r>
      <w:r>
        <w:rPr>
          <w:rFonts w:hint="eastAsia"/>
          <w:bCs/>
          <w:color w:val="000000" w:themeColor="text1"/>
          <w:sz w:val="24"/>
          <w14:textFill>
            <w14:solidFill>
              <w14:schemeClr w14:val="tx1"/>
            </w14:solidFill>
          </w14:textFill>
        </w:rPr>
        <w:t>业务</w:t>
      </w:r>
      <w:r>
        <w:rPr>
          <w:bCs/>
          <w:color w:val="000000" w:themeColor="text1"/>
          <w:sz w:val="24"/>
          <w14:textFill>
            <w14:solidFill>
              <w14:schemeClr w14:val="tx1"/>
            </w14:solidFill>
          </w14:textFill>
        </w:rPr>
        <w:t>、基金财产、基金托管业务的诉讼</w:t>
      </w:r>
      <w:r>
        <w:rPr>
          <w:rFonts w:hint="eastAsia"/>
          <w:bCs/>
          <w:color w:val="000000" w:themeColor="text1"/>
          <w:sz w:val="24"/>
          <w14:textFill>
            <w14:solidFill>
              <w14:schemeClr w14:val="tx1"/>
            </w14:solidFill>
          </w14:textFill>
        </w:rPr>
        <w:t>或者仲裁</w:t>
      </w:r>
      <w:r>
        <w:rPr>
          <w:bCs/>
          <w:color w:val="000000" w:themeColor="text1"/>
          <w:sz w:val="24"/>
          <w14:textFill>
            <w14:solidFill>
              <w14:schemeClr w14:val="tx1"/>
            </w14:solidFill>
          </w14:textFill>
        </w:rPr>
        <w:t>；</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12、基金管理人</w:t>
      </w:r>
      <w:r>
        <w:rPr>
          <w:rFonts w:hint="eastAsia"/>
          <w:bCs/>
          <w:color w:val="000000" w:themeColor="text1"/>
          <w:sz w:val="24"/>
          <w14:textFill>
            <w14:solidFill>
              <w14:schemeClr w14:val="tx1"/>
            </w14:solidFill>
          </w14:textFill>
        </w:rPr>
        <w:t>或</w:t>
      </w:r>
      <w:r>
        <w:rPr>
          <w:bCs/>
          <w:color w:val="000000" w:themeColor="text1"/>
          <w:sz w:val="24"/>
          <w14:textFill>
            <w14:solidFill>
              <w14:schemeClr w14:val="tx1"/>
            </w14:solidFill>
          </w14:textFill>
        </w:rPr>
        <w:t>其高级管理人员、基金经理</w:t>
      </w:r>
      <w:r>
        <w:rPr>
          <w:rFonts w:hint="eastAsia"/>
          <w:bCs/>
          <w:color w:val="000000" w:themeColor="text1"/>
          <w:sz w:val="24"/>
          <w14:textFill>
            <w14:solidFill>
              <w14:schemeClr w14:val="tx1"/>
            </w14:solidFill>
          </w14:textFill>
        </w:rPr>
        <w:t>因基金管理业务相关行为受到重大</w:t>
      </w:r>
      <w:r>
        <w:rPr>
          <w:bCs/>
          <w:color w:val="000000" w:themeColor="text1"/>
          <w:sz w:val="24"/>
          <w14:textFill>
            <w14:solidFill>
              <w14:schemeClr w14:val="tx1"/>
            </w14:solidFill>
          </w14:textFill>
        </w:rPr>
        <w:t>行政处罚</w:t>
      </w:r>
      <w:r>
        <w:rPr>
          <w:rFonts w:hint="eastAsia"/>
          <w:bCs/>
          <w:color w:val="000000" w:themeColor="text1"/>
          <w:sz w:val="24"/>
          <w14:textFill>
            <w14:solidFill>
              <w14:schemeClr w14:val="tx1"/>
            </w14:solidFill>
          </w14:textFill>
        </w:rPr>
        <w:t>、刑事处罚</w:t>
      </w:r>
      <w:r>
        <w:rPr>
          <w:bCs/>
          <w:color w:val="000000" w:themeColor="text1"/>
          <w:sz w:val="24"/>
          <w14:textFill>
            <w14:solidFill>
              <w14:schemeClr w14:val="tx1"/>
            </w14:solidFill>
          </w14:textFill>
        </w:rPr>
        <w:t>，基金托管人</w:t>
      </w:r>
      <w:r>
        <w:rPr>
          <w:rFonts w:hint="eastAsia"/>
          <w:bCs/>
          <w:color w:val="000000" w:themeColor="text1"/>
          <w:sz w:val="24"/>
          <w14:textFill>
            <w14:solidFill>
              <w14:schemeClr w14:val="tx1"/>
            </w14:solidFill>
          </w14:textFill>
        </w:rPr>
        <w:t>或</w:t>
      </w:r>
      <w:r>
        <w:rPr>
          <w:bCs/>
          <w:color w:val="000000" w:themeColor="text1"/>
          <w:sz w:val="24"/>
          <w14:textFill>
            <w14:solidFill>
              <w14:schemeClr w14:val="tx1"/>
            </w14:solidFill>
          </w14:textFill>
        </w:rPr>
        <w:t>其专门基金托管部门负责人</w:t>
      </w:r>
      <w:r>
        <w:rPr>
          <w:rFonts w:hint="eastAsia"/>
          <w:bCs/>
          <w:color w:val="000000" w:themeColor="text1"/>
          <w:sz w:val="24"/>
          <w14:textFill>
            <w14:solidFill>
              <w14:schemeClr w14:val="tx1"/>
            </w14:solidFill>
          </w14:textFill>
        </w:rPr>
        <w:t>因基金托管业务相关行为受到重大</w:t>
      </w:r>
      <w:r>
        <w:rPr>
          <w:bCs/>
          <w:color w:val="000000" w:themeColor="text1"/>
          <w:sz w:val="24"/>
          <w14:textFill>
            <w14:solidFill>
              <w14:schemeClr w14:val="tx1"/>
            </w14:solidFill>
          </w14:textFill>
        </w:rPr>
        <w:t>行政处罚</w:t>
      </w:r>
      <w:r>
        <w:rPr>
          <w:rFonts w:hint="eastAsia"/>
          <w:bCs/>
          <w:color w:val="000000" w:themeColor="text1"/>
          <w:sz w:val="24"/>
          <w14:textFill>
            <w14:solidFill>
              <w14:schemeClr w14:val="tx1"/>
            </w14:solidFill>
          </w14:textFill>
        </w:rPr>
        <w:t>、刑事处罚</w:t>
      </w:r>
      <w:r>
        <w:rPr>
          <w:bCs/>
          <w:color w:val="000000" w:themeColor="text1"/>
          <w:sz w:val="24"/>
          <w14:textFill>
            <w14:solidFill>
              <w14:schemeClr w14:val="tx1"/>
            </w14:solidFill>
          </w14:textFill>
        </w:rPr>
        <w:t>；</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13、基金管理人</w:t>
      </w:r>
      <w:r>
        <w:rPr>
          <w:rFonts w:hint="eastAsia"/>
          <w:bCs/>
          <w:color w:val="000000" w:themeColor="text1"/>
          <w:sz w:val="24"/>
          <w14:textFill>
            <w14:solidFill>
              <w14:schemeClr w14:val="tx1"/>
            </w14:solidFill>
          </w14:textFill>
        </w:rPr>
        <w:t>运用基金财产买卖基金管理人、基金托管人及其控股股东、实际控制人或者与其有重大利害关系的公司发行的证券或者承销期内承销的证券，或者从事其他</w:t>
      </w:r>
      <w:r>
        <w:rPr>
          <w:bCs/>
          <w:color w:val="000000" w:themeColor="text1"/>
          <w:sz w:val="24"/>
          <w14:textFill>
            <w14:solidFill>
              <w14:schemeClr w14:val="tx1"/>
            </w14:solidFill>
          </w14:textFill>
        </w:rPr>
        <w:t>重大关联交易事项</w:t>
      </w:r>
      <w:r>
        <w:rPr>
          <w:rFonts w:hint="eastAsia"/>
          <w:bCs/>
          <w:color w:val="000000" w:themeColor="text1"/>
          <w:sz w:val="24"/>
          <w14:textFill>
            <w14:solidFill>
              <w14:schemeClr w14:val="tx1"/>
            </w14:solidFill>
          </w14:textFill>
        </w:rPr>
        <w:t>，但中国证监会另有规定的除外</w:t>
      </w:r>
      <w:r>
        <w:rPr>
          <w:bCs/>
          <w:color w:val="000000" w:themeColor="text1"/>
          <w:sz w:val="24"/>
          <w14:textFill>
            <w14:solidFill>
              <w14:schemeClr w14:val="tx1"/>
            </w14:solidFill>
          </w14:textFill>
        </w:rPr>
        <w:t>；</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14、基金收益分配事项；</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15、管理费、托管费</w:t>
      </w:r>
      <w:r>
        <w:rPr>
          <w:rFonts w:hint="eastAsia"/>
          <w:bCs/>
          <w:color w:val="000000" w:themeColor="text1"/>
          <w:sz w:val="24"/>
          <w14:textFill>
            <w14:solidFill>
              <w14:schemeClr w14:val="tx1"/>
            </w14:solidFill>
          </w14:textFill>
        </w:rPr>
        <w:t>、申购费、赎回费</w:t>
      </w:r>
      <w:r>
        <w:rPr>
          <w:bCs/>
          <w:color w:val="000000" w:themeColor="text1"/>
          <w:sz w:val="24"/>
          <w14:textFill>
            <w14:solidFill>
              <w14:schemeClr w14:val="tx1"/>
            </w14:solidFill>
          </w14:textFill>
        </w:rPr>
        <w:t>等费用计提标准、计提方式和费率发生变更；</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16、基金份额净值计价错误达基金份额净值百分之零点五；</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17、本基金进入开放期；</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18、本基金</w:t>
      </w:r>
      <w:r>
        <w:rPr>
          <w:rFonts w:hint="eastAsia"/>
          <w:bCs/>
          <w:color w:val="000000" w:themeColor="text1"/>
          <w:sz w:val="24"/>
          <w14:textFill>
            <w14:solidFill>
              <w14:schemeClr w14:val="tx1"/>
            </w14:solidFill>
          </w14:textFill>
        </w:rPr>
        <w:t>在开放期</w:t>
      </w:r>
      <w:r>
        <w:rPr>
          <w:bCs/>
          <w:color w:val="000000" w:themeColor="text1"/>
          <w:sz w:val="24"/>
          <w14:textFill>
            <w14:solidFill>
              <w14:schemeClr w14:val="tx1"/>
            </w14:solidFill>
          </w14:textFill>
        </w:rPr>
        <w:t>发生巨额赎回并</w:t>
      </w:r>
      <w:r>
        <w:rPr>
          <w:rFonts w:hint="eastAsia"/>
          <w:bCs/>
          <w:color w:val="000000" w:themeColor="text1"/>
          <w:sz w:val="24"/>
          <w14:textFill>
            <w14:solidFill>
              <w14:schemeClr w14:val="tx1"/>
            </w14:solidFill>
          </w14:textFill>
        </w:rPr>
        <w:t>延缓支付赎回款项</w:t>
      </w:r>
      <w:r>
        <w:rPr>
          <w:bCs/>
          <w:color w:val="000000" w:themeColor="text1"/>
          <w:sz w:val="24"/>
          <w14:textFill>
            <w14:solidFill>
              <w14:schemeClr w14:val="tx1"/>
            </w14:solidFill>
          </w14:textFill>
        </w:rPr>
        <w:t>；</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19、</w:t>
      </w:r>
      <w:r>
        <w:rPr>
          <w:rFonts w:hint="eastAsia"/>
          <w:bCs/>
          <w:color w:val="000000" w:themeColor="text1"/>
          <w:sz w:val="24"/>
          <w14:textFill>
            <w14:solidFill>
              <w14:schemeClr w14:val="tx1"/>
            </w14:solidFill>
          </w14:textFill>
        </w:rPr>
        <w:t>本基金</w:t>
      </w:r>
      <w:r>
        <w:rPr>
          <w:bCs/>
          <w:color w:val="000000" w:themeColor="text1"/>
          <w:sz w:val="24"/>
          <w14:textFill>
            <w14:solidFill>
              <w14:schemeClr w14:val="tx1"/>
            </w14:solidFill>
          </w14:textFill>
        </w:rPr>
        <w:t>暂停接受申购、赎回申请</w:t>
      </w:r>
      <w:r>
        <w:rPr>
          <w:rFonts w:hint="eastAsia"/>
          <w:bCs/>
          <w:color w:val="000000" w:themeColor="text1"/>
          <w:sz w:val="24"/>
          <w14:textFill>
            <w14:solidFill>
              <w14:schemeClr w14:val="tx1"/>
            </w14:solidFill>
          </w14:textFill>
        </w:rPr>
        <w:t>或</w:t>
      </w:r>
      <w:r>
        <w:rPr>
          <w:bCs/>
          <w:color w:val="000000" w:themeColor="text1"/>
          <w:sz w:val="24"/>
          <w14:textFill>
            <w14:solidFill>
              <w14:schemeClr w14:val="tx1"/>
            </w14:solidFill>
          </w14:textFill>
        </w:rPr>
        <w:t>重新接受申购、赎回申请；</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20、发生涉及基金申购、赎回事项调整或潜在影响投资者赎回等重大事项时；</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21、基金管理人采用摆动定价机制进行估值；</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22、</w:t>
      </w:r>
      <w:r>
        <w:rPr>
          <w:rFonts w:hint="eastAsia"/>
          <w:bCs/>
          <w:color w:val="000000" w:themeColor="text1"/>
          <w:sz w:val="24"/>
          <w14:textFill>
            <w14:solidFill>
              <w14:schemeClr w14:val="tx1"/>
            </w14:solidFill>
          </w14:textFill>
        </w:rPr>
        <w:t>基金信息披露义务人认为可能对基金份额持有人权益或者基金份额的价格产生重大影响的其他事项或</w:t>
      </w:r>
      <w:r>
        <w:rPr>
          <w:bCs/>
          <w:color w:val="000000" w:themeColor="text1"/>
          <w:sz w:val="24"/>
          <w14:textFill>
            <w14:solidFill>
              <w14:schemeClr w14:val="tx1"/>
            </w14:solidFill>
          </w14:textFill>
        </w:rPr>
        <w:t>中国证监会规定的其他事项。</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（八）澄清公告</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在《基金合同》存续期限内，任何公共</w:t>
      </w:r>
      <w:r>
        <w:rPr>
          <w:rFonts w:hint="eastAsia"/>
          <w:bCs/>
          <w:color w:val="000000" w:themeColor="text1"/>
          <w:sz w:val="24"/>
          <w14:textFill>
            <w14:solidFill>
              <w14:schemeClr w14:val="tx1"/>
            </w14:solidFill>
          </w14:textFill>
        </w:rPr>
        <w:t>媒介</w:t>
      </w:r>
      <w:r>
        <w:rPr>
          <w:bCs/>
          <w:color w:val="000000" w:themeColor="text1"/>
          <w:sz w:val="24"/>
          <w14:textFill>
            <w14:solidFill>
              <w14:schemeClr w14:val="tx1"/>
            </w14:solidFill>
          </w14:textFill>
        </w:rPr>
        <w:t>中出现的或者在市场上流传的消息可能对基金份额价格产生误导性影响或者引起较大波动的，</w:t>
      </w:r>
      <w:r>
        <w:rPr>
          <w:rFonts w:hint="eastAsia"/>
          <w:bCs/>
          <w:color w:val="000000" w:themeColor="text1"/>
          <w:sz w:val="24"/>
          <w14:textFill>
            <w14:solidFill>
              <w14:schemeClr w14:val="tx1"/>
            </w14:solidFill>
          </w14:textFill>
        </w:rPr>
        <w:t>以及可能损害基金份额持有人权益的，</w:t>
      </w:r>
      <w:r>
        <w:rPr>
          <w:bCs/>
          <w:color w:val="000000" w:themeColor="text1"/>
          <w:sz w:val="24"/>
          <w14:textFill>
            <w14:solidFill>
              <w14:schemeClr w14:val="tx1"/>
            </w14:solidFill>
          </w14:textFill>
        </w:rPr>
        <w:t>相关信息披露义务人知悉后应当立即对该消息进行公开澄清。</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（九）基金份额持有人大会决议</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基金份额持有人大会决定的事项，应当依法报</w:t>
      </w:r>
      <w:r>
        <w:rPr>
          <w:rFonts w:hint="eastAsia"/>
          <w:bCs/>
          <w:color w:val="000000" w:themeColor="text1"/>
          <w:sz w:val="24"/>
          <w14:textFill>
            <w14:solidFill>
              <w14:schemeClr w14:val="tx1"/>
            </w14:solidFill>
          </w14:textFill>
        </w:rPr>
        <w:t>中国证监会</w:t>
      </w:r>
      <w:r>
        <w:rPr>
          <w:bCs/>
          <w:color w:val="000000" w:themeColor="text1"/>
          <w:sz w:val="24"/>
          <w14:textFill>
            <w14:solidFill>
              <w14:schemeClr w14:val="tx1"/>
            </w14:solidFill>
          </w14:textFill>
        </w:rPr>
        <w:t>备案，并予以公告。</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（十）实施侧袋机制期间的信息披露</w:t>
      </w:r>
    </w:p>
    <w:p>
      <w:pPr>
        <w:spacing w:line="360" w:lineRule="auto"/>
        <w:ind w:firstLine="480" w:firstLineChars="200"/>
        <w:rPr>
          <w:b/>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本基金实施侧袋机制的，相关信息披露义务人应当根据法律法规、基金合同和招募说明书的规定进行信息披露，详见招募说明书的规定。</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（十</w:t>
      </w:r>
      <w:r>
        <w:rPr>
          <w:rFonts w:hint="eastAsia"/>
          <w:bCs/>
          <w:color w:val="000000" w:themeColor="text1"/>
          <w:sz w:val="24"/>
          <w14:textFill>
            <w14:solidFill>
              <w14:schemeClr w14:val="tx1"/>
            </w14:solidFill>
          </w14:textFill>
        </w:rPr>
        <w:t>一</w:t>
      </w:r>
      <w:r>
        <w:rPr>
          <w:bCs/>
          <w:color w:val="000000" w:themeColor="text1"/>
          <w:sz w:val="24"/>
          <w14:textFill>
            <w14:solidFill>
              <w14:schemeClr w14:val="tx1"/>
            </w14:solidFill>
          </w14:textFill>
        </w:rPr>
        <w:t>）中国证监会规定的其他信息。</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六、信息披露事务管理</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基金管理人、基金托管人应当建立健全信息披露管理制度，指定专</w:t>
      </w:r>
      <w:r>
        <w:rPr>
          <w:rFonts w:hint="eastAsia"/>
          <w:bCs/>
          <w:color w:val="000000" w:themeColor="text1"/>
          <w:sz w:val="24"/>
          <w14:textFill>
            <w14:solidFill>
              <w14:schemeClr w14:val="tx1"/>
            </w14:solidFill>
          </w14:textFill>
        </w:rPr>
        <w:t>门部门及高级管理人员</w:t>
      </w:r>
      <w:r>
        <w:rPr>
          <w:bCs/>
          <w:color w:val="000000" w:themeColor="text1"/>
          <w:sz w:val="24"/>
          <w14:textFill>
            <w14:solidFill>
              <w14:schemeClr w14:val="tx1"/>
            </w14:solidFill>
          </w14:textFill>
        </w:rPr>
        <w:t>负责管理信息披露事务。</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基金信息披露义务人公开披露基金信息，应当符合中国证监会相关基金信息披露内容与格式准则</w:t>
      </w:r>
      <w:r>
        <w:rPr>
          <w:rFonts w:hint="eastAsia"/>
          <w:bCs/>
          <w:color w:val="000000" w:themeColor="text1"/>
          <w:sz w:val="24"/>
          <w14:textFill>
            <w14:solidFill>
              <w14:schemeClr w14:val="tx1"/>
            </w14:solidFill>
          </w14:textFill>
        </w:rPr>
        <w:t>等法规</w:t>
      </w:r>
      <w:r>
        <w:rPr>
          <w:bCs/>
          <w:color w:val="000000" w:themeColor="text1"/>
          <w:sz w:val="24"/>
          <w14:textFill>
            <w14:solidFill>
              <w14:schemeClr w14:val="tx1"/>
            </w14:solidFill>
          </w14:textFill>
        </w:rPr>
        <w:t>的规定。</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基金托管人应当按照相关法律法规、中国证监会的规定和《基金合同》的约定，对基金管理人编制的基金资产净值、基金份额净值、基金份额申购赎回价格、基金定期报告</w:t>
      </w: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更新的招募说明书</w:t>
      </w:r>
      <w:r>
        <w:rPr>
          <w:rFonts w:hint="eastAsia"/>
          <w:bCs/>
          <w:color w:val="000000" w:themeColor="text1"/>
          <w:sz w:val="24"/>
          <w14:textFill>
            <w14:solidFill>
              <w14:schemeClr w14:val="tx1"/>
            </w14:solidFill>
          </w14:textFill>
        </w:rPr>
        <w:t>、基金产品资料概要、基金清算报告</w:t>
      </w:r>
      <w:r>
        <w:rPr>
          <w:bCs/>
          <w:color w:val="000000" w:themeColor="text1"/>
          <w:sz w:val="24"/>
          <w14:textFill>
            <w14:solidFill>
              <w14:schemeClr w14:val="tx1"/>
            </w14:solidFill>
          </w14:textFill>
        </w:rPr>
        <w:t>等公开披露的相关基金信息进行复核、审查，并向基金管理人</w:t>
      </w:r>
      <w:r>
        <w:rPr>
          <w:rFonts w:hint="eastAsia"/>
          <w:bCs/>
          <w:color w:val="000000" w:themeColor="text1"/>
          <w:sz w:val="24"/>
          <w14:textFill>
            <w14:solidFill>
              <w14:schemeClr w14:val="tx1"/>
            </w14:solidFill>
          </w14:textFill>
        </w:rPr>
        <w:t>进行</w:t>
      </w:r>
      <w:r>
        <w:rPr>
          <w:bCs/>
          <w:color w:val="000000" w:themeColor="text1"/>
          <w:sz w:val="24"/>
          <w14:textFill>
            <w14:solidFill>
              <w14:schemeClr w14:val="tx1"/>
            </w14:solidFill>
          </w14:textFill>
        </w:rPr>
        <w:t>书面或</w:t>
      </w:r>
      <w:r>
        <w:rPr>
          <w:rFonts w:hint="eastAsia"/>
          <w:bCs/>
          <w:color w:val="000000" w:themeColor="text1"/>
          <w:sz w:val="24"/>
          <w14:textFill>
            <w14:solidFill>
              <w14:schemeClr w14:val="tx1"/>
            </w14:solidFill>
          </w14:textFill>
        </w:rPr>
        <w:t>电子</w:t>
      </w:r>
      <w:r>
        <w:rPr>
          <w:bCs/>
          <w:color w:val="000000" w:themeColor="text1"/>
          <w:sz w:val="24"/>
          <w14:textFill>
            <w14:solidFill>
              <w14:schemeClr w14:val="tx1"/>
            </w14:solidFill>
          </w14:textFill>
        </w:rPr>
        <w:t>确认。</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基金管理人、基金托管人应当在</w:t>
      </w:r>
      <w:r>
        <w:rPr>
          <w:rFonts w:hint="eastAsia"/>
          <w:bCs/>
          <w:color w:val="000000" w:themeColor="text1"/>
          <w:sz w:val="24"/>
          <w14:textFill>
            <w14:solidFill>
              <w14:schemeClr w14:val="tx1"/>
            </w14:solidFill>
          </w14:textFill>
        </w:rPr>
        <w:t>规定报刊</w:t>
      </w:r>
      <w:r>
        <w:rPr>
          <w:bCs/>
          <w:color w:val="000000" w:themeColor="text1"/>
          <w:sz w:val="24"/>
          <w14:textFill>
            <w14:solidFill>
              <w14:schemeClr w14:val="tx1"/>
            </w14:solidFill>
          </w14:textFill>
        </w:rPr>
        <w:t>中选择披露信息的报刊。</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基金管理人、基金托管人应当向中国证监会基金电子披露网站报送拟披露的基金信息，并保证相关报送信息的真实、准确、完整、及时。</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基金管理人、基金托管人除依法在</w:t>
      </w:r>
      <w:r>
        <w:rPr>
          <w:rFonts w:hint="eastAsia"/>
          <w:bCs/>
          <w:color w:val="000000" w:themeColor="text1"/>
          <w:sz w:val="24"/>
          <w14:textFill>
            <w14:solidFill>
              <w14:schemeClr w14:val="tx1"/>
            </w14:solidFill>
          </w14:textFill>
        </w:rPr>
        <w:t>规</w:t>
      </w:r>
      <w:r>
        <w:rPr>
          <w:bCs/>
          <w:color w:val="000000" w:themeColor="text1"/>
          <w:sz w:val="24"/>
          <w14:textFill>
            <w14:solidFill>
              <w14:schemeClr w14:val="tx1"/>
            </w14:solidFill>
          </w14:textFill>
        </w:rPr>
        <w:t>定</w:t>
      </w:r>
      <w:r>
        <w:rPr>
          <w:rFonts w:hint="eastAsia"/>
          <w:bCs/>
          <w:color w:val="000000" w:themeColor="text1"/>
          <w:sz w:val="24"/>
          <w14:textFill>
            <w14:solidFill>
              <w14:schemeClr w14:val="tx1"/>
            </w14:solidFill>
          </w14:textFill>
        </w:rPr>
        <w:t>媒介</w:t>
      </w:r>
      <w:r>
        <w:rPr>
          <w:bCs/>
          <w:color w:val="000000" w:themeColor="text1"/>
          <w:sz w:val="24"/>
          <w14:textFill>
            <w14:solidFill>
              <w14:schemeClr w14:val="tx1"/>
            </w14:solidFill>
          </w14:textFill>
        </w:rPr>
        <w:t>上披露信息外，还可以根据需要在其他公共</w:t>
      </w:r>
      <w:r>
        <w:rPr>
          <w:rFonts w:hint="eastAsia"/>
          <w:bCs/>
          <w:color w:val="000000" w:themeColor="text1"/>
          <w:sz w:val="24"/>
          <w14:textFill>
            <w14:solidFill>
              <w14:schemeClr w14:val="tx1"/>
            </w14:solidFill>
          </w14:textFill>
        </w:rPr>
        <w:t>媒介</w:t>
      </w:r>
      <w:r>
        <w:rPr>
          <w:bCs/>
          <w:color w:val="000000" w:themeColor="text1"/>
          <w:sz w:val="24"/>
          <w14:textFill>
            <w14:solidFill>
              <w14:schemeClr w14:val="tx1"/>
            </w14:solidFill>
          </w14:textFill>
        </w:rPr>
        <w:t>披露信息，但是其他公共</w:t>
      </w:r>
      <w:r>
        <w:rPr>
          <w:rFonts w:hint="eastAsia"/>
          <w:bCs/>
          <w:color w:val="000000" w:themeColor="text1"/>
          <w:sz w:val="24"/>
          <w14:textFill>
            <w14:solidFill>
              <w14:schemeClr w14:val="tx1"/>
            </w14:solidFill>
          </w14:textFill>
        </w:rPr>
        <w:t>媒介</w:t>
      </w:r>
      <w:r>
        <w:rPr>
          <w:bCs/>
          <w:color w:val="000000" w:themeColor="text1"/>
          <w:sz w:val="24"/>
          <w14:textFill>
            <w14:solidFill>
              <w14:schemeClr w14:val="tx1"/>
            </w14:solidFill>
          </w14:textFill>
        </w:rPr>
        <w:t>不得早于</w:t>
      </w:r>
      <w:r>
        <w:rPr>
          <w:rFonts w:hint="eastAsia"/>
          <w:bCs/>
          <w:color w:val="000000" w:themeColor="text1"/>
          <w:sz w:val="24"/>
          <w14:textFill>
            <w14:solidFill>
              <w14:schemeClr w14:val="tx1"/>
            </w14:solidFill>
          </w14:textFill>
        </w:rPr>
        <w:t>规</w:t>
      </w:r>
      <w:r>
        <w:rPr>
          <w:bCs/>
          <w:color w:val="000000" w:themeColor="text1"/>
          <w:sz w:val="24"/>
          <w14:textFill>
            <w14:solidFill>
              <w14:schemeClr w14:val="tx1"/>
            </w14:solidFill>
          </w14:textFill>
        </w:rPr>
        <w:t>定</w:t>
      </w:r>
      <w:r>
        <w:rPr>
          <w:rFonts w:hint="eastAsia"/>
          <w:bCs/>
          <w:color w:val="000000" w:themeColor="text1"/>
          <w:sz w:val="24"/>
          <w14:textFill>
            <w14:solidFill>
              <w14:schemeClr w14:val="tx1"/>
            </w14:solidFill>
          </w14:textFill>
        </w:rPr>
        <w:t>媒介</w:t>
      </w:r>
      <w:r>
        <w:rPr>
          <w:bCs/>
          <w:color w:val="000000" w:themeColor="text1"/>
          <w:sz w:val="24"/>
          <w14:textFill>
            <w14:solidFill>
              <w14:schemeClr w14:val="tx1"/>
            </w14:solidFill>
          </w14:textFill>
        </w:rPr>
        <w:t>披露信息，并且在不同媒介上披露同一信息的内容应当一致。</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为基金信息披露义务人公开披露的基金信息出具审计报告、法律意见书的专业机构，应当制作工作底稿，并将相关档案至少保存到《基金合同》终止后</w:t>
      </w:r>
      <w:r>
        <w:rPr>
          <w:rFonts w:hint="eastAsia"/>
          <w:bCs/>
          <w:color w:val="000000" w:themeColor="text1"/>
          <w:sz w:val="24"/>
          <w14:textFill>
            <w14:solidFill>
              <w14:schemeClr w14:val="tx1"/>
            </w14:solidFill>
          </w14:textFill>
        </w:rPr>
        <w:t>10</w:t>
      </w:r>
      <w:r>
        <w:rPr>
          <w:bCs/>
          <w:color w:val="000000" w:themeColor="text1"/>
          <w:sz w:val="24"/>
          <w14:textFill>
            <w14:solidFill>
              <w14:schemeClr w14:val="tx1"/>
            </w14:solidFill>
          </w14:textFill>
        </w:rPr>
        <w:t xml:space="preserve">     年。</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七、信息披露文件的存放与查阅</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依法必须披露的信息</w:t>
      </w:r>
      <w:r>
        <w:rPr>
          <w:bCs/>
          <w:color w:val="000000" w:themeColor="text1"/>
          <w:sz w:val="24"/>
          <w14:textFill>
            <w14:solidFill>
              <w14:schemeClr w14:val="tx1"/>
            </w14:solidFill>
          </w14:textFill>
        </w:rPr>
        <w:t>公布后，基金管理人、基金托管人</w:t>
      </w:r>
      <w:r>
        <w:rPr>
          <w:rFonts w:hint="eastAsia"/>
          <w:bCs/>
          <w:color w:val="000000" w:themeColor="text1"/>
          <w:sz w:val="24"/>
          <w14:textFill>
            <w14:solidFill>
              <w14:schemeClr w14:val="tx1"/>
            </w14:solidFill>
          </w14:textFill>
        </w:rPr>
        <w:t>应当按照相关法律法规规定将信息置备于各自</w:t>
      </w:r>
      <w:r>
        <w:rPr>
          <w:bCs/>
          <w:color w:val="000000" w:themeColor="text1"/>
          <w:sz w:val="24"/>
          <w14:textFill>
            <w14:solidFill>
              <w14:schemeClr w14:val="tx1"/>
            </w14:solidFill>
          </w14:textFill>
        </w:rPr>
        <w:t>住所，供社会公众查阅、复制。</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八、暂停或延迟信息披露的情形</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当出现下述情况时，基金管理人和基金托管人可暂停或延迟披露基金相关信息：</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1、不可抗力；</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2、发生暂停估值的情形；</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3、法律法规规定、中国证监会或基金合同认定的其他情形。</w:t>
      </w:r>
    </w:p>
    <w:p>
      <w:pPr>
        <w:spacing w:line="360" w:lineRule="auto"/>
        <w:ind w:firstLine="480" w:firstLineChars="200"/>
        <w:rPr>
          <w:bCs/>
          <w:color w:val="000000" w:themeColor="text1"/>
          <w:sz w:val="24"/>
          <w14:textFill>
            <w14:solidFill>
              <w14:schemeClr w14:val="tx1"/>
            </w14:solidFill>
          </w14:textFill>
        </w:rPr>
      </w:pPr>
    </w:p>
    <w:p>
      <w:pPr>
        <w:pStyle w:val="2"/>
        <w:spacing w:before="0" w:after="0"/>
        <w:jc w:val="center"/>
        <w:rPr>
          <w:rFonts w:ascii="Times New Roman"/>
          <w:color w:val="000000" w:themeColor="text1"/>
          <w:sz w:val="30"/>
          <w14:textFill>
            <w14:solidFill>
              <w14:schemeClr w14:val="tx1"/>
            </w14:solidFill>
          </w14:textFill>
        </w:rPr>
      </w:pPr>
      <w:r>
        <w:rPr>
          <w:rFonts w:ascii="Times New Roman"/>
          <w:b w:val="0"/>
          <w:bCs/>
          <w:color w:val="000000" w:themeColor="text1"/>
          <w:kern w:val="44"/>
          <w:sz w:val="21"/>
          <w14:textFill>
            <w14:solidFill>
              <w14:schemeClr w14:val="tx1"/>
            </w14:solidFill>
          </w14:textFill>
        </w:rPr>
        <w:br w:type="page"/>
      </w:r>
      <w:bookmarkStart w:id="378" w:name="_Toc123051465"/>
      <w:bookmarkStart w:id="379" w:name="_Toc25647"/>
      <w:bookmarkStart w:id="380" w:name="_Toc27464"/>
      <w:bookmarkStart w:id="381" w:name="_Toc6237"/>
      <w:bookmarkStart w:id="382" w:name="_Toc9005"/>
      <w:bookmarkStart w:id="383" w:name="_Toc8059"/>
      <w:bookmarkStart w:id="384" w:name="_Toc123102466"/>
      <w:bookmarkStart w:id="385" w:name="_Toc10006"/>
      <w:bookmarkStart w:id="386" w:name="_Toc141703899"/>
      <w:bookmarkStart w:id="387" w:name="_Toc98560364"/>
      <w:bookmarkStart w:id="388" w:name="_Toc123112247"/>
      <w:bookmarkStart w:id="389" w:name="_Toc95997130"/>
      <w:bookmarkStart w:id="390" w:name="_Toc8049"/>
      <w:bookmarkStart w:id="391" w:name="_Toc7170"/>
      <w:bookmarkStart w:id="392" w:name="_Toc22978"/>
      <w:bookmarkStart w:id="393" w:name="_Toc139991749"/>
      <w:bookmarkStart w:id="394" w:name="_Toc29891"/>
      <w:r>
        <w:rPr>
          <w:rFonts w:ascii="Times New Roman"/>
          <w:color w:val="000000" w:themeColor="text1"/>
          <w:sz w:val="30"/>
          <w14:textFill>
            <w14:solidFill>
              <w14:schemeClr w14:val="tx1"/>
            </w14:solidFill>
          </w14:textFill>
        </w:rPr>
        <w:t xml:space="preserve">第十九部分  </w:t>
      </w:r>
      <w:bookmarkStart w:id="395" w:name="_Hlt88828593"/>
      <w:r>
        <w:rPr>
          <w:rFonts w:ascii="Times New Roman"/>
          <w:color w:val="000000" w:themeColor="text1"/>
          <w:sz w:val="30"/>
          <w14:textFill>
            <w14:solidFill>
              <w14:schemeClr w14:val="tx1"/>
            </w14:solidFill>
          </w14:textFill>
        </w:rPr>
        <w:t>基金合同</w:t>
      </w:r>
      <w:bookmarkEnd w:id="395"/>
      <w:r>
        <w:rPr>
          <w:rFonts w:ascii="Times New Roman"/>
          <w:color w:val="000000" w:themeColor="text1"/>
          <w:sz w:val="30"/>
          <w14:textFill>
            <w14:solidFill>
              <w14:schemeClr w14:val="tx1"/>
            </w14:solidFill>
          </w14:textFill>
        </w:rPr>
        <w:t>的变更、终止与基金财产的清算</w:t>
      </w:r>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p>
    <w:p>
      <w:pPr>
        <w:spacing w:line="360" w:lineRule="auto"/>
        <w:ind w:firstLine="480" w:firstLineChars="200"/>
        <w:rPr>
          <w:bCs/>
          <w:color w:val="000000" w:themeColor="text1"/>
          <w:sz w:val="24"/>
          <w14:textFill>
            <w14:solidFill>
              <w14:schemeClr w14:val="tx1"/>
            </w14:solidFill>
          </w14:textFill>
        </w:rPr>
      </w:pPr>
    </w:p>
    <w:p>
      <w:pPr>
        <w:spacing w:line="360" w:lineRule="auto"/>
        <w:ind w:firstLine="480" w:firstLineChars="200"/>
        <w:rPr>
          <w:bCs/>
          <w:color w:val="000000" w:themeColor="text1"/>
          <w:sz w:val="24"/>
          <w14:textFill>
            <w14:solidFill>
              <w14:schemeClr w14:val="tx1"/>
            </w14:solidFill>
          </w14:textFill>
        </w:rPr>
      </w:pPr>
      <w:bookmarkStart w:id="396" w:name="_Toc79392639"/>
      <w:r>
        <w:rPr>
          <w:bCs/>
          <w:color w:val="000000" w:themeColor="text1"/>
          <w:sz w:val="24"/>
          <w14:textFill>
            <w14:solidFill>
              <w14:schemeClr w14:val="tx1"/>
            </w14:solidFill>
          </w14:textFill>
        </w:rPr>
        <w:t>一、《基金合同》的变更</w:t>
      </w:r>
      <w:bookmarkEnd w:id="396"/>
    </w:p>
    <w:p>
      <w:pPr>
        <w:autoSpaceDE w:val="0"/>
        <w:autoSpaceDN w:val="0"/>
        <w:adjustRightInd w:val="0"/>
        <w:spacing w:line="360" w:lineRule="auto"/>
        <w:ind w:firstLine="720" w:firstLineChars="300"/>
        <w:jc w:val="left"/>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1、变更基金合同</w:t>
      </w:r>
      <w:r>
        <w:rPr>
          <w:rFonts w:hint="eastAsia"/>
          <w:bCs/>
          <w:color w:val="000000" w:themeColor="text1"/>
          <w:sz w:val="24"/>
          <w14:textFill>
            <w14:solidFill>
              <w14:schemeClr w14:val="tx1"/>
            </w14:solidFill>
          </w14:textFill>
        </w:rPr>
        <w:t>涉及</w:t>
      </w:r>
      <w:r>
        <w:rPr>
          <w:bCs/>
          <w:color w:val="000000" w:themeColor="text1"/>
          <w:sz w:val="24"/>
          <w14:textFill>
            <w14:solidFill>
              <w14:schemeClr w14:val="tx1"/>
            </w14:solidFill>
          </w14:textFill>
        </w:rPr>
        <w:t>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 xml:space="preserve"> </w:t>
      </w:r>
      <w:r>
        <w:rPr>
          <w:bCs/>
          <w:color w:val="000000" w:themeColor="text1"/>
          <w:sz w:val="24"/>
          <w14:textFill>
            <w14:solidFill>
              <w14:schemeClr w14:val="tx1"/>
            </w14:solidFill>
          </w14:textFill>
        </w:rPr>
        <w:t>2、关于《基金合同》变更的基金份额持有人大会决议</w:t>
      </w:r>
      <w:r>
        <w:rPr>
          <w:rFonts w:hint="eastAsia"/>
          <w:bCs/>
          <w:color w:val="000000" w:themeColor="text1"/>
          <w:sz w:val="24"/>
          <w14:textFill>
            <w14:solidFill>
              <w14:schemeClr w14:val="tx1"/>
            </w14:solidFill>
          </w14:textFill>
        </w:rPr>
        <w:t>自</w:t>
      </w:r>
      <w:r>
        <w:rPr>
          <w:bCs/>
          <w:color w:val="000000" w:themeColor="text1"/>
          <w:sz w:val="24"/>
          <w14:textFill>
            <w14:solidFill>
              <w14:schemeClr w14:val="tx1"/>
            </w14:solidFill>
          </w14:textFill>
        </w:rPr>
        <w:t>生效后方可执行，自决议生效后两日内在</w:t>
      </w:r>
      <w:r>
        <w:rPr>
          <w:rFonts w:hint="eastAsia"/>
          <w:bCs/>
          <w:color w:val="000000" w:themeColor="text1"/>
          <w:sz w:val="24"/>
          <w14:textFill>
            <w14:solidFill>
              <w14:schemeClr w14:val="tx1"/>
            </w14:solidFill>
          </w14:textFill>
        </w:rPr>
        <w:t>规</w:t>
      </w:r>
      <w:r>
        <w:rPr>
          <w:bCs/>
          <w:color w:val="000000" w:themeColor="text1"/>
          <w:sz w:val="24"/>
          <w14:textFill>
            <w14:solidFill>
              <w14:schemeClr w14:val="tx1"/>
            </w14:solidFill>
          </w14:textFill>
        </w:rPr>
        <w:t>定</w:t>
      </w:r>
      <w:r>
        <w:rPr>
          <w:rFonts w:hint="eastAsia"/>
          <w:bCs/>
          <w:color w:val="000000" w:themeColor="text1"/>
          <w:sz w:val="24"/>
          <w14:textFill>
            <w14:solidFill>
              <w14:schemeClr w14:val="tx1"/>
            </w14:solidFill>
          </w14:textFill>
        </w:rPr>
        <w:t>媒介</w:t>
      </w:r>
      <w:r>
        <w:rPr>
          <w:bCs/>
          <w:color w:val="000000" w:themeColor="text1"/>
          <w:sz w:val="24"/>
          <w14:textFill>
            <w14:solidFill>
              <w14:schemeClr w14:val="tx1"/>
            </w14:solidFill>
          </w14:textFill>
        </w:rPr>
        <w:t>公告。</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二、《基金合同》的终止事由</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有下列情形之一的，</w:t>
      </w:r>
      <w:r>
        <w:rPr>
          <w:rFonts w:hint="eastAsia"/>
          <w:bCs/>
          <w:color w:val="000000" w:themeColor="text1"/>
          <w:sz w:val="24"/>
          <w14:textFill>
            <w14:solidFill>
              <w14:schemeClr w14:val="tx1"/>
            </w14:solidFill>
          </w14:textFill>
        </w:rPr>
        <w:t>经履行相关程序后，</w:t>
      </w:r>
      <w:r>
        <w:rPr>
          <w:bCs/>
          <w:color w:val="000000" w:themeColor="text1"/>
          <w:sz w:val="24"/>
          <w14:textFill>
            <w14:solidFill>
              <w14:schemeClr w14:val="tx1"/>
            </w14:solidFill>
          </w14:textFill>
        </w:rPr>
        <w:t>《基金合同》应当终止：</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1、基金份额持有人大会决定终止的；</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2、基金管理人、基金托管人职责终止，在6个月内没有新基金管理人、新基金托管人承接的；</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3</w:t>
      </w:r>
      <w:r>
        <w:rPr>
          <w:bCs/>
          <w:color w:val="000000" w:themeColor="text1"/>
          <w:sz w:val="24"/>
          <w14:textFill>
            <w14:solidFill>
              <w14:schemeClr w14:val="tx1"/>
            </w14:solidFill>
          </w14:textFill>
        </w:rPr>
        <w:t>、《基金合同》约定的其他情形；</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4</w:t>
      </w:r>
      <w:r>
        <w:rPr>
          <w:bCs/>
          <w:color w:val="000000" w:themeColor="text1"/>
          <w:sz w:val="24"/>
          <w14:textFill>
            <w14:solidFill>
              <w14:schemeClr w14:val="tx1"/>
            </w14:solidFill>
          </w14:textFill>
        </w:rPr>
        <w:t>、相关法律法规和中国证监会规定的其他情况。</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三、基金财产的清算</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1、基金财产清算小组：自出现《基金合同》终止事由之日起30个工作日内成立清算小组，基金管理人组织基金财产清算小组并在中国证监会的监督下进行基金清算。</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2、基金财产清算小组组成：基金财产清算小组成员由基金管理人、基金托管人、具有从事证券相关业务资格的注册会计师、律师以及中国证监会指定的人员组成。基金财产清算小组可以聘用必要的工作人员。</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3、基金财产清算小组职责：基金财产清算小组负责基金财产的保管、清理、估价、变现和分配。基金财产清算小组可以依法进行必要的民事活动。</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4、基金财产清算程序：</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（1）《基金合同》终止情形出现时，由基金财产清算小组统一接管基金；</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（2）对基金财产和债权债务进行清理和确认；</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（3）对基金财产进行估值和变现；</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（4）制作清算报告；</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（5）聘请会计师事务所对清算报告进行外部审计，聘请律师事务所对清算报告出具法律意见书；</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（6）将清算报告报中国证监会备案并公告</w:t>
      </w:r>
      <w:r>
        <w:rPr>
          <w:rFonts w:hint="eastAsia"/>
          <w:bCs/>
          <w:color w:val="000000" w:themeColor="text1"/>
          <w:sz w:val="24"/>
          <w14:textFill>
            <w14:solidFill>
              <w14:schemeClr w14:val="tx1"/>
            </w14:solidFill>
          </w14:textFill>
        </w:rPr>
        <w:t>；</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（7）对基金</w:t>
      </w:r>
      <w:r>
        <w:rPr>
          <w:rFonts w:hint="eastAsia"/>
          <w:bCs/>
          <w:color w:val="000000" w:themeColor="text1"/>
          <w:sz w:val="24"/>
          <w14:textFill>
            <w14:solidFill>
              <w14:schemeClr w14:val="tx1"/>
            </w14:solidFill>
          </w14:textFill>
        </w:rPr>
        <w:t>剩余</w:t>
      </w:r>
      <w:r>
        <w:rPr>
          <w:bCs/>
          <w:color w:val="000000" w:themeColor="text1"/>
          <w:sz w:val="24"/>
          <w14:textFill>
            <w14:solidFill>
              <w14:schemeClr w14:val="tx1"/>
            </w14:solidFill>
          </w14:textFill>
        </w:rPr>
        <w:t>财产进行分配</w:t>
      </w:r>
      <w:r>
        <w:rPr>
          <w:rFonts w:hint="eastAsia"/>
          <w:bCs/>
          <w:color w:val="000000" w:themeColor="text1"/>
          <w:sz w:val="24"/>
          <w14:textFill>
            <w14:solidFill>
              <w14:schemeClr w14:val="tx1"/>
            </w14:solidFill>
          </w14:textFill>
        </w:rPr>
        <w:t>。</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5、基金财产清算的期限为</w:t>
      </w:r>
      <w:r>
        <w:rPr>
          <w:rFonts w:hint="eastAsia"/>
          <w:bCs/>
          <w:color w:val="000000" w:themeColor="text1"/>
          <w:sz w:val="24"/>
          <w14:textFill>
            <w14:solidFill>
              <w14:schemeClr w14:val="tx1"/>
            </w14:solidFill>
          </w14:textFill>
        </w:rPr>
        <w:t>6</w:t>
      </w:r>
      <w:r>
        <w:rPr>
          <w:bCs/>
          <w:color w:val="000000" w:themeColor="text1"/>
          <w:sz w:val="24"/>
          <w14:textFill>
            <w14:solidFill>
              <w14:schemeClr w14:val="tx1"/>
            </w14:solidFill>
          </w14:textFill>
        </w:rPr>
        <w:t>个月，但因本基金所持证券的流动性受到限制而不能及时变现的，清算期限相应顺延。</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四、清算费用</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清算费用是指基金财产清算小组在进行基金清算过程中发生的所有合理费用，清算费用由基金财产清算小组优先从基金财产中支付。</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五、基金财产清算剩余资产的分配</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依据基金财产清算的分配方案，将基金财产清算后的全部剩余资产扣除基金财产清算费用、交纳所欠税款并清偿基金债务后，按基金份额持有人持有的基金份额比例进行分配。</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六、基金财产清算的公告</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清算过程中的有关重大事项须及时公告；基金财产清算报告经</w:t>
      </w:r>
      <w:r>
        <w:rPr>
          <w:rFonts w:hint="eastAsia"/>
          <w:bCs/>
          <w:color w:val="000000" w:themeColor="text1"/>
          <w:sz w:val="24"/>
          <w14:textFill>
            <w14:solidFill>
              <w14:schemeClr w14:val="tx1"/>
            </w14:solidFill>
          </w14:textFill>
        </w:rPr>
        <w:t>符合《中华人民共和国证券法》规定的</w:t>
      </w:r>
      <w:r>
        <w:rPr>
          <w:bCs/>
          <w:color w:val="000000" w:themeColor="text1"/>
          <w:sz w:val="24"/>
          <w14:textFill>
            <w14:solidFill>
              <w14:schemeClr w14:val="tx1"/>
            </w14:solidFill>
          </w14:textFill>
        </w:rPr>
        <w:t>会计师事务所审计并由律师事务所出具法律意见书后报中国证监会备案并公告。基金财产清算公告于基金财产清算报告报中国证监会备案后5个工作日内由基金财产清算小组进行公告</w:t>
      </w:r>
      <w:r>
        <w:rPr>
          <w:rFonts w:hint="eastAsia"/>
          <w:bCs/>
          <w:color w:val="000000" w:themeColor="text1"/>
          <w:sz w:val="24"/>
          <w14:textFill>
            <w14:solidFill>
              <w14:schemeClr w14:val="tx1"/>
            </w14:solidFill>
          </w14:textFill>
        </w:rPr>
        <w:t>，基金财产清算小组应当将清算报告登载在规定网站上，并将清算报告提示性公告登载在规定报刊上</w:t>
      </w:r>
      <w:r>
        <w:rPr>
          <w:bCs/>
          <w:color w:val="000000" w:themeColor="text1"/>
          <w:sz w:val="24"/>
          <w14:textFill>
            <w14:solidFill>
              <w14:schemeClr w14:val="tx1"/>
            </w14:solidFill>
          </w14:textFill>
        </w:rPr>
        <w:t>。</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七、基金财产清算账册及文件的保存</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基金财产清算账册及有关文件由基金托管人保存</w:t>
      </w:r>
      <w:r>
        <w:rPr>
          <w:rFonts w:hint="eastAsia"/>
          <w:bCs/>
          <w:color w:val="000000" w:themeColor="text1"/>
          <w:sz w:val="24"/>
          <w14:textFill>
            <w14:solidFill>
              <w14:schemeClr w14:val="tx1"/>
            </w14:solidFill>
          </w14:textFill>
        </w:rPr>
        <w:t>不低于法律法规规定的最低期限</w:t>
      </w:r>
      <w:r>
        <w:rPr>
          <w:bCs/>
          <w:color w:val="000000" w:themeColor="text1"/>
          <w:sz w:val="24"/>
          <w14:textFill>
            <w14:solidFill>
              <w14:schemeClr w14:val="tx1"/>
            </w14:solidFill>
          </w14:textFill>
        </w:rPr>
        <w:t>。</w:t>
      </w:r>
    </w:p>
    <w:p>
      <w:pPr>
        <w:spacing w:line="360" w:lineRule="auto"/>
        <w:ind w:firstLine="480" w:firstLineChars="200"/>
        <w:rPr>
          <w:bCs/>
          <w:color w:val="000000" w:themeColor="text1"/>
          <w:sz w:val="24"/>
          <w14:textFill>
            <w14:solidFill>
              <w14:schemeClr w14:val="tx1"/>
            </w14:solidFill>
          </w14:textFill>
        </w:rPr>
      </w:pPr>
    </w:p>
    <w:p>
      <w:pPr>
        <w:pStyle w:val="2"/>
        <w:spacing w:before="0" w:after="0"/>
        <w:jc w:val="center"/>
        <w:rPr>
          <w:rFonts w:ascii="Times New Roman"/>
          <w:color w:val="000000" w:themeColor="text1"/>
          <w:sz w:val="30"/>
          <w14:textFill>
            <w14:solidFill>
              <w14:schemeClr w14:val="tx1"/>
            </w14:solidFill>
          </w14:textFill>
        </w:rPr>
      </w:pPr>
      <w:bookmarkStart w:id="397" w:name="_Toc123051466"/>
      <w:bookmarkStart w:id="398" w:name="_Toc98560365"/>
      <w:bookmarkStart w:id="399" w:name="_Toc79392641"/>
      <w:bookmarkStart w:id="400" w:name="_Toc48649720"/>
      <w:bookmarkStart w:id="401" w:name="_Toc123102467"/>
      <w:bookmarkStart w:id="402" w:name="_Toc123112248"/>
      <w:r>
        <w:rPr>
          <w:rFonts w:ascii="Times New Roman"/>
          <w:b w:val="0"/>
          <w:bCs/>
          <w:color w:val="000000" w:themeColor="text1"/>
          <w14:textFill>
            <w14:solidFill>
              <w14:schemeClr w14:val="tx1"/>
            </w14:solidFill>
          </w14:textFill>
        </w:rPr>
        <w:br w:type="page"/>
      </w:r>
      <w:bookmarkStart w:id="403" w:name="_Toc12191"/>
      <w:bookmarkStart w:id="404" w:name="_Toc95997131"/>
      <w:bookmarkStart w:id="405" w:name="_Toc8710"/>
      <w:bookmarkStart w:id="406" w:name="_Toc27058"/>
      <w:bookmarkStart w:id="407" w:name="_Toc21240"/>
      <w:bookmarkStart w:id="408" w:name="_Toc13398"/>
      <w:bookmarkStart w:id="409" w:name="_Toc139991750"/>
      <w:bookmarkStart w:id="410" w:name="_Toc30645"/>
      <w:bookmarkStart w:id="411" w:name="_Toc28549"/>
      <w:bookmarkStart w:id="412" w:name="_Toc141703901"/>
      <w:bookmarkStart w:id="413" w:name="_Toc9708"/>
      <w:bookmarkStart w:id="414" w:name="_Toc23022"/>
      <w:bookmarkStart w:id="415" w:name="_Toc7367"/>
      <w:r>
        <w:rPr>
          <w:rFonts w:ascii="Times New Roman"/>
          <w:color w:val="000000" w:themeColor="text1"/>
          <w:sz w:val="30"/>
          <w14:textFill>
            <w14:solidFill>
              <w14:schemeClr w14:val="tx1"/>
            </w14:solidFill>
          </w14:textFill>
        </w:rPr>
        <w:t>第二十部分  违约责任</w:t>
      </w:r>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p>
    <w:p>
      <w:pPr>
        <w:spacing w:line="360" w:lineRule="auto"/>
        <w:ind w:firstLine="480" w:firstLineChars="200"/>
        <w:rPr>
          <w:bCs/>
          <w:color w:val="000000" w:themeColor="text1"/>
          <w:sz w:val="24"/>
          <w14:textFill>
            <w14:solidFill>
              <w14:schemeClr w14:val="tx1"/>
            </w14:solidFill>
          </w14:textFill>
        </w:rPr>
      </w:pP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Pr>
          <w:rFonts w:hint="eastAsia"/>
          <w:bCs/>
          <w:color w:val="000000" w:themeColor="text1"/>
          <w:sz w:val="24"/>
          <w14:textFill>
            <w14:solidFill>
              <w14:schemeClr w14:val="tx1"/>
            </w14:solidFill>
          </w14:textFill>
        </w:rPr>
        <w:t>但是发生下列情况的，当事人免责：</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1、不可抗力；</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2、基金管理人和/或基金托管人按照当时有效的法律法规或中国证监会的规定作为或不作为而造成的损失等；</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3、基金管理人由于按照基金合同规定的投资原则行使或不行使其投资权而造成的损失等。</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 xml:space="preserve">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 </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Pr>
          <w:rFonts w:hint="eastAsia"/>
          <w:bCs/>
          <w:color w:val="000000" w:themeColor="text1"/>
          <w:sz w:val="24"/>
          <w14:textFill>
            <w14:solidFill>
              <w14:schemeClr w14:val="tx1"/>
            </w14:solidFill>
          </w14:textFill>
        </w:rPr>
        <w:t>减轻或</w:t>
      </w:r>
      <w:r>
        <w:rPr>
          <w:bCs/>
          <w:color w:val="000000" w:themeColor="text1"/>
          <w:sz w:val="24"/>
          <w14:textFill>
            <w14:solidFill>
              <w14:schemeClr w14:val="tx1"/>
            </w14:solidFill>
          </w14:textFill>
        </w:rPr>
        <w:t>消除由此造成的影响。</w:t>
      </w:r>
    </w:p>
    <w:p>
      <w:pPr>
        <w:spacing w:line="360" w:lineRule="auto"/>
        <w:ind w:firstLine="480" w:firstLineChars="200"/>
        <w:rPr>
          <w:bCs/>
          <w:color w:val="000000" w:themeColor="text1"/>
          <w:sz w:val="24"/>
          <w14:textFill>
            <w14:solidFill>
              <w14:schemeClr w14:val="tx1"/>
            </w14:solidFill>
          </w14:textFill>
        </w:rPr>
      </w:pPr>
    </w:p>
    <w:p>
      <w:pPr>
        <w:spacing w:line="360" w:lineRule="auto"/>
        <w:ind w:firstLine="480" w:firstLineChars="200"/>
        <w:rPr>
          <w:bCs/>
          <w:color w:val="000000" w:themeColor="text1"/>
          <w:sz w:val="24"/>
          <w14:textFill>
            <w14:solidFill>
              <w14:schemeClr w14:val="tx1"/>
            </w14:solidFill>
          </w14:textFill>
        </w:rPr>
      </w:pPr>
    </w:p>
    <w:p>
      <w:pPr>
        <w:spacing w:line="360" w:lineRule="auto"/>
        <w:ind w:firstLine="480" w:firstLineChars="200"/>
        <w:rPr>
          <w:bCs/>
          <w:color w:val="000000" w:themeColor="text1"/>
          <w:sz w:val="24"/>
          <w14:textFill>
            <w14:solidFill>
              <w14:schemeClr w14:val="tx1"/>
            </w14:solidFill>
          </w14:textFill>
        </w:rPr>
      </w:pPr>
    </w:p>
    <w:p>
      <w:pPr>
        <w:spacing w:line="360" w:lineRule="auto"/>
        <w:ind w:firstLine="480" w:firstLineChars="200"/>
        <w:rPr>
          <w:bCs/>
          <w:color w:val="000000" w:themeColor="text1"/>
          <w:sz w:val="24"/>
          <w14:textFill>
            <w14:solidFill>
              <w14:schemeClr w14:val="tx1"/>
            </w14:solidFill>
          </w14:textFill>
        </w:rPr>
      </w:pPr>
    </w:p>
    <w:p>
      <w:pPr>
        <w:pStyle w:val="2"/>
        <w:spacing w:before="0" w:after="0"/>
        <w:jc w:val="center"/>
        <w:rPr>
          <w:rFonts w:ascii="Times New Roman"/>
          <w:color w:val="000000" w:themeColor="text1"/>
          <w:sz w:val="30"/>
          <w14:textFill>
            <w14:solidFill>
              <w14:schemeClr w14:val="tx1"/>
            </w14:solidFill>
          </w14:textFill>
        </w:rPr>
      </w:pPr>
      <w:r>
        <w:rPr>
          <w:rFonts w:ascii="Times New Roman"/>
          <w:b w:val="0"/>
          <w:bCs/>
          <w:color w:val="000000" w:themeColor="text1"/>
          <w14:textFill>
            <w14:solidFill>
              <w14:schemeClr w14:val="tx1"/>
            </w14:solidFill>
          </w14:textFill>
        </w:rPr>
        <w:br w:type="page"/>
      </w:r>
      <w:bookmarkStart w:id="416" w:name="_Toc21983"/>
      <w:bookmarkStart w:id="417" w:name="_Toc25651"/>
      <w:bookmarkStart w:id="418" w:name="_Toc98560366"/>
      <w:bookmarkStart w:id="419" w:name="_Toc3319"/>
      <w:bookmarkStart w:id="420" w:name="_Toc1790"/>
      <w:bookmarkStart w:id="421" w:name="_Toc8636"/>
      <w:bookmarkStart w:id="422" w:name="_Toc123051467"/>
      <w:bookmarkStart w:id="423" w:name="_Toc23999"/>
      <w:bookmarkStart w:id="424" w:name="_Toc123102468"/>
      <w:bookmarkStart w:id="425" w:name="_Toc7288"/>
      <w:bookmarkStart w:id="426" w:name="_Toc6202"/>
      <w:bookmarkStart w:id="427" w:name="_Toc30350"/>
      <w:bookmarkStart w:id="428" w:name="_Toc95997132"/>
      <w:bookmarkStart w:id="429" w:name="_Toc139991751"/>
      <w:bookmarkStart w:id="430" w:name="_Toc123112249"/>
      <w:bookmarkStart w:id="431" w:name="_Toc24923"/>
      <w:bookmarkStart w:id="432" w:name="_Toc141703902"/>
      <w:r>
        <w:rPr>
          <w:rFonts w:ascii="Times New Roman"/>
          <w:color w:val="000000" w:themeColor="text1"/>
          <w:sz w:val="30"/>
          <w14:textFill>
            <w14:solidFill>
              <w14:schemeClr w14:val="tx1"/>
            </w14:solidFill>
          </w14:textFill>
        </w:rPr>
        <w:t>第二十一部分  争议的处理和适用的法律</w:t>
      </w:r>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p>
    <w:p>
      <w:pPr>
        <w:spacing w:line="360" w:lineRule="auto"/>
        <w:ind w:firstLine="480" w:firstLineChars="200"/>
        <w:rPr>
          <w:bCs/>
          <w:color w:val="000000" w:themeColor="text1"/>
          <w:sz w:val="24"/>
          <w14:textFill>
            <w14:solidFill>
              <w14:schemeClr w14:val="tx1"/>
            </w14:solidFill>
          </w14:textFill>
        </w:rPr>
      </w:pP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各方当事人同意，因《基金合同》而产生的或与《基金合同》有关的一切争议，如经友好协商未能解决的，应提交</w:t>
      </w:r>
      <w:r>
        <w:rPr>
          <w:rFonts w:hint="eastAsia"/>
          <w:bCs/>
          <w:color w:val="000000" w:themeColor="text1"/>
          <w:sz w:val="24"/>
          <w14:textFill>
            <w14:solidFill>
              <w14:schemeClr w14:val="tx1"/>
            </w14:solidFill>
          </w14:textFill>
        </w:rPr>
        <w:t>上海国际经济贸易仲裁委员会根据该会当时有效的仲裁规则进行仲裁，仲裁地点为上海市</w:t>
      </w:r>
      <w:r>
        <w:rPr>
          <w:bCs/>
          <w:color w:val="000000" w:themeColor="text1"/>
          <w:sz w:val="24"/>
          <w14:textFill>
            <w14:solidFill>
              <w14:schemeClr w14:val="tx1"/>
            </w14:solidFill>
          </w14:textFill>
        </w:rPr>
        <w:t>。</w:t>
      </w:r>
      <w:r>
        <w:rPr>
          <w:rFonts w:hint="eastAsia"/>
          <w:bCs/>
          <w:color w:val="000000" w:themeColor="text1"/>
          <w:sz w:val="24"/>
          <w14:textFill>
            <w14:solidFill>
              <w14:schemeClr w14:val="tx1"/>
            </w14:solidFill>
          </w14:textFill>
        </w:rPr>
        <w:t>仲裁裁决是终局性的并对各方当事人具有约束力。仲裁费用由败诉方承担，仲裁裁决另有规定除外。</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争议处理期间，基金管理人、基金托管人应恪守各自的职责，继续忠实、勤勉、尽责地履行《基金合同》规定的义务，维护基金份额持有人的合法权益。</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《基金合同》受中国法律</w:t>
      </w:r>
      <w:r>
        <w:rPr>
          <w:rFonts w:hint="eastAsia"/>
          <w:bCs/>
          <w:color w:val="000000" w:themeColor="text1"/>
          <w:sz w:val="24"/>
          <w14:textFill>
            <w14:solidFill>
              <w14:schemeClr w14:val="tx1"/>
            </w14:solidFill>
          </w14:textFill>
        </w:rPr>
        <w:t>（为《基金合同》之目的，在此不包括香港、澳门特别行政区和台湾地区的有关规定）</w:t>
      </w:r>
      <w:r>
        <w:rPr>
          <w:bCs/>
          <w:color w:val="000000" w:themeColor="text1"/>
          <w:sz w:val="24"/>
          <w14:textFill>
            <w14:solidFill>
              <w14:schemeClr w14:val="tx1"/>
            </w14:solidFill>
          </w14:textFill>
        </w:rPr>
        <w:t>管辖</w:t>
      </w:r>
      <w:r>
        <w:rPr>
          <w:rFonts w:hint="eastAsia"/>
          <w:bCs/>
          <w:color w:val="000000" w:themeColor="text1"/>
          <w:sz w:val="24"/>
          <w14:textFill>
            <w14:solidFill>
              <w14:schemeClr w14:val="tx1"/>
            </w14:solidFill>
          </w14:textFill>
        </w:rPr>
        <w:t>，并从其解释</w:t>
      </w:r>
      <w:r>
        <w:rPr>
          <w:bCs/>
          <w:color w:val="000000" w:themeColor="text1"/>
          <w:sz w:val="24"/>
          <w14:textFill>
            <w14:solidFill>
              <w14:schemeClr w14:val="tx1"/>
            </w14:solidFill>
          </w14:textFill>
        </w:rPr>
        <w:t>。</w:t>
      </w:r>
    </w:p>
    <w:p>
      <w:pPr>
        <w:widowControl/>
        <w:jc w:val="left"/>
        <w:rPr>
          <w:bCs/>
          <w:color w:val="000000" w:themeColor="text1"/>
          <w:sz w:val="24"/>
          <w14:textFill>
            <w14:solidFill>
              <w14:schemeClr w14:val="tx1"/>
            </w14:solidFill>
          </w14:textFill>
        </w:rPr>
      </w:pPr>
      <w:r>
        <w:rPr>
          <w:bCs/>
          <w:color w:val="000000" w:themeColor="text1"/>
          <w:sz w:val="24"/>
          <w14:textFill>
            <w14:solidFill>
              <w14:schemeClr w14:val="tx1"/>
            </w14:solidFill>
          </w14:textFill>
        </w:rPr>
        <w:br w:type="page"/>
      </w:r>
    </w:p>
    <w:p>
      <w:pPr>
        <w:pStyle w:val="2"/>
        <w:spacing w:before="0" w:after="0"/>
        <w:jc w:val="center"/>
        <w:rPr>
          <w:rFonts w:ascii="Times New Roman"/>
          <w:color w:val="000000" w:themeColor="text1"/>
          <w:sz w:val="30"/>
          <w14:textFill>
            <w14:solidFill>
              <w14:schemeClr w14:val="tx1"/>
            </w14:solidFill>
          </w14:textFill>
        </w:rPr>
      </w:pPr>
      <w:bookmarkStart w:id="433" w:name="_Toc31966"/>
      <w:bookmarkStart w:id="434" w:name="_Toc2532"/>
      <w:bookmarkStart w:id="435" w:name="_Toc95997133"/>
      <w:bookmarkStart w:id="436" w:name="_Toc123102469"/>
      <w:bookmarkStart w:id="437" w:name="_Toc139991752"/>
      <w:bookmarkStart w:id="438" w:name="_Toc26461"/>
      <w:bookmarkStart w:id="439" w:name="_Toc8454"/>
      <w:bookmarkStart w:id="440" w:name="_Toc484"/>
      <w:bookmarkStart w:id="441" w:name="_Toc29505"/>
      <w:bookmarkStart w:id="442" w:name="_Toc8703"/>
      <w:bookmarkStart w:id="443" w:name="_Toc23991"/>
      <w:bookmarkStart w:id="444" w:name="_Toc141703903"/>
      <w:bookmarkStart w:id="445" w:name="_Toc20350"/>
      <w:bookmarkStart w:id="446" w:name="_Toc123112250"/>
      <w:bookmarkStart w:id="447" w:name="_Toc123051468"/>
      <w:bookmarkStart w:id="448" w:name="_Toc11618"/>
      <w:r>
        <w:rPr>
          <w:rFonts w:ascii="Times New Roman"/>
          <w:color w:val="000000" w:themeColor="text1"/>
          <w:sz w:val="30"/>
          <w14:textFill>
            <w14:solidFill>
              <w14:schemeClr w14:val="tx1"/>
            </w14:solidFill>
          </w14:textFill>
        </w:rPr>
        <w:t>第二十二部分  基金合同的效力</w:t>
      </w:r>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p>
    <w:p>
      <w:pPr>
        <w:spacing w:line="360" w:lineRule="auto"/>
        <w:ind w:firstLine="480" w:firstLineChars="200"/>
        <w:rPr>
          <w:bCs/>
          <w:color w:val="000000" w:themeColor="text1"/>
          <w:sz w:val="24"/>
          <w14:textFill>
            <w14:solidFill>
              <w14:schemeClr w14:val="tx1"/>
            </w14:solidFill>
          </w14:textFill>
        </w:rPr>
      </w:pP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《基金合同》是约定</w:t>
      </w:r>
      <w:r>
        <w:rPr>
          <w:rFonts w:hint="eastAsia"/>
          <w:bCs/>
          <w:color w:val="000000" w:themeColor="text1"/>
          <w:sz w:val="24"/>
          <w14:textFill>
            <w14:solidFill>
              <w14:schemeClr w14:val="tx1"/>
            </w14:solidFill>
          </w14:textFill>
        </w:rPr>
        <w:t>基金合同当事人</w:t>
      </w:r>
      <w:r>
        <w:rPr>
          <w:bCs/>
          <w:color w:val="000000" w:themeColor="text1"/>
          <w:sz w:val="24"/>
          <w14:textFill>
            <w14:solidFill>
              <w14:schemeClr w14:val="tx1"/>
            </w14:solidFill>
          </w14:textFill>
        </w:rPr>
        <w:t>之间权利义务关系的法律文件。</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1、《基金合同》经基金管理人、基金托管人双方盖章以及双方法定代表人或授权代表签字</w:t>
      </w:r>
      <w:r>
        <w:rPr>
          <w:rFonts w:hint="eastAsia"/>
          <w:bCs/>
          <w:color w:val="000000" w:themeColor="text1"/>
          <w:sz w:val="24"/>
          <w14:textFill>
            <w14:solidFill>
              <w14:schemeClr w14:val="tx1"/>
            </w14:solidFill>
          </w14:textFill>
        </w:rPr>
        <w:t>或盖章</w:t>
      </w:r>
      <w:r>
        <w:rPr>
          <w:bCs/>
          <w:color w:val="000000" w:themeColor="text1"/>
          <w:sz w:val="24"/>
          <w14:textFill>
            <w14:solidFill>
              <w14:schemeClr w14:val="tx1"/>
            </w14:solidFill>
          </w14:textFill>
        </w:rPr>
        <w:t>并在募集结束后经基金管理人向中国证监会办理基金备案手续，并经中国证监会书面确认后生效。</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2、《基金合同》的有效期自其生效之日起至基金财产清算结果报中国证监会</w:t>
      </w:r>
      <w:r>
        <w:rPr>
          <w:rFonts w:hint="eastAsia"/>
          <w:bCs/>
          <w:color w:val="000000" w:themeColor="text1"/>
          <w:sz w:val="24"/>
          <w14:textFill>
            <w14:solidFill>
              <w14:schemeClr w14:val="tx1"/>
            </w14:solidFill>
          </w14:textFill>
        </w:rPr>
        <w:t>备案</w:t>
      </w:r>
      <w:r>
        <w:rPr>
          <w:bCs/>
          <w:color w:val="000000" w:themeColor="text1"/>
          <w:sz w:val="24"/>
          <w14:textFill>
            <w14:solidFill>
              <w14:schemeClr w14:val="tx1"/>
            </w14:solidFill>
          </w14:textFill>
        </w:rPr>
        <w:t>并公告之日止。</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3、《基金合同》自生效之日起对包括基金管理人、基金托管人和基金份额持有人在内的《基金合同》各方当事人具有同等的法律约束力。</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4、《基金合同》正本一式</w:t>
      </w:r>
      <w:r>
        <w:rPr>
          <w:rFonts w:hint="eastAsia"/>
          <w:bCs/>
          <w:color w:val="000000" w:themeColor="text1"/>
          <w:sz w:val="24"/>
          <w14:textFill>
            <w14:solidFill>
              <w14:schemeClr w14:val="tx1"/>
            </w14:solidFill>
          </w14:textFill>
        </w:rPr>
        <w:t>三</w:t>
      </w:r>
      <w:r>
        <w:rPr>
          <w:bCs/>
          <w:color w:val="000000" w:themeColor="text1"/>
          <w:sz w:val="24"/>
          <w14:textFill>
            <w14:solidFill>
              <w14:schemeClr w14:val="tx1"/>
            </w14:solidFill>
          </w14:textFill>
        </w:rPr>
        <w:t>份，除上报有关监管机构一式</w:t>
      </w:r>
      <w:r>
        <w:rPr>
          <w:rFonts w:hint="eastAsia"/>
          <w:bCs/>
          <w:color w:val="000000" w:themeColor="text1"/>
          <w:sz w:val="24"/>
          <w14:textFill>
            <w14:solidFill>
              <w14:schemeClr w14:val="tx1"/>
            </w14:solidFill>
          </w14:textFill>
        </w:rPr>
        <w:t>一</w:t>
      </w:r>
      <w:r>
        <w:rPr>
          <w:bCs/>
          <w:color w:val="000000" w:themeColor="text1"/>
          <w:sz w:val="24"/>
          <w14:textFill>
            <w14:solidFill>
              <w14:schemeClr w14:val="tx1"/>
            </w14:solidFill>
          </w14:textFill>
        </w:rPr>
        <w:t>份外，基金管理人、基金托管人各持有</w:t>
      </w:r>
      <w:r>
        <w:rPr>
          <w:rFonts w:hint="eastAsia"/>
          <w:bCs/>
          <w:color w:val="000000" w:themeColor="text1"/>
          <w:sz w:val="24"/>
          <w14:textFill>
            <w14:solidFill>
              <w14:schemeClr w14:val="tx1"/>
            </w14:solidFill>
          </w14:textFill>
        </w:rPr>
        <w:t>一</w:t>
      </w:r>
      <w:r>
        <w:rPr>
          <w:bCs/>
          <w:color w:val="000000" w:themeColor="text1"/>
          <w:sz w:val="24"/>
          <w14:textFill>
            <w14:solidFill>
              <w14:schemeClr w14:val="tx1"/>
            </w14:solidFill>
          </w14:textFill>
        </w:rPr>
        <w:t>份，每份具有同等的法律效力。</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5、《基金合同》可印制成册，供投资者在基金管理人、基金托管人、销售机构的办公场所和营业场所查阅。</w:t>
      </w:r>
    </w:p>
    <w:p>
      <w:pPr>
        <w:pStyle w:val="2"/>
        <w:spacing w:before="0" w:after="0"/>
        <w:jc w:val="center"/>
        <w:rPr>
          <w:rFonts w:ascii="Times New Roman"/>
          <w:color w:val="000000" w:themeColor="text1"/>
          <w:sz w:val="30"/>
          <w14:textFill>
            <w14:solidFill>
              <w14:schemeClr w14:val="tx1"/>
            </w14:solidFill>
          </w14:textFill>
        </w:rPr>
      </w:pPr>
      <w:r>
        <w:rPr>
          <w:rFonts w:ascii="Times New Roman"/>
          <w:b w:val="0"/>
          <w:bCs/>
          <w:color w:val="000000" w:themeColor="text1"/>
          <w14:textFill>
            <w14:solidFill>
              <w14:schemeClr w14:val="tx1"/>
            </w14:solidFill>
          </w14:textFill>
        </w:rPr>
        <w:br w:type="page"/>
      </w:r>
      <w:bookmarkStart w:id="449" w:name="_Toc21726"/>
      <w:bookmarkStart w:id="450" w:name="_Toc95997134"/>
      <w:r>
        <w:rPr>
          <w:rFonts w:hint="eastAsia" w:ascii="Times New Roman"/>
          <w:color w:val="000000" w:themeColor="text1"/>
          <w:sz w:val="30"/>
          <w14:textFill>
            <w14:solidFill>
              <w14:schemeClr w14:val="tx1"/>
            </w14:solidFill>
          </w14:textFill>
        </w:rPr>
        <w:t>第二十三部分  其他事项</w:t>
      </w:r>
      <w:bookmarkEnd w:id="449"/>
      <w:bookmarkEnd w:id="450"/>
    </w:p>
    <w:p>
      <w:pPr>
        <w:spacing w:line="360" w:lineRule="auto"/>
        <w:ind w:firstLine="480" w:firstLineChars="200"/>
        <w:rPr>
          <w:rFonts w:ascii="宋体" w:hAnsi="宋体"/>
          <w:color w:val="000000" w:themeColor="text1"/>
          <w:sz w:val="24"/>
          <w14:textFill>
            <w14:solidFill>
              <w14:schemeClr w14:val="tx1"/>
            </w14:solidFill>
          </w14:textFill>
        </w:rPr>
      </w:pP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《基金合同》如有未尽事宜，由《基金合同》当事人各方按有关法律法规协商解决。</w:t>
      </w:r>
    </w:p>
    <w:p>
      <w:pPr>
        <w:widowControl/>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br w:type="page"/>
      </w:r>
    </w:p>
    <w:p>
      <w:pPr>
        <w:pStyle w:val="2"/>
        <w:spacing w:before="0" w:after="0"/>
        <w:jc w:val="center"/>
        <w:rPr>
          <w:rFonts w:ascii="Times New Roman"/>
          <w:color w:val="000000" w:themeColor="text1"/>
          <w:sz w:val="30"/>
          <w14:textFill>
            <w14:solidFill>
              <w14:schemeClr w14:val="tx1"/>
            </w14:solidFill>
          </w14:textFill>
        </w:rPr>
      </w:pPr>
      <w:bookmarkStart w:id="451" w:name="_Toc7437"/>
      <w:bookmarkStart w:id="452" w:name="_Toc17263"/>
      <w:bookmarkStart w:id="453" w:name="_Toc1360"/>
      <w:bookmarkStart w:id="454" w:name="_Toc32355"/>
      <w:bookmarkStart w:id="455" w:name="_Toc5108"/>
      <w:bookmarkStart w:id="456" w:name="_Toc20098"/>
      <w:bookmarkStart w:id="457" w:name="_Toc95997135"/>
      <w:bookmarkStart w:id="458" w:name="_Toc12499"/>
      <w:bookmarkStart w:id="459" w:name="_Toc15664"/>
      <w:bookmarkStart w:id="460" w:name="_Toc9054"/>
      <w:bookmarkStart w:id="461" w:name="_Toc141703905"/>
      <w:bookmarkStart w:id="462" w:name="_Toc21122"/>
      <w:r>
        <w:rPr>
          <w:rFonts w:ascii="Times New Roman"/>
          <w:color w:val="000000" w:themeColor="text1"/>
          <w:sz w:val="30"/>
          <w14:textFill>
            <w14:solidFill>
              <w14:schemeClr w14:val="tx1"/>
            </w14:solidFill>
          </w14:textFill>
        </w:rPr>
        <w:t>第二十四部分  基金合同内容摘要</w:t>
      </w:r>
      <w:bookmarkEnd w:id="69"/>
      <w:bookmarkEnd w:id="70"/>
      <w:bookmarkEnd w:id="451"/>
      <w:bookmarkEnd w:id="452"/>
      <w:bookmarkEnd w:id="453"/>
      <w:bookmarkEnd w:id="454"/>
      <w:bookmarkEnd w:id="455"/>
      <w:bookmarkEnd w:id="456"/>
      <w:bookmarkEnd w:id="457"/>
      <w:bookmarkEnd w:id="458"/>
      <w:bookmarkEnd w:id="459"/>
      <w:bookmarkEnd w:id="460"/>
      <w:bookmarkEnd w:id="461"/>
      <w:bookmarkEnd w:id="462"/>
    </w:p>
    <w:p>
      <w:pPr>
        <w:rPr>
          <w:color w:val="000000" w:themeColor="text1"/>
          <w:sz w:val="28"/>
          <w:szCs w:val="28"/>
          <w14:textFill>
            <w14:solidFill>
              <w14:schemeClr w14:val="tx1"/>
            </w14:solidFill>
          </w14:textFill>
        </w:rPr>
      </w:pPr>
    </w:p>
    <w:p>
      <w:pPr>
        <w:autoSpaceDE w:val="0"/>
        <w:autoSpaceDN w:val="0"/>
        <w:adjustRightInd w:val="0"/>
        <w:spacing w:line="360" w:lineRule="auto"/>
        <w:ind w:firstLine="480" w:firstLineChars="200"/>
        <w:jc w:val="left"/>
        <w:rPr>
          <w:bCs/>
          <w:color w:val="000000" w:themeColor="text1"/>
          <w:sz w:val="24"/>
          <w:szCs w:val="24"/>
          <w14:textFill>
            <w14:solidFill>
              <w14:schemeClr w14:val="tx1"/>
            </w14:solidFill>
          </w14:textFill>
        </w:rPr>
      </w:pPr>
      <w:r>
        <w:rPr>
          <w:rFonts w:hint="eastAsia"/>
          <w:bCs/>
          <w:color w:val="000000" w:themeColor="text1"/>
          <w:sz w:val="24"/>
          <w:szCs w:val="24"/>
          <w14:textFill>
            <w14:solidFill>
              <w14:schemeClr w14:val="tx1"/>
            </w14:solidFill>
          </w14:textFill>
        </w:rPr>
        <w:t>一、基金份额持有人、基金管理人和基金托管人的权利、义务</w:t>
      </w:r>
    </w:p>
    <w:p>
      <w:pPr>
        <w:autoSpaceDE w:val="0"/>
        <w:autoSpaceDN w:val="0"/>
        <w:adjustRightInd w:val="0"/>
        <w:spacing w:line="360" w:lineRule="auto"/>
        <w:ind w:firstLine="480" w:firstLineChars="200"/>
        <w:jc w:val="left"/>
        <w:rPr>
          <w:bCs/>
          <w:color w:val="000000" w:themeColor="text1"/>
          <w:sz w:val="24"/>
          <w:szCs w:val="24"/>
          <w14:textFill>
            <w14:solidFill>
              <w14:schemeClr w14:val="tx1"/>
            </w14:solidFill>
          </w14:textFill>
        </w:rPr>
      </w:pPr>
      <w:r>
        <w:rPr>
          <w:rFonts w:hint="eastAsia"/>
          <w:bCs/>
          <w:color w:val="000000" w:themeColor="text1"/>
          <w:sz w:val="24"/>
          <w:szCs w:val="24"/>
          <w14:textFill>
            <w14:solidFill>
              <w14:schemeClr w14:val="tx1"/>
            </w14:solidFill>
          </w14:textFill>
        </w:rPr>
        <w:t>（一）基金份额持有人的权利与义务</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基金投资者持有本基金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每份基金份额具有同等的合法权益。</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w:t>
      </w:r>
      <w:r>
        <w:rPr>
          <w:rFonts w:hint="eastAsia"/>
          <w:bCs/>
          <w:color w:val="000000" w:themeColor="text1"/>
          <w:sz w:val="24"/>
          <w14:textFill>
            <w14:solidFill>
              <w14:schemeClr w14:val="tx1"/>
            </w14:solidFill>
          </w14:textFill>
        </w:rPr>
        <w:t>、根据《基金法》、《运作办法》及其他有关规定，基金份额持有人的权利包括但不限于：</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1</w:t>
      </w:r>
      <w:r>
        <w:rPr>
          <w:rFonts w:hint="eastAsia"/>
          <w:bCs/>
          <w:color w:val="000000" w:themeColor="text1"/>
          <w:sz w:val="24"/>
          <w14:textFill>
            <w14:solidFill>
              <w14:schemeClr w14:val="tx1"/>
            </w14:solidFill>
          </w14:textFill>
        </w:rPr>
        <w:t>）分享基金财产收益；</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2</w:t>
      </w:r>
      <w:r>
        <w:rPr>
          <w:rFonts w:hint="eastAsia"/>
          <w:bCs/>
          <w:color w:val="000000" w:themeColor="text1"/>
          <w:sz w:val="24"/>
          <w14:textFill>
            <w14:solidFill>
              <w14:schemeClr w14:val="tx1"/>
            </w14:solidFill>
          </w14:textFill>
        </w:rPr>
        <w:t>）参与分配清算后的剩余基金财产；</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3</w:t>
      </w:r>
      <w:r>
        <w:rPr>
          <w:rFonts w:hint="eastAsia"/>
          <w:bCs/>
          <w:color w:val="000000" w:themeColor="text1"/>
          <w:sz w:val="24"/>
          <w14:textFill>
            <w14:solidFill>
              <w14:schemeClr w14:val="tx1"/>
            </w14:solidFill>
          </w14:textFill>
        </w:rPr>
        <w:t>）依法转让或者在开放期内申请赎回其持有的基金份额；</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4</w:t>
      </w:r>
      <w:r>
        <w:rPr>
          <w:rFonts w:hint="eastAsia"/>
          <w:bCs/>
          <w:color w:val="000000" w:themeColor="text1"/>
          <w:sz w:val="24"/>
          <w14:textFill>
            <w14:solidFill>
              <w14:schemeClr w14:val="tx1"/>
            </w14:solidFill>
          </w14:textFill>
        </w:rPr>
        <w:t>）按照规定要求召开基金份额持有人大会或者召集基金份额持有人大会；</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5</w:t>
      </w:r>
      <w:r>
        <w:rPr>
          <w:rFonts w:hint="eastAsia"/>
          <w:bCs/>
          <w:color w:val="000000" w:themeColor="text1"/>
          <w:sz w:val="24"/>
          <w14:textFill>
            <w14:solidFill>
              <w14:schemeClr w14:val="tx1"/>
            </w14:solidFill>
          </w14:textFill>
        </w:rPr>
        <w:t>）出席或者委派代表出席基金份额持有人大会，对基金份额持有人大会审议事项行使表决权；</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6</w:t>
      </w:r>
      <w:r>
        <w:rPr>
          <w:rFonts w:hint="eastAsia"/>
          <w:bCs/>
          <w:color w:val="000000" w:themeColor="text1"/>
          <w:sz w:val="24"/>
          <w14:textFill>
            <w14:solidFill>
              <w14:schemeClr w14:val="tx1"/>
            </w14:solidFill>
          </w14:textFill>
        </w:rPr>
        <w:t>）查阅或者复制公开披露的基金信息资料；</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7</w:t>
      </w:r>
      <w:r>
        <w:rPr>
          <w:rFonts w:hint="eastAsia"/>
          <w:bCs/>
          <w:color w:val="000000" w:themeColor="text1"/>
          <w:sz w:val="24"/>
          <w14:textFill>
            <w14:solidFill>
              <w14:schemeClr w14:val="tx1"/>
            </w14:solidFill>
          </w14:textFill>
        </w:rPr>
        <w:t>）监督基金管理人的投资运作；</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8</w:t>
      </w:r>
      <w:r>
        <w:rPr>
          <w:rFonts w:hint="eastAsia"/>
          <w:bCs/>
          <w:color w:val="000000" w:themeColor="text1"/>
          <w:sz w:val="24"/>
          <w14:textFill>
            <w14:solidFill>
              <w14:schemeClr w14:val="tx1"/>
            </w14:solidFill>
          </w14:textFill>
        </w:rPr>
        <w:t>）对基金管理人、基金托管人、基金服务机构损害其合法权益的行为依法提起诉讼或仲裁；</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9</w:t>
      </w:r>
      <w:r>
        <w:rPr>
          <w:rFonts w:hint="eastAsia"/>
          <w:bCs/>
          <w:color w:val="000000" w:themeColor="text1"/>
          <w:sz w:val="24"/>
          <w14:textFill>
            <w14:solidFill>
              <w14:schemeClr w14:val="tx1"/>
            </w14:solidFill>
          </w14:textFill>
        </w:rPr>
        <w:t>）法律法规及中国证监会规定的和《基金合同》约定的其他权利。</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2</w:t>
      </w:r>
      <w:r>
        <w:rPr>
          <w:rFonts w:hint="eastAsia"/>
          <w:bCs/>
          <w:color w:val="000000" w:themeColor="text1"/>
          <w:sz w:val="24"/>
          <w14:textFill>
            <w14:solidFill>
              <w14:schemeClr w14:val="tx1"/>
            </w14:solidFill>
          </w14:textFill>
        </w:rPr>
        <w:t>、根据《基金法》、《运作办法》及其他有关规定，基金份额持有人的义务包括但不限于：</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1</w:t>
      </w:r>
      <w:r>
        <w:rPr>
          <w:rFonts w:hint="eastAsia"/>
          <w:bCs/>
          <w:color w:val="000000" w:themeColor="text1"/>
          <w:sz w:val="24"/>
          <w14:textFill>
            <w14:solidFill>
              <w14:schemeClr w14:val="tx1"/>
            </w14:solidFill>
          </w14:textFill>
        </w:rPr>
        <w:t>）认真阅读并遵守《基金合同》</w:t>
      </w:r>
      <w:r>
        <w:rPr>
          <w:rFonts w:hint="eastAsia"/>
          <w:bCs/>
          <w:color w:val="000000" w:themeColor="text1"/>
          <w:sz w:val="24"/>
          <w:szCs w:val="24"/>
          <w14:textFill>
            <w14:solidFill>
              <w14:schemeClr w14:val="tx1"/>
            </w14:solidFill>
          </w14:textFill>
        </w:rPr>
        <w:t>、招募说明书等信息披露文件</w:t>
      </w:r>
      <w:r>
        <w:rPr>
          <w:rFonts w:hint="eastAsia"/>
          <w:bCs/>
          <w:color w:val="000000" w:themeColor="text1"/>
          <w:sz w:val="24"/>
          <w14:textFill>
            <w14:solidFill>
              <w14:schemeClr w14:val="tx1"/>
            </w14:solidFill>
          </w14:textFill>
        </w:rPr>
        <w:t>；</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2</w:t>
      </w:r>
      <w:r>
        <w:rPr>
          <w:rFonts w:hint="eastAsia"/>
          <w:bCs/>
          <w:color w:val="000000" w:themeColor="text1"/>
          <w:sz w:val="24"/>
          <w14:textFill>
            <w14:solidFill>
              <w14:schemeClr w14:val="tx1"/>
            </w14:solidFill>
          </w14:textFill>
        </w:rPr>
        <w:t>）了解所投资基金产品，了解自身风险承受能力，自主判断基金的投资价值，自主做出投资决策，自行承担投资风险；</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3</w:t>
      </w:r>
      <w:r>
        <w:rPr>
          <w:rFonts w:hint="eastAsia"/>
          <w:bCs/>
          <w:color w:val="000000" w:themeColor="text1"/>
          <w:sz w:val="24"/>
          <w14:textFill>
            <w14:solidFill>
              <w14:schemeClr w14:val="tx1"/>
            </w14:solidFill>
          </w14:textFill>
        </w:rPr>
        <w:t>）关注基金信息披露，及时行使权利和履行义务；</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4</w:t>
      </w:r>
      <w:r>
        <w:rPr>
          <w:rFonts w:hint="eastAsia"/>
          <w:bCs/>
          <w:color w:val="000000" w:themeColor="text1"/>
          <w:sz w:val="24"/>
          <w14:textFill>
            <w14:solidFill>
              <w14:schemeClr w14:val="tx1"/>
            </w14:solidFill>
          </w14:textFill>
        </w:rPr>
        <w:t>）交纳基金认购、申购款项及法律法规和《基金合同》所规定的费用；</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5</w:t>
      </w:r>
      <w:r>
        <w:rPr>
          <w:rFonts w:hint="eastAsia"/>
          <w:bCs/>
          <w:color w:val="000000" w:themeColor="text1"/>
          <w:sz w:val="24"/>
          <w14:textFill>
            <w14:solidFill>
              <w14:schemeClr w14:val="tx1"/>
            </w14:solidFill>
          </w14:textFill>
        </w:rPr>
        <w:t>）在其持有的基金份额范围内，承担基金亏损或者《基金合同》终止的有限责任；</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6</w:t>
      </w:r>
      <w:r>
        <w:rPr>
          <w:rFonts w:hint="eastAsia"/>
          <w:bCs/>
          <w:color w:val="000000" w:themeColor="text1"/>
          <w:sz w:val="24"/>
          <w14:textFill>
            <w14:solidFill>
              <w14:schemeClr w14:val="tx1"/>
            </w14:solidFill>
          </w14:textFill>
        </w:rPr>
        <w:t>）不从事任何有损基金及其他《基金合同》当事人合法权益的活动；</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7</w:t>
      </w:r>
      <w:r>
        <w:rPr>
          <w:rFonts w:hint="eastAsia"/>
          <w:bCs/>
          <w:color w:val="000000" w:themeColor="text1"/>
          <w:sz w:val="24"/>
          <w14:textFill>
            <w14:solidFill>
              <w14:schemeClr w14:val="tx1"/>
            </w14:solidFill>
          </w14:textFill>
        </w:rPr>
        <w:t>）执行生效的基金份额持有人大会的决议；</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8</w:t>
      </w:r>
      <w:r>
        <w:rPr>
          <w:rFonts w:hint="eastAsia"/>
          <w:bCs/>
          <w:color w:val="000000" w:themeColor="text1"/>
          <w:sz w:val="24"/>
          <w14:textFill>
            <w14:solidFill>
              <w14:schemeClr w14:val="tx1"/>
            </w14:solidFill>
          </w14:textFill>
        </w:rPr>
        <w:t>）返还在基金交易过程中因任何原因获得的不当得利；</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9</w:t>
      </w:r>
      <w:r>
        <w:rPr>
          <w:rFonts w:hint="eastAsia"/>
          <w:bCs/>
          <w:color w:val="000000" w:themeColor="text1"/>
          <w:sz w:val="24"/>
          <w14:textFill>
            <w14:solidFill>
              <w14:schemeClr w14:val="tx1"/>
            </w14:solidFill>
          </w14:textFill>
        </w:rPr>
        <w:t>）提供基金管理人和监管机构依法要求提供的信息，以及不时地更新和补充，并保证其真实性；</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10</w:t>
      </w:r>
      <w:r>
        <w:rPr>
          <w:rFonts w:hint="eastAsia"/>
          <w:bCs/>
          <w:color w:val="000000" w:themeColor="text1"/>
          <w:sz w:val="24"/>
          <w14:textFill>
            <w14:solidFill>
              <w14:schemeClr w14:val="tx1"/>
            </w14:solidFill>
          </w14:textFill>
        </w:rPr>
        <w:t>）法律法规及中国证监会规定的和《基金合同》约定的其他义务。</w:t>
      </w:r>
    </w:p>
    <w:p>
      <w:pPr>
        <w:autoSpaceDE w:val="0"/>
        <w:autoSpaceDN w:val="0"/>
        <w:adjustRightInd w:val="0"/>
        <w:spacing w:line="360" w:lineRule="auto"/>
        <w:ind w:firstLine="480" w:firstLineChars="200"/>
        <w:jc w:val="left"/>
        <w:rPr>
          <w:bCs/>
          <w:color w:val="000000" w:themeColor="text1"/>
          <w:sz w:val="24"/>
          <w:szCs w:val="24"/>
          <w14:textFill>
            <w14:solidFill>
              <w14:schemeClr w14:val="tx1"/>
            </w14:solidFill>
          </w14:textFill>
        </w:rPr>
      </w:pPr>
      <w:r>
        <w:rPr>
          <w:rFonts w:hint="eastAsia"/>
          <w:bCs/>
          <w:color w:val="000000" w:themeColor="text1"/>
          <w:sz w:val="24"/>
          <w:szCs w:val="24"/>
          <w14:textFill>
            <w14:solidFill>
              <w14:schemeClr w14:val="tx1"/>
            </w14:solidFill>
          </w14:textFill>
        </w:rPr>
        <w:t>（二）基金管理人的权利与义务</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w:t>
      </w:r>
      <w:r>
        <w:rPr>
          <w:rFonts w:hint="eastAsia"/>
          <w:bCs/>
          <w:color w:val="000000" w:themeColor="text1"/>
          <w:sz w:val="24"/>
          <w14:textFill>
            <w14:solidFill>
              <w14:schemeClr w14:val="tx1"/>
            </w14:solidFill>
          </w14:textFill>
        </w:rPr>
        <w:t>、根据《基金法》、《运作办法》及其他有关规定，基金管理人的权利包括但不限于：</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1</w:t>
      </w:r>
      <w:r>
        <w:rPr>
          <w:rFonts w:hint="eastAsia"/>
          <w:bCs/>
          <w:color w:val="000000" w:themeColor="text1"/>
          <w:sz w:val="24"/>
          <w14:textFill>
            <w14:solidFill>
              <w14:schemeClr w14:val="tx1"/>
            </w14:solidFill>
          </w14:textFill>
        </w:rPr>
        <w:t>）依法募集资金；</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2</w:t>
      </w:r>
      <w:r>
        <w:rPr>
          <w:rFonts w:hint="eastAsia"/>
          <w:bCs/>
          <w:color w:val="000000" w:themeColor="text1"/>
          <w:sz w:val="24"/>
          <w14:textFill>
            <w14:solidFill>
              <w14:schemeClr w14:val="tx1"/>
            </w14:solidFill>
          </w14:textFill>
        </w:rPr>
        <w:t>）自《基金合同》生效之日起，根据法律法规和《基金合同》独立运用并管理基金财产；</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3</w:t>
      </w:r>
      <w:r>
        <w:rPr>
          <w:rFonts w:hint="eastAsia"/>
          <w:bCs/>
          <w:color w:val="000000" w:themeColor="text1"/>
          <w:sz w:val="24"/>
          <w14:textFill>
            <w14:solidFill>
              <w14:schemeClr w14:val="tx1"/>
            </w14:solidFill>
          </w14:textFill>
        </w:rPr>
        <w:t>）依照《基金合同》收取基金管理费以及法律法规规定或中国证监会批准的其他费用；</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4</w:t>
      </w:r>
      <w:r>
        <w:rPr>
          <w:rFonts w:hint="eastAsia"/>
          <w:bCs/>
          <w:color w:val="000000" w:themeColor="text1"/>
          <w:sz w:val="24"/>
          <w14:textFill>
            <w14:solidFill>
              <w14:schemeClr w14:val="tx1"/>
            </w14:solidFill>
          </w14:textFill>
        </w:rPr>
        <w:t>）销售基金份额；</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5</w:t>
      </w:r>
      <w:r>
        <w:rPr>
          <w:rFonts w:hint="eastAsia"/>
          <w:bCs/>
          <w:color w:val="000000" w:themeColor="text1"/>
          <w:sz w:val="24"/>
          <w14:textFill>
            <w14:solidFill>
              <w14:schemeClr w14:val="tx1"/>
            </w14:solidFill>
          </w14:textFill>
        </w:rPr>
        <w:t>）按照规定召集基金份额持有人大会；</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6</w:t>
      </w:r>
      <w:r>
        <w:rPr>
          <w:rFonts w:hint="eastAsia"/>
          <w:bCs/>
          <w:color w:val="000000" w:themeColor="text1"/>
          <w:sz w:val="24"/>
          <w14:textFill>
            <w14:solidFill>
              <w14:schemeClr w14:val="tx1"/>
            </w14:solidFill>
          </w14:textFill>
        </w:rPr>
        <w:t>）依据《基金合同》及有关法律规定监督基金托管人，如认为基金托管人违反了《基金合同》及国家有关法律规定，应呈报中国证监会和其他监管部门，并采取必要措施保护基金投资者的利益；</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7</w:t>
      </w:r>
      <w:r>
        <w:rPr>
          <w:rFonts w:hint="eastAsia"/>
          <w:bCs/>
          <w:color w:val="000000" w:themeColor="text1"/>
          <w:sz w:val="24"/>
          <w14:textFill>
            <w14:solidFill>
              <w14:schemeClr w14:val="tx1"/>
            </w14:solidFill>
          </w14:textFill>
        </w:rPr>
        <w:t>）在基金托管人更换时，提名新的基金托管人；</w:t>
      </w:r>
    </w:p>
    <w:p>
      <w:pPr>
        <w:spacing w:line="440" w:lineRule="atLeast"/>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8</w:t>
      </w:r>
      <w:r>
        <w:rPr>
          <w:rFonts w:hint="eastAsia"/>
          <w:bCs/>
          <w:color w:val="000000" w:themeColor="text1"/>
          <w:sz w:val="24"/>
          <w14:textFill>
            <w14:solidFill>
              <w14:schemeClr w14:val="tx1"/>
            </w14:solidFill>
          </w14:textFill>
        </w:rPr>
        <w:t>）选择、更换基金销售机构，对基金销售机构的相关行为进行监督和处理；</w:t>
      </w:r>
    </w:p>
    <w:p>
      <w:pPr>
        <w:spacing w:line="440" w:lineRule="atLeast"/>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9</w:t>
      </w:r>
      <w:r>
        <w:rPr>
          <w:rFonts w:hint="eastAsia"/>
          <w:bCs/>
          <w:color w:val="000000" w:themeColor="text1"/>
          <w:sz w:val="24"/>
          <w14:textFill>
            <w14:solidFill>
              <w14:schemeClr w14:val="tx1"/>
            </w14:solidFill>
          </w14:textFill>
        </w:rPr>
        <w:t>）担任或委托其他符合条件的机构担任基金登记机构办理基金登记业务并获得《基金合同》规定的费用；</w:t>
      </w:r>
      <w:r>
        <w:rPr>
          <w:bCs/>
          <w:color w:val="000000" w:themeColor="text1"/>
          <w:sz w:val="24"/>
          <w14:textFill>
            <w14:solidFill>
              <w14:schemeClr w14:val="tx1"/>
            </w14:solidFill>
          </w14:textFill>
        </w:rPr>
        <w:t xml:space="preserve"> </w:t>
      </w:r>
    </w:p>
    <w:p>
      <w:pPr>
        <w:spacing w:line="440" w:lineRule="atLeast"/>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10</w:t>
      </w:r>
      <w:r>
        <w:rPr>
          <w:rFonts w:hint="eastAsia"/>
          <w:bCs/>
          <w:color w:val="000000" w:themeColor="text1"/>
          <w:sz w:val="24"/>
          <w14:textFill>
            <w14:solidFill>
              <w14:schemeClr w14:val="tx1"/>
            </w14:solidFill>
          </w14:textFill>
        </w:rPr>
        <w:t>）依据《基金合同》及有关法律规定决定基金收益的分配方案；</w:t>
      </w:r>
      <w:r>
        <w:rPr>
          <w:bCs/>
          <w:color w:val="000000" w:themeColor="text1"/>
          <w:sz w:val="24"/>
          <w14:textFill>
            <w14:solidFill>
              <w14:schemeClr w14:val="tx1"/>
            </w14:solidFill>
          </w14:textFill>
        </w:rPr>
        <w:tab/>
      </w:r>
    </w:p>
    <w:p>
      <w:pPr>
        <w:spacing w:line="440" w:lineRule="atLeast"/>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11</w:t>
      </w:r>
      <w:r>
        <w:rPr>
          <w:rFonts w:hint="eastAsia"/>
          <w:bCs/>
          <w:color w:val="000000" w:themeColor="text1"/>
          <w:sz w:val="24"/>
          <w14:textFill>
            <w14:solidFill>
              <w14:schemeClr w14:val="tx1"/>
            </w14:solidFill>
          </w14:textFill>
        </w:rPr>
        <w:t>）在《基金合同》约定的范围内，拒绝或暂停受理申购、赎回或转换申请；</w:t>
      </w:r>
    </w:p>
    <w:p>
      <w:pPr>
        <w:spacing w:line="440" w:lineRule="atLeast"/>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12</w:t>
      </w:r>
      <w:r>
        <w:rPr>
          <w:rFonts w:hint="eastAsia"/>
          <w:bCs/>
          <w:color w:val="000000" w:themeColor="text1"/>
          <w:sz w:val="24"/>
          <w14:textFill>
            <w14:solidFill>
              <w14:schemeClr w14:val="tx1"/>
            </w14:solidFill>
          </w14:textFill>
        </w:rPr>
        <w:t>）依照法律法规为基金的利益对被投资公司行使证券持有人权利，为基金的利益行使因基金财产投资于证券所产生的权利；</w:t>
      </w:r>
    </w:p>
    <w:p>
      <w:pPr>
        <w:spacing w:line="440" w:lineRule="atLeast"/>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13</w:t>
      </w:r>
      <w:r>
        <w:rPr>
          <w:rFonts w:hint="eastAsia"/>
          <w:bCs/>
          <w:color w:val="000000" w:themeColor="text1"/>
          <w:sz w:val="24"/>
          <w14:textFill>
            <w14:solidFill>
              <w14:schemeClr w14:val="tx1"/>
            </w14:solidFill>
          </w14:textFill>
        </w:rPr>
        <w:t>）在法律法规允许的前提下，为基金的利益依法为基金进行融资；</w:t>
      </w:r>
    </w:p>
    <w:p>
      <w:pPr>
        <w:spacing w:line="440" w:lineRule="atLeast"/>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14</w:t>
      </w:r>
      <w:r>
        <w:rPr>
          <w:rFonts w:hint="eastAsia"/>
          <w:bCs/>
          <w:color w:val="000000" w:themeColor="text1"/>
          <w:sz w:val="24"/>
          <w14:textFill>
            <w14:solidFill>
              <w14:schemeClr w14:val="tx1"/>
            </w14:solidFill>
          </w14:textFill>
        </w:rPr>
        <w:t>）以基金管理人的名义，代表基金份额持有人的利益行使诉讼权利或者实施其他法律行为；</w:t>
      </w:r>
    </w:p>
    <w:p>
      <w:pPr>
        <w:spacing w:line="440" w:lineRule="atLeast"/>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15</w:t>
      </w:r>
      <w:r>
        <w:rPr>
          <w:rFonts w:hint="eastAsia"/>
          <w:bCs/>
          <w:color w:val="000000" w:themeColor="text1"/>
          <w:sz w:val="24"/>
          <w14:textFill>
            <w14:solidFill>
              <w14:schemeClr w14:val="tx1"/>
            </w14:solidFill>
          </w14:textFill>
        </w:rPr>
        <w:t>）选择、更换律师事务所、会计师事务所、证券经纪商或其他为基金提供服务的外部机构；</w:t>
      </w:r>
    </w:p>
    <w:p>
      <w:pPr>
        <w:spacing w:line="440" w:lineRule="atLeast"/>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16</w:t>
      </w:r>
      <w:r>
        <w:rPr>
          <w:rFonts w:hint="eastAsia"/>
          <w:bCs/>
          <w:color w:val="000000" w:themeColor="text1"/>
          <w:sz w:val="24"/>
          <w14:textFill>
            <w14:solidFill>
              <w14:schemeClr w14:val="tx1"/>
            </w14:solidFill>
          </w14:textFill>
        </w:rPr>
        <w:t>）在符合有关法律、法规的前提下，制订和调整有关基金认购、申购、赎回、转换和非交易过户等业务规则；</w:t>
      </w:r>
    </w:p>
    <w:p>
      <w:pPr>
        <w:spacing w:line="440" w:lineRule="atLeast"/>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17</w:t>
      </w:r>
      <w:r>
        <w:rPr>
          <w:rFonts w:hint="eastAsia"/>
          <w:bCs/>
          <w:color w:val="000000" w:themeColor="text1"/>
          <w:sz w:val="24"/>
          <w14:textFill>
            <w14:solidFill>
              <w14:schemeClr w14:val="tx1"/>
            </w14:solidFill>
          </w14:textFill>
        </w:rPr>
        <w:t>）法律法规及中国证监会规定的和《基金合同》约定的其他权利。</w:t>
      </w:r>
    </w:p>
    <w:p>
      <w:pPr>
        <w:spacing w:line="440" w:lineRule="atLeast"/>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2</w:t>
      </w:r>
      <w:r>
        <w:rPr>
          <w:rFonts w:hint="eastAsia"/>
          <w:bCs/>
          <w:color w:val="000000" w:themeColor="text1"/>
          <w:sz w:val="24"/>
          <w14:textFill>
            <w14:solidFill>
              <w14:schemeClr w14:val="tx1"/>
            </w14:solidFill>
          </w14:textFill>
        </w:rPr>
        <w:t>、根据《基金法》、《运作办法》及其他有关规定，基金管理人的义务包括但不限于：</w:t>
      </w:r>
    </w:p>
    <w:p>
      <w:pPr>
        <w:spacing w:line="440" w:lineRule="atLeast"/>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1</w:t>
      </w:r>
      <w:r>
        <w:rPr>
          <w:rFonts w:hint="eastAsia"/>
          <w:bCs/>
          <w:color w:val="000000" w:themeColor="text1"/>
          <w:sz w:val="24"/>
          <w14:textFill>
            <w14:solidFill>
              <w14:schemeClr w14:val="tx1"/>
            </w14:solidFill>
          </w14:textFill>
        </w:rPr>
        <w:t>）依法募集资金，办理或者委托经中国证监会认定的其他机构代为办理基金份额的发售、申购、赎回和登记事宜；</w:t>
      </w:r>
    </w:p>
    <w:p>
      <w:pPr>
        <w:spacing w:line="440" w:lineRule="atLeast"/>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2</w:t>
      </w:r>
      <w:r>
        <w:rPr>
          <w:rFonts w:hint="eastAsia"/>
          <w:bCs/>
          <w:color w:val="000000" w:themeColor="text1"/>
          <w:sz w:val="24"/>
          <w14:textFill>
            <w14:solidFill>
              <w14:schemeClr w14:val="tx1"/>
            </w14:solidFill>
          </w14:textFill>
        </w:rPr>
        <w:t>）办理基金备案手续；</w:t>
      </w:r>
    </w:p>
    <w:p>
      <w:pPr>
        <w:spacing w:line="440" w:lineRule="atLeast"/>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3</w:t>
      </w:r>
      <w:r>
        <w:rPr>
          <w:rFonts w:hint="eastAsia"/>
          <w:bCs/>
          <w:color w:val="000000" w:themeColor="text1"/>
          <w:sz w:val="24"/>
          <w14:textFill>
            <w14:solidFill>
              <w14:schemeClr w14:val="tx1"/>
            </w14:solidFill>
          </w14:textFill>
        </w:rPr>
        <w:t>）自《基金合同》生效之日起</w:t>
      </w:r>
      <w:r>
        <w:rPr>
          <w:bCs/>
          <w:color w:val="000000" w:themeColor="text1"/>
          <w:sz w:val="24"/>
          <w14:textFill>
            <w14:solidFill>
              <w14:schemeClr w14:val="tx1"/>
            </w14:solidFill>
          </w14:textFill>
        </w:rPr>
        <w:t>,</w:t>
      </w:r>
      <w:r>
        <w:rPr>
          <w:rFonts w:hint="eastAsia"/>
          <w:bCs/>
          <w:color w:val="000000" w:themeColor="text1"/>
          <w:sz w:val="24"/>
          <w14:textFill>
            <w14:solidFill>
              <w14:schemeClr w14:val="tx1"/>
            </w14:solidFill>
          </w14:textFill>
        </w:rPr>
        <w:t>以诚实信用、谨慎勤勉的原则管理和运用基金财产；</w:t>
      </w:r>
    </w:p>
    <w:p>
      <w:pPr>
        <w:spacing w:line="440" w:lineRule="atLeast"/>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4</w:t>
      </w:r>
      <w:r>
        <w:rPr>
          <w:rFonts w:hint="eastAsia"/>
          <w:bCs/>
          <w:color w:val="000000" w:themeColor="text1"/>
          <w:sz w:val="24"/>
          <w14:textFill>
            <w14:solidFill>
              <w14:schemeClr w14:val="tx1"/>
            </w14:solidFill>
          </w14:textFill>
        </w:rPr>
        <w:t>）配备足够的具有专业资格的人员进行基金投资分析、决策，以专业化的经营方式管理和运作基金财产；</w:t>
      </w:r>
    </w:p>
    <w:p>
      <w:pPr>
        <w:spacing w:line="440" w:lineRule="atLeast"/>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5</w:t>
      </w:r>
      <w:r>
        <w:rPr>
          <w:rFonts w:hint="eastAsia"/>
          <w:bCs/>
          <w:color w:val="000000" w:themeColor="text1"/>
          <w:sz w:val="24"/>
          <w14:textFill>
            <w14:solidFill>
              <w14:schemeClr w14:val="tx1"/>
            </w14:solidFill>
          </w14:textFill>
        </w:rPr>
        <w:t>）建立健全内部风险控制、监察与稽核、财务管理及人事管理等制度，保证所管理的基金财产和基金管理人的财产相互独立</w:t>
      </w:r>
      <w:r>
        <w:rPr>
          <w:bCs/>
          <w:color w:val="000000" w:themeColor="text1"/>
          <w:sz w:val="24"/>
          <w14:textFill>
            <w14:solidFill>
              <w14:schemeClr w14:val="tx1"/>
            </w14:solidFill>
          </w14:textFill>
        </w:rPr>
        <w:t>,</w:t>
      </w:r>
      <w:r>
        <w:rPr>
          <w:rFonts w:hint="eastAsia"/>
          <w:bCs/>
          <w:color w:val="000000" w:themeColor="text1"/>
          <w:sz w:val="24"/>
          <w14:textFill>
            <w14:solidFill>
              <w14:schemeClr w14:val="tx1"/>
            </w14:solidFill>
          </w14:textFill>
        </w:rPr>
        <w:t>对所管理的不同基金分别管理，分别记账，进行证券投资；</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6</w:t>
      </w:r>
      <w:r>
        <w:rPr>
          <w:rFonts w:hint="eastAsia"/>
          <w:bCs/>
          <w:color w:val="000000" w:themeColor="text1"/>
          <w:sz w:val="24"/>
          <w14:textFill>
            <w14:solidFill>
              <w14:schemeClr w14:val="tx1"/>
            </w14:solidFill>
          </w14:textFill>
        </w:rPr>
        <w:t>）除依据《基金法》、《基金合同》及其他有关规定外</w:t>
      </w:r>
      <w:r>
        <w:rPr>
          <w:bCs/>
          <w:color w:val="000000" w:themeColor="text1"/>
          <w:sz w:val="24"/>
          <w14:textFill>
            <w14:solidFill>
              <w14:schemeClr w14:val="tx1"/>
            </w14:solidFill>
          </w14:textFill>
        </w:rPr>
        <w:t>,</w:t>
      </w:r>
      <w:r>
        <w:rPr>
          <w:rFonts w:hint="eastAsia"/>
          <w:bCs/>
          <w:color w:val="000000" w:themeColor="text1"/>
          <w:sz w:val="24"/>
          <w14:textFill>
            <w14:solidFill>
              <w14:schemeClr w14:val="tx1"/>
            </w14:solidFill>
          </w14:textFill>
        </w:rPr>
        <w:t>不得利用基金财产为自己及任何第三人谋取利益，不得委托第三人运作基金财产；</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7</w:t>
      </w:r>
      <w:r>
        <w:rPr>
          <w:rFonts w:hint="eastAsia"/>
          <w:bCs/>
          <w:color w:val="000000" w:themeColor="text1"/>
          <w:sz w:val="24"/>
          <w14:textFill>
            <w14:solidFill>
              <w14:schemeClr w14:val="tx1"/>
            </w14:solidFill>
          </w14:textFill>
        </w:rPr>
        <w:t>）依法接受基金托管人的监督；</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8</w:t>
      </w:r>
      <w:r>
        <w:rPr>
          <w:rFonts w:hint="eastAsia"/>
          <w:bCs/>
          <w:color w:val="000000" w:themeColor="text1"/>
          <w:sz w:val="24"/>
          <w14:textFill>
            <w14:solidFill>
              <w14:schemeClr w14:val="tx1"/>
            </w14:solidFill>
          </w14:textFill>
        </w:rPr>
        <w:t>）采取适当合理的措施使计算基金份额认购、申购、赎回和注销价格的方法符合《基金合同》等法律文件的规定，按有关规定计算并公告基金净值信息，确定基金份额申购、赎回的价格；</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9</w:t>
      </w:r>
      <w:r>
        <w:rPr>
          <w:rFonts w:hint="eastAsia"/>
          <w:bCs/>
          <w:color w:val="000000" w:themeColor="text1"/>
          <w:sz w:val="24"/>
          <w14:textFill>
            <w14:solidFill>
              <w14:schemeClr w14:val="tx1"/>
            </w14:solidFill>
          </w14:textFill>
        </w:rPr>
        <w:t>）进行基金会计核算并编制基金财务会计报告；</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10</w:t>
      </w:r>
      <w:r>
        <w:rPr>
          <w:rFonts w:hint="eastAsia"/>
          <w:bCs/>
          <w:color w:val="000000" w:themeColor="text1"/>
          <w:sz w:val="24"/>
          <w14:textFill>
            <w14:solidFill>
              <w14:schemeClr w14:val="tx1"/>
            </w14:solidFill>
          </w14:textFill>
        </w:rPr>
        <w:t>）编制季度报告、中期报告和年度报告；</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11</w:t>
      </w:r>
      <w:r>
        <w:rPr>
          <w:rFonts w:hint="eastAsia"/>
          <w:bCs/>
          <w:color w:val="000000" w:themeColor="text1"/>
          <w:sz w:val="24"/>
          <w14:textFill>
            <w14:solidFill>
              <w14:schemeClr w14:val="tx1"/>
            </w14:solidFill>
          </w14:textFill>
        </w:rPr>
        <w:t>）严格按照《基金法》、《信息披露办法》、《基金合同》及其他有关规定，履行信息披露及报告义务；</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12</w:t>
      </w:r>
      <w:r>
        <w:rPr>
          <w:rFonts w:hint="eastAsia"/>
          <w:bCs/>
          <w:color w:val="000000" w:themeColor="text1"/>
          <w:sz w:val="24"/>
          <w14:textFill>
            <w14:solidFill>
              <w14:schemeClr w14:val="tx1"/>
            </w14:solidFill>
          </w14:textFill>
        </w:rPr>
        <w:t>）保守基金商业秘密，不泄露基金投资计划、投资意向等。除《基金法》、《信息披露办法》、《基金合同》及其他有关规定另有规定外，在基金信息公开披露前应予保密，不向他人泄露；</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13</w:t>
      </w:r>
      <w:r>
        <w:rPr>
          <w:rFonts w:hint="eastAsia"/>
          <w:bCs/>
          <w:color w:val="000000" w:themeColor="text1"/>
          <w:sz w:val="24"/>
          <w14:textFill>
            <w14:solidFill>
              <w14:schemeClr w14:val="tx1"/>
            </w14:solidFill>
          </w14:textFill>
        </w:rPr>
        <w:t>）按《基金合同》的约定确定基金收益分配方案，及时向基金份额持有人分配基金收益；</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14</w:t>
      </w:r>
      <w:r>
        <w:rPr>
          <w:rFonts w:hint="eastAsia"/>
          <w:bCs/>
          <w:color w:val="000000" w:themeColor="text1"/>
          <w:sz w:val="24"/>
          <w14:textFill>
            <w14:solidFill>
              <w14:schemeClr w14:val="tx1"/>
            </w14:solidFill>
          </w14:textFill>
        </w:rPr>
        <w:t>）按规定受理申购与赎回申请，及时、足额支付赎回款项；</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15</w:t>
      </w:r>
      <w:r>
        <w:rPr>
          <w:rFonts w:hint="eastAsia"/>
          <w:bCs/>
          <w:color w:val="000000" w:themeColor="text1"/>
          <w:sz w:val="24"/>
          <w14:textFill>
            <w14:solidFill>
              <w14:schemeClr w14:val="tx1"/>
            </w14:solidFill>
          </w14:textFill>
        </w:rPr>
        <w:t>）依据《基金法》、《基金合同》及其他有关规定召集基金份额持有人大会或配合基金托管人、基金份额持有人依法召集基金份额持有人大会；</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16</w:t>
      </w:r>
      <w:r>
        <w:rPr>
          <w:rFonts w:hint="eastAsia"/>
          <w:bCs/>
          <w:color w:val="000000" w:themeColor="text1"/>
          <w:sz w:val="24"/>
          <w14:textFill>
            <w14:solidFill>
              <w14:schemeClr w14:val="tx1"/>
            </w14:solidFill>
          </w14:textFill>
        </w:rPr>
        <w:t>）按规定保存基金财产管理业务活动的会计账册、报表、记录和其他相关资料，保存期限不低于法律法规规定的最低期限；</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17</w:t>
      </w:r>
      <w:r>
        <w:rPr>
          <w:rFonts w:hint="eastAsia"/>
          <w:bCs/>
          <w:color w:val="000000" w:themeColor="text1"/>
          <w:sz w:val="24"/>
          <w14:textFill>
            <w14:solidFill>
              <w14:schemeClr w14:val="tx1"/>
            </w14:solidFill>
          </w14:textFill>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18</w:t>
      </w:r>
      <w:r>
        <w:rPr>
          <w:rFonts w:hint="eastAsia"/>
          <w:bCs/>
          <w:color w:val="000000" w:themeColor="text1"/>
          <w:sz w:val="24"/>
          <w14:textFill>
            <w14:solidFill>
              <w14:schemeClr w14:val="tx1"/>
            </w14:solidFill>
          </w14:textFill>
        </w:rPr>
        <w:t>）组织并参加基金财产清算小组</w:t>
      </w:r>
      <w:r>
        <w:rPr>
          <w:bCs/>
          <w:color w:val="000000" w:themeColor="text1"/>
          <w:sz w:val="24"/>
          <w14:textFill>
            <w14:solidFill>
              <w14:schemeClr w14:val="tx1"/>
            </w14:solidFill>
          </w14:textFill>
        </w:rPr>
        <w:t>,</w:t>
      </w:r>
      <w:r>
        <w:rPr>
          <w:rFonts w:hint="eastAsia"/>
          <w:bCs/>
          <w:color w:val="000000" w:themeColor="text1"/>
          <w:sz w:val="24"/>
          <w14:textFill>
            <w14:solidFill>
              <w14:schemeClr w14:val="tx1"/>
            </w14:solidFill>
          </w14:textFill>
        </w:rPr>
        <w:t>参与基金财产的保管、清理、估价、变现和分配；</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19</w:t>
      </w:r>
      <w:r>
        <w:rPr>
          <w:rFonts w:hint="eastAsia"/>
          <w:bCs/>
          <w:color w:val="000000" w:themeColor="text1"/>
          <w:sz w:val="24"/>
          <w14:textFill>
            <w14:solidFill>
              <w14:schemeClr w14:val="tx1"/>
            </w14:solidFill>
          </w14:textFill>
        </w:rPr>
        <w:t>）面临解散、依法被撤销或者被依法宣告破产时，及时报告中国证监会并通知基金托管人；</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20</w:t>
      </w:r>
      <w:r>
        <w:rPr>
          <w:rFonts w:hint="eastAsia"/>
          <w:bCs/>
          <w:color w:val="000000" w:themeColor="text1"/>
          <w:sz w:val="24"/>
          <w14:textFill>
            <w14:solidFill>
              <w14:schemeClr w14:val="tx1"/>
            </w14:solidFill>
          </w14:textFill>
        </w:rPr>
        <w:t>）因违反《基金合同》导致基金财产的损失或损害基金份额持有人合法权益时，应当承担赔偿责任，其赔偿责任不因其退任而免除；</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21</w:t>
      </w:r>
      <w:r>
        <w:rPr>
          <w:rFonts w:hint="eastAsia"/>
          <w:bCs/>
          <w:color w:val="000000" w:themeColor="text1"/>
          <w:sz w:val="24"/>
          <w14:textFill>
            <w14:solidFill>
              <w14:schemeClr w14:val="tx1"/>
            </w14:solidFill>
          </w14:textFill>
        </w:rPr>
        <w:t>）监督基金托管人按法律法规和《基金合同》规定履行自己的义务，基金托管人违反《基金合同》造成基金财产损失时，基金管理人应为基金份额持有人利益向基金托管人追偿；</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22</w:t>
      </w:r>
      <w:r>
        <w:rPr>
          <w:rFonts w:hint="eastAsia"/>
          <w:bCs/>
          <w:color w:val="000000" w:themeColor="text1"/>
          <w:sz w:val="24"/>
          <w14:textFill>
            <w14:solidFill>
              <w14:schemeClr w14:val="tx1"/>
            </w14:solidFill>
          </w14:textFill>
        </w:rPr>
        <w:t>）当基金管理人将其义务委托第三方处理时，应当对第三方处理有关基金事务的行为承担责任；</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23</w:t>
      </w:r>
      <w:r>
        <w:rPr>
          <w:rFonts w:hint="eastAsia"/>
          <w:bCs/>
          <w:color w:val="000000" w:themeColor="text1"/>
          <w:sz w:val="24"/>
          <w14:textFill>
            <w14:solidFill>
              <w14:schemeClr w14:val="tx1"/>
            </w14:solidFill>
          </w14:textFill>
        </w:rPr>
        <w:t>）以基金管理人名义，代表基金份额持有人利益行使诉讼权利或实施其他法律行为；</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24</w:t>
      </w:r>
      <w:r>
        <w:rPr>
          <w:rFonts w:hint="eastAsia"/>
          <w:bCs/>
          <w:color w:val="000000" w:themeColor="text1"/>
          <w:sz w:val="24"/>
          <w14:textFill>
            <w14:solidFill>
              <w14:schemeClr w14:val="tx1"/>
            </w14:solidFill>
          </w14:textFill>
        </w:rPr>
        <w:t>）基金在募集期间未能达到基金的备案条件，《基金合同》不能生效，基金管理人承担全部募集费用，将已募集资金并加计银行同期活期存款利息在基金募集期结束后</w:t>
      </w:r>
      <w:r>
        <w:rPr>
          <w:bCs/>
          <w:color w:val="000000" w:themeColor="text1"/>
          <w:sz w:val="24"/>
          <w14:textFill>
            <w14:solidFill>
              <w14:schemeClr w14:val="tx1"/>
            </w14:solidFill>
          </w14:textFill>
        </w:rPr>
        <w:t>30</w:t>
      </w:r>
      <w:r>
        <w:rPr>
          <w:rFonts w:hint="eastAsia"/>
          <w:bCs/>
          <w:color w:val="000000" w:themeColor="text1"/>
          <w:sz w:val="24"/>
          <w14:textFill>
            <w14:solidFill>
              <w14:schemeClr w14:val="tx1"/>
            </w14:solidFill>
          </w14:textFill>
        </w:rPr>
        <w:t>日内退还基金认购人；</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25</w:t>
      </w:r>
      <w:r>
        <w:rPr>
          <w:rFonts w:hint="eastAsia"/>
          <w:bCs/>
          <w:color w:val="000000" w:themeColor="text1"/>
          <w:sz w:val="24"/>
          <w14:textFill>
            <w14:solidFill>
              <w14:schemeClr w14:val="tx1"/>
            </w14:solidFill>
          </w14:textFill>
        </w:rPr>
        <w:t>）执行生效的基金份额持有人大会的决议；</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26</w:t>
      </w:r>
      <w:r>
        <w:rPr>
          <w:rFonts w:hint="eastAsia"/>
          <w:bCs/>
          <w:color w:val="000000" w:themeColor="text1"/>
          <w:sz w:val="24"/>
          <w14:textFill>
            <w14:solidFill>
              <w14:schemeClr w14:val="tx1"/>
            </w14:solidFill>
          </w14:textFill>
        </w:rPr>
        <w:t>）建立并保存基金份额持有人名册；</w:t>
      </w:r>
    </w:p>
    <w:p>
      <w:pPr>
        <w:autoSpaceDE w:val="0"/>
        <w:autoSpaceDN w:val="0"/>
        <w:adjustRightInd w:val="0"/>
        <w:spacing w:line="360" w:lineRule="auto"/>
        <w:ind w:firstLine="480" w:firstLineChars="200"/>
        <w:jc w:val="left"/>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27</w:t>
      </w:r>
      <w:r>
        <w:rPr>
          <w:rFonts w:hint="eastAsia"/>
          <w:bCs/>
          <w:color w:val="000000" w:themeColor="text1"/>
          <w:sz w:val="24"/>
          <w14:textFill>
            <w14:solidFill>
              <w14:schemeClr w14:val="tx1"/>
            </w14:solidFill>
          </w14:textFill>
        </w:rPr>
        <w:t>）法律法规及中国证监会规定的和《基金合同》约定的其他义务。</w:t>
      </w:r>
    </w:p>
    <w:p>
      <w:pPr>
        <w:autoSpaceDE w:val="0"/>
        <w:autoSpaceDN w:val="0"/>
        <w:adjustRightInd w:val="0"/>
        <w:spacing w:line="360" w:lineRule="auto"/>
        <w:ind w:firstLine="480" w:firstLineChars="200"/>
        <w:jc w:val="left"/>
        <w:rPr>
          <w:bCs/>
          <w:color w:val="000000" w:themeColor="text1"/>
          <w:sz w:val="24"/>
          <w:szCs w:val="24"/>
          <w14:textFill>
            <w14:solidFill>
              <w14:schemeClr w14:val="tx1"/>
            </w14:solidFill>
          </w14:textFill>
        </w:rPr>
      </w:pPr>
      <w:r>
        <w:rPr>
          <w:rFonts w:hint="eastAsia"/>
          <w:bCs/>
          <w:color w:val="000000" w:themeColor="text1"/>
          <w:sz w:val="24"/>
          <w:szCs w:val="24"/>
          <w14:textFill>
            <w14:solidFill>
              <w14:schemeClr w14:val="tx1"/>
            </w14:solidFill>
          </w14:textFill>
        </w:rPr>
        <w:t>（三）基金托管人的权利与义务</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w:t>
      </w:r>
      <w:r>
        <w:rPr>
          <w:rFonts w:hint="eastAsia"/>
          <w:bCs/>
          <w:color w:val="000000" w:themeColor="text1"/>
          <w:sz w:val="24"/>
          <w14:textFill>
            <w14:solidFill>
              <w14:schemeClr w14:val="tx1"/>
            </w14:solidFill>
          </w14:textFill>
        </w:rPr>
        <w:t>、根据《基金法》、《运作办法》及其他有关规定，基金托管人的权利包括但不限于：</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1</w:t>
      </w:r>
      <w:r>
        <w:rPr>
          <w:rFonts w:hint="eastAsia"/>
          <w:bCs/>
          <w:color w:val="000000" w:themeColor="text1"/>
          <w:sz w:val="24"/>
          <w14:textFill>
            <w14:solidFill>
              <w14:schemeClr w14:val="tx1"/>
            </w14:solidFill>
          </w14:textFill>
        </w:rPr>
        <w:t>）自《基金合同》生效之日起，依法律法规和《基金合同》的规定安全保管基金财产；</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2</w:t>
      </w:r>
      <w:r>
        <w:rPr>
          <w:rFonts w:hint="eastAsia"/>
          <w:bCs/>
          <w:color w:val="000000" w:themeColor="text1"/>
          <w:sz w:val="24"/>
          <w14:textFill>
            <w14:solidFill>
              <w14:schemeClr w14:val="tx1"/>
            </w14:solidFill>
          </w14:textFill>
        </w:rPr>
        <w:t>）依《基金合同》约定获得基金托管费以及法律法规规定或监管部门批准的其他费用；</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3</w:t>
      </w:r>
      <w:r>
        <w:rPr>
          <w:rFonts w:hint="eastAsia"/>
          <w:bCs/>
          <w:color w:val="000000" w:themeColor="text1"/>
          <w:sz w:val="24"/>
          <w14:textFill>
            <w14:solidFill>
              <w14:schemeClr w14:val="tx1"/>
            </w14:solidFill>
          </w14:textFill>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4</w:t>
      </w:r>
      <w:r>
        <w:rPr>
          <w:rFonts w:hint="eastAsia"/>
          <w:bCs/>
          <w:color w:val="000000" w:themeColor="text1"/>
          <w:sz w:val="24"/>
          <w14:textFill>
            <w14:solidFill>
              <w14:schemeClr w14:val="tx1"/>
            </w14:solidFill>
          </w14:textFill>
        </w:rPr>
        <w:t>）根据相关市场规则，为基金开设</w:t>
      </w:r>
      <w:r>
        <w:rPr>
          <w:rFonts w:hint="eastAsia"/>
          <w:bCs/>
          <w:color w:val="000000" w:themeColor="text1"/>
          <w:sz w:val="24"/>
          <w:szCs w:val="24"/>
          <w14:textFill>
            <w14:solidFill>
              <w14:schemeClr w14:val="tx1"/>
            </w14:solidFill>
          </w14:textFill>
        </w:rPr>
        <w:t>资金</w:t>
      </w:r>
      <w:r>
        <w:rPr>
          <w:bCs/>
          <w:color w:val="000000" w:themeColor="text1"/>
          <w:sz w:val="24"/>
          <w:szCs w:val="24"/>
          <w14:textFill>
            <w14:solidFill>
              <w14:schemeClr w14:val="tx1"/>
            </w14:solidFill>
          </w14:textFill>
        </w:rPr>
        <w:t>/</w:t>
      </w:r>
      <w:r>
        <w:rPr>
          <w:rFonts w:hint="eastAsia"/>
          <w:bCs/>
          <w:color w:val="000000" w:themeColor="text1"/>
          <w:sz w:val="24"/>
          <w14:textFill>
            <w14:solidFill>
              <w14:schemeClr w14:val="tx1"/>
            </w14:solidFill>
          </w14:textFill>
        </w:rPr>
        <w:t>证券账户等投资所需账户、为基金办理证券交易资金清算；</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5</w:t>
      </w:r>
      <w:r>
        <w:rPr>
          <w:rFonts w:hint="eastAsia"/>
          <w:bCs/>
          <w:color w:val="000000" w:themeColor="text1"/>
          <w:sz w:val="24"/>
          <w14:textFill>
            <w14:solidFill>
              <w14:schemeClr w14:val="tx1"/>
            </w14:solidFill>
          </w14:textFill>
        </w:rPr>
        <w:t>）提议召开或召集基金份额持有人大会；</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6</w:t>
      </w:r>
      <w:r>
        <w:rPr>
          <w:rFonts w:hint="eastAsia"/>
          <w:bCs/>
          <w:color w:val="000000" w:themeColor="text1"/>
          <w:sz w:val="24"/>
          <w14:textFill>
            <w14:solidFill>
              <w14:schemeClr w14:val="tx1"/>
            </w14:solidFill>
          </w14:textFill>
        </w:rPr>
        <w:t>）在基金管理人更换时，提名新的基金管理人；</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7</w:t>
      </w:r>
      <w:r>
        <w:rPr>
          <w:rFonts w:hint="eastAsia"/>
          <w:bCs/>
          <w:color w:val="000000" w:themeColor="text1"/>
          <w:sz w:val="24"/>
          <w14:textFill>
            <w14:solidFill>
              <w14:schemeClr w14:val="tx1"/>
            </w14:solidFill>
          </w14:textFill>
        </w:rPr>
        <w:t>）法律法规及中国证监会规定的和《基金合同》约定的其他权利。</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2</w:t>
      </w:r>
      <w:r>
        <w:rPr>
          <w:rFonts w:hint="eastAsia"/>
          <w:bCs/>
          <w:color w:val="000000" w:themeColor="text1"/>
          <w:sz w:val="24"/>
          <w14:textFill>
            <w14:solidFill>
              <w14:schemeClr w14:val="tx1"/>
            </w14:solidFill>
          </w14:textFill>
        </w:rPr>
        <w:t>、根据《基金法》、《运作办法》及其他有关规定，基金托管人的义务包括但不限于：</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1</w:t>
      </w:r>
      <w:r>
        <w:rPr>
          <w:rFonts w:hint="eastAsia"/>
          <w:bCs/>
          <w:color w:val="000000" w:themeColor="text1"/>
          <w:sz w:val="24"/>
          <w14:textFill>
            <w14:solidFill>
              <w14:schemeClr w14:val="tx1"/>
            </w14:solidFill>
          </w14:textFill>
        </w:rPr>
        <w:t>）以诚实信用、勤勉尽责的原则持有并安全保管基金财产；</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2</w:t>
      </w:r>
      <w:r>
        <w:rPr>
          <w:rFonts w:hint="eastAsia"/>
          <w:bCs/>
          <w:color w:val="000000" w:themeColor="text1"/>
          <w:sz w:val="24"/>
          <w14:textFill>
            <w14:solidFill>
              <w14:schemeClr w14:val="tx1"/>
            </w14:solidFill>
          </w14:textFill>
        </w:rPr>
        <w:t>）设立专门的基金托管部门，具有符合要求的营业场所，配备足够的、合格的熟悉基金托管业务的专职人员，负责基金财产托管事宜；</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3</w:t>
      </w:r>
      <w:r>
        <w:rPr>
          <w:rFonts w:hint="eastAsia"/>
          <w:bCs/>
          <w:color w:val="000000" w:themeColor="text1"/>
          <w:sz w:val="24"/>
          <w14:textFill>
            <w14:solidFill>
              <w14:schemeClr w14:val="tx1"/>
            </w14:solidFill>
          </w14:textFill>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4</w:t>
      </w:r>
      <w:r>
        <w:rPr>
          <w:rFonts w:hint="eastAsia"/>
          <w:bCs/>
          <w:color w:val="000000" w:themeColor="text1"/>
          <w:sz w:val="24"/>
          <w14:textFill>
            <w14:solidFill>
              <w14:schemeClr w14:val="tx1"/>
            </w14:solidFill>
          </w14:textFill>
        </w:rPr>
        <w:t>）除依据《基金法》、《基金合同》及其他有关规定外，不得利用基金财产为自己及任何第三人谋取利益，不得委托第三人托管基金财产；</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5</w:t>
      </w:r>
      <w:r>
        <w:rPr>
          <w:rFonts w:hint="eastAsia"/>
          <w:bCs/>
          <w:color w:val="000000" w:themeColor="text1"/>
          <w:sz w:val="24"/>
          <w14:textFill>
            <w14:solidFill>
              <w14:schemeClr w14:val="tx1"/>
            </w14:solidFill>
          </w14:textFill>
        </w:rPr>
        <w:t>）保管由基金管理人代表基金签订的与基金有关的重大合同及有关凭证；</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6</w:t>
      </w:r>
      <w:r>
        <w:rPr>
          <w:rFonts w:hint="eastAsia"/>
          <w:bCs/>
          <w:color w:val="000000" w:themeColor="text1"/>
          <w:sz w:val="24"/>
          <w14:textFill>
            <w14:solidFill>
              <w14:schemeClr w14:val="tx1"/>
            </w14:solidFill>
          </w14:textFill>
        </w:rPr>
        <w:t>）按规定开设基金财产的资金账户和证券账户等投资所需账户</w:t>
      </w:r>
      <w:r>
        <w:rPr>
          <w:bCs/>
          <w:color w:val="000000" w:themeColor="text1"/>
          <w:sz w:val="24"/>
          <w14:textFill>
            <w14:solidFill>
              <w14:schemeClr w14:val="tx1"/>
            </w14:solidFill>
          </w14:textFill>
        </w:rPr>
        <w:t>,</w:t>
      </w:r>
      <w:r>
        <w:rPr>
          <w:rFonts w:hint="eastAsia"/>
          <w:bCs/>
          <w:color w:val="000000" w:themeColor="text1"/>
          <w:sz w:val="24"/>
          <w14:textFill>
            <w14:solidFill>
              <w14:schemeClr w14:val="tx1"/>
            </w14:solidFill>
          </w14:textFill>
        </w:rPr>
        <w:t>按照《基金合同》的约定，根据基金管理人的投资指令，及时办理清算、交割事宜；</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7</w:t>
      </w:r>
      <w:r>
        <w:rPr>
          <w:rFonts w:hint="eastAsia"/>
          <w:bCs/>
          <w:color w:val="000000" w:themeColor="text1"/>
          <w:sz w:val="24"/>
          <w14:textFill>
            <w14:solidFill>
              <w14:schemeClr w14:val="tx1"/>
            </w14:solidFill>
          </w14:textFill>
        </w:rPr>
        <w:t>）保守基金商业秘密，除《基金法》、《基金合同》及其他有关规定另有规定外，在基金信息公开披露前予以保密，不得向他人泄露；</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8</w:t>
      </w:r>
      <w:r>
        <w:rPr>
          <w:rFonts w:hint="eastAsia"/>
          <w:bCs/>
          <w:color w:val="000000" w:themeColor="text1"/>
          <w:sz w:val="24"/>
          <w14:textFill>
            <w14:solidFill>
              <w14:schemeClr w14:val="tx1"/>
            </w14:solidFill>
          </w14:textFill>
        </w:rPr>
        <w:t>）复核、审查基金管理人计算的基金资产净值、基金份额净值、基金份额申购、赎回价格；</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9</w:t>
      </w:r>
      <w:r>
        <w:rPr>
          <w:rFonts w:hint="eastAsia"/>
          <w:bCs/>
          <w:color w:val="000000" w:themeColor="text1"/>
          <w:sz w:val="24"/>
          <w14:textFill>
            <w14:solidFill>
              <w14:schemeClr w14:val="tx1"/>
            </w14:solidFill>
          </w14:textFill>
        </w:rPr>
        <w:t>）办理与基金托管业务活动有关的信息披露事项；</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10</w:t>
      </w:r>
      <w:r>
        <w:rPr>
          <w:rFonts w:hint="eastAsia"/>
          <w:bCs/>
          <w:color w:val="000000" w:themeColor="text1"/>
          <w:sz w:val="24"/>
          <w14:textFill>
            <w14:solidFill>
              <w14:schemeClr w14:val="tx1"/>
            </w14:solidFill>
          </w14:textFill>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11</w:t>
      </w:r>
      <w:r>
        <w:rPr>
          <w:rFonts w:hint="eastAsia"/>
          <w:bCs/>
          <w:color w:val="000000" w:themeColor="text1"/>
          <w:sz w:val="24"/>
          <w14:textFill>
            <w14:solidFill>
              <w14:schemeClr w14:val="tx1"/>
            </w14:solidFill>
          </w14:textFill>
        </w:rPr>
        <w:t>）保存基金托管业务活动的记录、账册、报表和其他相关资料不低于法律法规规定的最低期限；</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12</w:t>
      </w:r>
      <w:r>
        <w:rPr>
          <w:rFonts w:hint="eastAsia"/>
          <w:bCs/>
          <w:color w:val="000000" w:themeColor="text1"/>
          <w:sz w:val="24"/>
          <w14:textFill>
            <w14:solidFill>
              <w14:schemeClr w14:val="tx1"/>
            </w14:solidFill>
          </w14:textFill>
        </w:rPr>
        <w:t>）从基金管理人或其委托的登记机构处接收并保存基金份额持有人名册；</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13</w:t>
      </w:r>
      <w:r>
        <w:rPr>
          <w:rFonts w:hint="eastAsia"/>
          <w:bCs/>
          <w:color w:val="000000" w:themeColor="text1"/>
          <w:sz w:val="24"/>
          <w14:textFill>
            <w14:solidFill>
              <w14:schemeClr w14:val="tx1"/>
            </w14:solidFill>
          </w14:textFill>
        </w:rPr>
        <w:t>）按规定制作相关账册并与基金管理人核对；</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14</w:t>
      </w:r>
      <w:r>
        <w:rPr>
          <w:rFonts w:hint="eastAsia"/>
          <w:bCs/>
          <w:color w:val="000000" w:themeColor="text1"/>
          <w:sz w:val="24"/>
          <w14:textFill>
            <w14:solidFill>
              <w14:schemeClr w14:val="tx1"/>
            </w14:solidFill>
          </w14:textFill>
        </w:rPr>
        <w:t>）依据基金管理人的指令或有关规定向基金份额持有人支付基金收益和赎回款项；</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15</w:t>
      </w:r>
      <w:r>
        <w:rPr>
          <w:rFonts w:hint="eastAsia"/>
          <w:bCs/>
          <w:color w:val="000000" w:themeColor="text1"/>
          <w:sz w:val="24"/>
          <w14:textFill>
            <w14:solidFill>
              <w14:schemeClr w14:val="tx1"/>
            </w14:solidFill>
          </w14:textFill>
        </w:rPr>
        <w:t>）依据《基金法》、《基金合同》及其他有关规定，召集基金份额持有人大会或配合基金管理人、基金份额持有人依法召集基金份额持有人大会；</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16</w:t>
      </w:r>
      <w:r>
        <w:rPr>
          <w:rFonts w:hint="eastAsia"/>
          <w:bCs/>
          <w:color w:val="000000" w:themeColor="text1"/>
          <w:sz w:val="24"/>
          <w14:textFill>
            <w14:solidFill>
              <w14:schemeClr w14:val="tx1"/>
            </w14:solidFill>
          </w14:textFill>
        </w:rPr>
        <w:t>）按照法律法规和《基金合同》的规定监督基金管理人的投资运作；</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17</w:t>
      </w:r>
      <w:r>
        <w:rPr>
          <w:rFonts w:hint="eastAsia"/>
          <w:bCs/>
          <w:color w:val="000000" w:themeColor="text1"/>
          <w:sz w:val="24"/>
          <w14:textFill>
            <w14:solidFill>
              <w14:schemeClr w14:val="tx1"/>
            </w14:solidFill>
          </w14:textFill>
        </w:rPr>
        <w:t>）参加基金财产清算小组，参与基金财产的保管、清理、估价、变现和分配；</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18</w:t>
      </w:r>
      <w:r>
        <w:rPr>
          <w:rFonts w:hint="eastAsia"/>
          <w:bCs/>
          <w:color w:val="000000" w:themeColor="text1"/>
          <w:sz w:val="24"/>
          <w14:textFill>
            <w14:solidFill>
              <w14:schemeClr w14:val="tx1"/>
            </w14:solidFill>
          </w14:textFill>
        </w:rPr>
        <w:t>）面临解散、依法被撤销或者被依法宣告破产时，及时报告中国证监会和银行业监督管理机构，并通知基金管理人；</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19</w:t>
      </w:r>
      <w:r>
        <w:rPr>
          <w:rFonts w:hint="eastAsia"/>
          <w:bCs/>
          <w:color w:val="000000" w:themeColor="text1"/>
          <w:sz w:val="24"/>
          <w14:textFill>
            <w14:solidFill>
              <w14:schemeClr w14:val="tx1"/>
            </w14:solidFill>
          </w14:textFill>
        </w:rPr>
        <w:t>）因违反《基金合同》导致基金财产损失时，应承担赔偿责任，其赔偿责任不因其退任而免除；</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20</w:t>
      </w:r>
      <w:r>
        <w:rPr>
          <w:rFonts w:hint="eastAsia"/>
          <w:bCs/>
          <w:color w:val="000000" w:themeColor="text1"/>
          <w:sz w:val="24"/>
          <w14:textFill>
            <w14:solidFill>
              <w14:schemeClr w14:val="tx1"/>
            </w14:solidFill>
          </w14:textFill>
        </w:rPr>
        <w:t>）按规定监督基金管理人按法律法规和《基金合同》规定履行自己的义务，基金管理人因违反《基金合同》造成基金财产损失时，应为基金份额持有人利益向基金管理人追偿；</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21</w:t>
      </w:r>
      <w:r>
        <w:rPr>
          <w:rFonts w:hint="eastAsia"/>
          <w:bCs/>
          <w:color w:val="000000" w:themeColor="text1"/>
          <w:sz w:val="24"/>
          <w14:textFill>
            <w14:solidFill>
              <w14:schemeClr w14:val="tx1"/>
            </w14:solidFill>
          </w14:textFill>
        </w:rPr>
        <w:t>）执行生效的基金份额持有人大会的决议；</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22</w:t>
      </w:r>
      <w:r>
        <w:rPr>
          <w:rFonts w:hint="eastAsia"/>
          <w:bCs/>
          <w:color w:val="000000" w:themeColor="text1"/>
          <w:sz w:val="24"/>
          <w14:textFill>
            <w14:solidFill>
              <w14:schemeClr w14:val="tx1"/>
            </w14:solidFill>
          </w14:textFill>
        </w:rPr>
        <w:t>）法律法规及中国证监会规定的和《基金合同》约定的其他义务。</w:t>
      </w:r>
    </w:p>
    <w:p>
      <w:pPr>
        <w:autoSpaceDE w:val="0"/>
        <w:autoSpaceDN w:val="0"/>
        <w:adjustRightInd w:val="0"/>
        <w:spacing w:line="360" w:lineRule="auto"/>
        <w:ind w:firstLine="480" w:firstLineChars="200"/>
        <w:jc w:val="left"/>
        <w:rPr>
          <w:bCs/>
          <w:color w:val="000000" w:themeColor="text1"/>
          <w:sz w:val="24"/>
          <w:szCs w:val="24"/>
          <w14:textFill>
            <w14:solidFill>
              <w14:schemeClr w14:val="tx1"/>
            </w14:solidFill>
          </w14:textFill>
        </w:rPr>
      </w:pPr>
      <w:r>
        <w:rPr>
          <w:rFonts w:hint="eastAsia"/>
          <w:bCs/>
          <w:color w:val="000000" w:themeColor="text1"/>
          <w:sz w:val="24"/>
          <w:szCs w:val="24"/>
          <w14:textFill>
            <w14:solidFill>
              <w14:schemeClr w14:val="tx1"/>
            </w14:solidFill>
          </w14:textFill>
        </w:rPr>
        <w:t>二、基金份额持有人大会召集、议事及表决的程序和规则</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基金份额持有人大会由基金份额持有人组成，基金份额持有人的合法授权代表有权代表基金份额持有人出席会议并表决。基金份额持有人持有的每一基金份额拥有平等的投票权。</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本基金份额持有人大会不设日常机构。</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（一）召开事由</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w:t>
      </w:r>
      <w:r>
        <w:rPr>
          <w:rFonts w:hint="eastAsia"/>
          <w:bCs/>
          <w:color w:val="000000" w:themeColor="text1"/>
          <w:sz w:val="24"/>
          <w14:textFill>
            <w14:solidFill>
              <w14:schemeClr w14:val="tx1"/>
            </w14:solidFill>
          </w14:textFill>
        </w:rPr>
        <w:t>、当出现或需要决定下列事由之一的，应当召开基金份额持有人大会，法律法规或中国证监会另有规定或基金合同另有约定的除外：</w:t>
      </w:r>
    </w:p>
    <w:p>
      <w:pPr>
        <w:spacing w:line="440" w:lineRule="atLeast"/>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1</w:t>
      </w:r>
      <w:r>
        <w:rPr>
          <w:rFonts w:hint="eastAsia"/>
          <w:bCs/>
          <w:color w:val="000000" w:themeColor="text1"/>
          <w:sz w:val="24"/>
          <w14:textFill>
            <w14:solidFill>
              <w14:schemeClr w14:val="tx1"/>
            </w14:solidFill>
          </w14:textFill>
        </w:rPr>
        <w:t>）终止《基金合同》；</w:t>
      </w:r>
    </w:p>
    <w:p>
      <w:pPr>
        <w:spacing w:line="440" w:lineRule="atLeast"/>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2</w:t>
      </w:r>
      <w:r>
        <w:rPr>
          <w:rFonts w:hint="eastAsia"/>
          <w:bCs/>
          <w:color w:val="000000" w:themeColor="text1"/>
          <w:sz w:val="24"/>
          <w14:textFill>
            <w14:solidFill>
              <w14:schemeClr w14:val="tx1"/>
            </w14:solidFill>
          </w14:textFill>
        </w:rPr>
        <w:t>）更换基金管理人；</w:t>
      </w:r>
    </w:p>
    <w:p>
      <w:pPr>
        <w:spacing w:line="440" w:lineRule="atLeast"/>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3</w:t>
      </w:r>
      <w:r>
        <w:rPr>
          <w:rFonts w:hint="eastAsia"/>
          <w:bCs/>
          <w:color w:val="000000" w:themeColor="text1"/>
          <w:sz w:val="24"/>
          <w14:textFill>
            <w14:solidFill>
              <w14:schemeClr w14:val="tx1"/>
            </w14:solidFill>
          </w14:textFill>
        </w:rPr>
        <w:t>）更换基金托管人；</w:t>
      </w:r>
    </w:p>
    <w:p>
      <w:pPr>
        <w:spacing w:line="440" w:lineRule="atLeast"/>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4</w:t>
      </w:r>
      <w:r>
        <w:rPr>
          <w:rFonts w:hint="eastAsia"/>
          <w:bCs/>
          <w:color w:val="000000" w:themeColor="text1"/>
          <w:sz w:val="24"/>
          <w14:textFill>
            <w14:solidFill>
              <w14:schemeClr w14:val="tx1"/>
            </w14:solidFill>
          </w14:textFill>
        </w:rPr>
        <w:t>）转换基金运作方式（不包括本基金开放期与封闭期运作方式的转换）；</w:t>
      </w:r>
    </w:p>
    <w:p>
      <w:pPr>
        <w:spacing w:line="440" w:lineRule="atLeast"/>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5</w:t>
      </w:r>
      <w:r>
        <w:rPr>
          <w:rFonts w:hint="eastAsia"/>
          <w:bCs/>
          <w:color w:val="000000" w:themeColor="text1"/>
          <w:sz w:val="24"/>
          <w14:textFill>
            <w14:solidFill>
              <w14:schemeClr w14:val="tx1"/>
            </w14:solidFill>
          </w14:textFill>
        </w:rPr>
        <w:t>）调整基金管理人、基金托管人的报酬标准；</w:t>
      </w:r>
    </w:p>
    <w:p>
      <w:pPr>
        <w:spacing w:line="440" w:lineRule="atLeast"/>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6</w:t>
      </w:r>
      <w:r>
        <w:rPr>
          <w:rFonts w:hint="eastAsia"/>
          <w:bCs/>
          <w:color w:val="000000" w:themeColor="text1"/>
          <w:sz w:val="24"/>
          <w14:textFill>
            <w14:solidFill>
              <w14:schemeClr w14:val="tx1"/>
            </w14:solidFill>
          </w14:textFill>
        </w:rPr>
        <w:t>）变更基金类别；</w:t>
      </w:r>
    </w:p>
    <w:p>
      <w:pPr>
        <w:spacing w:line="440" w:lineRule="atLeast"/>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7</w:t>
      </w:r>
      <w:r>
        <w:rPr>
          <w:rFonts w:hint="eastAsia"/>
          <w:bCs/>
          <w:color w:val="000000" w:themeColor="text1"/>
          <w:sz w:val="24"/>
          <w14:textFill>
            <w14:solidFill>
              <w14:schemeClr w14:val="tx1"/>
            </w14:solidFill>
          </w14:textFill>
        </w:rPr>
        <w:t>）本基金与其他基金的合并；</w:t>
      </w:r>
    </w:p>
    <w:p>
      <w:pPr>
        <w:spacing w:line="440" w:lineRule="atLeast"/>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8</w:t>
      </w:r>
      <w:r>
        <w:rPr>
          <w:rFonts w:hint="eastAsia"/>
          <w:bCs/>
          <w:color w:val="000000" w:themeColor="text1"/>
          <w:sz w:val="24"/>
          <w14:textFill>
            <w14:solidFill>
              <w14:schemeClr w14:val="tx1"/>
            </w14:solidFill>
          </w14:textFill>
        </w:rPr>
        <w:t>）变更基金投资目标、范围或策略；</w:t>
      </w:r>
    </w:p>
    <w:p>
      <w:pPr>
        <w:spacing w:line="440" w:lineRule="atLeast"/>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9</w:t>
      </w:r>
      <w:r>
        <w:rPr>
          <w:rFonts w:hint="eastAsia"/>
          <w:bCs/>
          <w:color w:val="000000" w:themeColor="text1"/>
          <w:sz w:val="24"/>
          <w14:textFill>
            <w14:solidFill>
              <w14:schemeClr w14:val="tx1"/>
            </w14:solidFill>
          </w14:textFill>
        </w:rPr>
        <w:t>）变更基金份额持有人大会程序；</w:t>
      </w:r>
    </w:p>
    <w:p>
      <w:pPr>
        <w:spacing w:line="440" w:lineRule="atLeast"/>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10</w:t>
      </w:r>
      <w:r>
        <w:rPr>
          <w:rFonts w:hint="eastAsia"/>
          <w:bCs/>
          <w:color w:val="000000" w:themeColor="text1"/>
          <w:sz w:val="24"/>
          <w14:textFill>
            <w14:solidFill>
              <w14:schemeClr w14:val="tx1"/>
            </w14:solidFill>
          </w14:textFill>
        </w:rPr>
        <w:t>）基金管理人或基金托管人要求召开基金份额持有人大会；</w:t>
      </w:r>
    </w:p>
    <w:p>
      <w:pPr>
        <w:spacing w:line="440" w:lineRule="atLeast"/>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11</w:t>
      </w:r>
      <w:r>
        <w:rPr>
          <w:rFonts w:hint="eastAsia"/>
          <w:bCs/>
          <w:color w:val="000000" w:themeColor="text1"/>
          <w:sz w:val="24"/>
          <w14:textFill>
            <w14:solidFill>
              <w14:schemeClr w14:val="tx1"/>
            </w14:solidFill>
          </w14:textFill>
        </w:rPr>
        <w:t>）单独或合计持有本基金总份额</w:t>
      </w:r>
      <w:r>
        <w:rPr>
          <w:bCs/>
          <w:color w:val="000000" w:themeColor="text1"/>
          <w:sz w:val="24"/>
          <w14:textFill>
            <w14:solidFill>
              <w14:schemeClr w14:val="tx1"/>
            </w14:solidFill>
          </w14:textFill>
        </w:rPr>
        <w:t>10%</w:t>
      </w:r>
      <w:r>
        <w:rPr>
          <w:rFonts w:hint="eastAsia"/>
          <w:bCs/>
          <w:color w:val="000000" w:themeColor="text1"/>
          <w:sz w:val="24"/>
          <w14:textFill>
            <w14:solidFill>
              <w14:schemeClr w14:val="tx1"/>
            </w14:solidFill>
          </w14:textFill>
        </w:rPr>
        <w:t>以上（含</w:t>
      </w:r>
      <w:r>
        <w:rPr>
          <w:bCs/>
          <w:color w:val="000000" w:themeColor="text1"/>
          <w:sz w:val="24"/>
          <w14:textFill>
            <w14:solidFill>
              <w14:schemeClr w14:val="tx1"/>
            </w14:solidFill>
          </w14:textFill>
        </w:rPr>
        <w:t>10%</w:t>
      </w:r>
      <w:r>
        <w:rPr>
          <w:rFonts w:hint="eastAsia"/>
          <w:bCs/>
          <w:color w:val="000000" w:themeColor="text1"/>
          <w:sz w:val="24"/>
          <w14:textFill>
            <w14:solidFill>
              <w14:schemeClr w14:val="tx1"/>
            </w14:solidFill>
          </w14:textFill>
        </w:rPr>
        <w:t>）基金份额的基金份额持有人（以基金管理人收到提议当日的基金份额计算，下同）就同一事项书面要求召开基金份额持有人大会；</w:t>
      </w:r>
    </w:p>
    <w:p>
      <w:pPr>
        <w:spacing w:line="440" w:lineRule="atLeast"/>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12</w:t>
      </w:r>
      <w:r>
        <w:rPr>
          <w:rFonts w:hint="eastAsia"/>
          <w:bCs/>
          <w:color w:val="000000" w:themeColor="text1"/>
          <w:sz w:val="24"/>
          <w14:textFill>
            <w14:solidFill>
              <w14:schemeClr w14:val="tx1"/>
            </w14:solidFill>
          </w14:textFill>
        </w:rPr>
        <w:t>）对基金合同当事人权利和义务产生重大影响的其他事项；</w:t>
      </w:r>
    </w:p>
    <w:p>
      <w:pPr>
        <w:spacing w:line="440" w:lineRule="atLeast"/>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13</w:t>
      </w:r>
      <w:r>
        <w:rPr>
          <w:rFonts w:hint="eastAsia"/>
          <w:bCs/>
          <w:color w:val="000000" w:themeColor="text1"/>
          <w:sz w:val="24"/>
          <w14:textFill>
            <w14:solidFill>
              <w14:schemeClr w14:val="tx1"/>
            </w14:solidFill>
          </w14:textFill>
        </w:rPr>
        <w:t>）法律法规、《基金合同》或中国证监会规定的其他应当召开基金份额持有人大会的事项。</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2</w:t>
      </w:r>
      <w:r>
        <w:rPr>
          <w:rFonts w:hint="eastAsia"/>
          <w:bCs/>
          <w:color w:val="000000" w:themeColor="text1"/>
          <w:sz w:val="24"/>
          <w14:textFill>
            <w14:solidFill>
              <w14:schemeClr w14:val="tx1"/>
            </w14:solidFill>
          </w14:textFill>
        </w:rPr>
        <w:t>、在法律法规规定和《基金合同》约定的范围内且对基金份额持有人利益无实质性不利影响的前提下，以下情况可由基金管理人和基金托管人协商后修改，不需召开基金份额持有人大会：</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1</w:t>
      </w:r>
      <w:r>
        <w:rPr>
          <w:rFonts w:hint="eastAsia"/>
          <w:bCs/>
          <w:color w:val="000000" w:themeColor="text1"/>
          <w:sz w:val="24"/>
          <w14:textFill>
            <w14:solidFill>
              <w14:schemeClr w14:val="tx1"/>
            </w14:solidFill>
          </w14:textFill>
        </w:rPr>
        <w:t>）法律法规要求增加的基金费用的收取；</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2</w:t>
      </w:r>
      <w:r>
        <w:rPr>
          <w:rFonts w:hint="eastAsia"/>
          <w:bCs/>
          <w:color w:val="000000" w:themeColor="text1"/>
          <w:sz w:val="24"/>
          <w14:textFill>
            <w14:solidFill>
              <w14:schemeClr w14:val="tx1"/>
            </w14:solidFill>
          </w14:textFill>
        </w:rPr>
        <w:t>）调整本基金的申购费率、调低赎回费率</w:t>
      </w:r>
      <w:r>
        <w:rPr>
          <w:rFonts w:hint="eastAsia"/>
          <w:bCs/>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变更收费方式等或调整基金份额类别的设置</w:t>
      </w:r>
      <w:r>
        <w:rPr>
          <w:rFonts w:hint="eastAsia"/>
          <w:bCs/>
          <w:color w:val="000000" w:themeColor="text1"/>
          <w:sz w:val="24"/>
          <w14:textFill>
            <w14:solidFill>
              <w14:schemeClr w14:val="tx1"/>
            </w14:solidFill>
          </w14:textFill>
        </w:rPr>
        <w:t>；</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3</w:t>
      </w:r>
      <w:r>
        <w:rPr>
          <w:rFonts w:hint="eastAsia"/>
          <w:bCs/>
          <w:color w:val="000000" w:themeColor="text1"/>
          <w:sz w:val="24"/>
          <w14:textFill>
            <w14:solidFill>
              <w14:schemeClr w14:val="tx1"/>
            </w14:solidFill>
          </w14:textFill>
        </w:rPr>
        <w:t>）因相应的法律法规发生变动而应当对《基金合同》进行修改；</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4</w:t>
      </w:r>
      <w:r>
        <w:rPr>
          <w:rFonts w:hint="eastAsia"/>
          <w:bCs/>
          <w:color w:val="000000" w:themeColor="text1"/>
          <w:sz w:val="24"/>
          <w14:textFill>
            <w14:solidFill>
              <w14:schemeClr w14:val="tx1"/>
            </w14:solidFill>
          </w14:textFill>
        </w:rPr>
        <w:t>）对《基金合同》的修改对基金份额持有人利益无实质性不利影响或修改不涉及《基金合同》当事人权利义务关系发生重大变化；</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5</w:t>
      </w:r>
      <w:r>
        <w:rPr>
          <w:rFonts w:hint="eastAsia"/>
          <w:bCs/>
          <w:color w:val="000000" w:themeColor="text1"/>
          <w:sz w:val="24"/>
          <w14:textFill>
            <w14:solidFill>
              <w14:schemeClr w14:val="tx1"/>
            </w14:solidFill>
          </w14:textFill>
        </w:rPr>
        <w:t>）调整有关基金认购、申购、赎回、转换、非交易过户、转托管等业务的规则；</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6</w:t>
      </w:r>
      <w:r>
        <w:rPr>
          <w:rFonts w:hint="eastAsia"/>
          <w:bCs/>
          <w:color w:val="000000" w:themeColor="text1"/>
          <w:sz w:val="24"/>
          <w14:textFill>
            <w14:solidFill>
              <w14:schemeClr w14:val="tx1"/>
            </w14:solidFill>
          </w14:textFill>
        </w:rPr>
        <w:t>）按照法律法规和《基金合同》规定不需召开基金份额持有人大会的其他情形。</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（二）会议召集人及召集方式</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w:t>
      </w:r>
      <w:r>
        <w:rPr>
          <w:rFonts w:hint="eastAsia"/>
          <w:bCs/>
          <w:color w:val="000000" w:themeColor="text1"/>
          <w:sz w:val="24"/>
          <w14:textFill>
            <w14:solidFill>
              <w14:schemeClr w14:val="tx1"/>
            </w14:solidFill>
          </w14:textFill>
        </w:rPr>
        <w:t>、除法律法规规定或《基金合同》另有约定外，基金份额持有人大会由基金管理人召集；</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2</w:t>
      </w:r>
      <w:r>
        <w:rPr>
          <w:rFonts w:hint="eastAsia"/>
          <w:bCs/>
          <w:color w:val="000000" w:themeColor="text1"/>
          <w:sz w:val="24"/>
          <w14:textFill>
            <w14:solidFill>
              <w14:schemeClr w14:val="tx1"/>
            </w14:solidFill>
          </w14:textFill>
        </w:rPr>
        <w:t>、基金管理人未按规定召集或不能召集时，由基金托管人召集；</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3</w:t>
      </w:r>
      <w:r>
        <w:rPr>
          <w:rFonts w:hint="eastAsia"/>
          <w:bCs/>
          <w:color w:val="000000" w:themeColor="text1"/>
          <w:sz w:val="24"/>
          <w14:textFill>
            <w14:solidFill>
              <w14:schemeClr w14:val="tx1"/>
            </w14:solidFill>
          </w14:textFill>
        </w:rPr>
        <w:t>、基金托管人认为有必要召开基金份额持有人大会的，应当向基金管理人提出书面提议。基金管理人应当自收到书面提议之日起</w:t>
      </w:r>
      <w:r>
        <w:rPr>
          <w:bCs/>
          <w:color w:val="000000" w:themeColor="text1"/>
          <w:sz w:val="24"/>
          <w14:textFill>
            <w14:solidFill>
              <w14:schemeClr w14:val="tx1"/>
            </w14:solidFill>
          </w14:textFill>
        </w:rPr>
        <w:t xml:space="preserve"> 10</w:t>
      </w:r>
      <w:r>
        <w:rPr>
          <w:rFonts w:hint="eastAsia"/>
          <w:bCs/>
          <w:color w:val="000000" w:themeColor="text1"/>
          <w:sz w:val="24"/>
          <w14:textFill>
            <w14:solidFill>
              <w14:schemeClr w14:val="tx1"/>
            </w14:solidFill>
          </w14:textFill>
        </w:rPr>
        <w:t>日内决定是否召集，并书面告知基金托管人。基金管理人决定召集的，应当自出具书面决定之日起</w:t>
      </w:r>
      <w:r>
        <w:rPr>
          <w:bCs/>
          <w:color w:val="000000" w:themeColor="text1"/>
          <w:sz w:val="24"/>
          <w14:textFill>
            <w14:solidFill>
              <w14:schemeClr w14:val="tx1"/>
            </w14:solidFill>
          </w14:textFill>
        </w:rPr>
        <w:t>60</w:t>
      </w:r>
      <w:r>
        <w:rPr>
          <w:rFonts w:hint="eastAsia"/>
          <w:bCs/>
          <w:color w:val="000000" w:themeColor="text1"/>
          <w:sz w:val="24"/>
          <w14:textFill>
            <w14:solidFill>
              <w14:schemeClr w14:val="tx1"/>
            </w14:solidFill>
          </w14:textFill>
        </w:rPr>
        <w:t>日内召开；基金管理人决定不召集，基金托管人仍认为有必要召开的，应当由基金托管人自行召集，并自出具书面决定之日起</w:t>
      </w:r>
      <w:r>
        <w:rPr>
          <w:bCs/>
          <w:color w:val="000000" w:themeColor="text1"/>
          <w:sz w:val="24"/>
          <w14:textFill>
            <w14:solidFill>
              <w14:schemeClr w14:val="tx1"/>
            </w14:solidFill>
          </w14:textFill>
        </w:rPr>
        <w:t>60</w:t>
      </w:r>
      <w:r>
        <w:rPr>
          <w:rFonts w:hint="eastAsia"/>
          <w:bCs/>
          <w:color w:val="000000" w:themeColor="text1"/>
          <w:sz w:val="24"/>
          <w14:textFill>
            <w14:solidFill>
              <w14:schemeClr w14:val="tx1"/>
            </w14:solidFill>
          </w14:textFill>
        </w:rPr>
        <w:t>日内召开并告知基金管理人，基金管理人应当配合。</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4</w:t>
      </w:r>
      <w:r>
        <w:rPr>
          <w:rFonts w:hint="eastAsia"/>
          <w:bCs/>
          <w:color w:val="000000" w:themeColor="text1"/>
          <w:sz w:val="24"/>
          <w14:textFill>
            <w14:solidFill>
              <w14:schemeClr w14:val="tx1"/>
            </w14:solidFill>
          </w14:textFill>
        </w:rPr>
        <w:t>、代表基金份额</w:t>
      </w:r>
      <w:r>
        <w:rPr>
          <w:bCs/>
          <w:color w:val="000000" w:themeColor="text1"/>
          <w:sz w:val="24"/>
          <w14:textFill>
            <w14:solidFill>
              <w14:schemeClr w14:val="tx1"/>
            </w14:solidFill>
          </w14:textFill>
        </w:rPr>
        <w:t>10%</w:t>
      </w:r>
      <w:r>
        <w:rPr>
          <w:rFonts w:hint="eastAsia"/>
          <w:bCs/>
          <w:color w:val="000000" w:themeColor="text1"/>
          <w:sz w:val="24"/>
          <w14:textFill>
            <w14:solidFill>
              <w14:schemeClr w14:val="tx1"/>
            </w14:solidFill>
          </w14:textFill>
        </w:rPr>
        <w:t>以上（含</w:t>
      </w:r>
      <w:r>
        <w:rPr>
          <w:bCs/>
          <w:color w:val="000000" w:themeColor="text1"/>
          <w:sz w:val="24"/>
          <w14:textFill>
            <w14:solidFill>
              <w14:schemeClr w14:val="tx1"/>
            </w14:solidFill>
          </w14:textFill>
        </w:rPr>
        <w:t>10%</w:t>
      </w:r>
      <w:r>
        <w:rPr>
          <w:rFonts w:hint="eastAsia"/>
          <w:bCs/>
          <w:color w:val="000000" w:themeColor="text1"/>
          <w:sz w:val="24"/>
          <w14:textFill>
            <w14:solidFill>
              <w14:schemeClr w14:val="tx1"/>
            </w14:solidFill>
          </w14:textFill>
        </w:rPr>
        <w:t>）的基金份额持有人就同一事项书面要求召开基金份额持有人大会，应当向基金管理人提出书面提议。基金管理人应当自收到书面提议之日起</w:t>
      </w:r>
      <w:r>
        <w:rPr>
          <w:bCs/>
          <w:color w:val="000000" w:themeColor="text1"/>
          <w:sz w:val="24"/>
          <w14:textFill>
            <w14:solidFill>
              <w14:schemeClr w14:val="tx1"/>
            </w14:solidFill>
          </w14:textFill>
        </w:rPr>
        <w:t>10</w:t>
      </w:r>
      <w:r>
        <w:rPr>
          <w:rFonts w:hint="eastAsia"/>
          <w:bCs/>
          <w:color w:val="000000" w:themeColor="text1"/>
          <w:sz w:val="24"/>
          <w14:textFill>
            <w14:solidFill>
              <w14:schemeClr w14:val="tx1"/>
            </w14:solidFill>
          </w14:textFill>
        </w:rPr>
        <w:t>日内决定是否召集，并书面告知提出提议的基金份额持有人代表和基金托管人。基金管理人决定召集的，应当自出具书面决定之日起</w:t>
      </w:r>
    </w:p>
    <w:p>
      <w:pPr>
        <w:spacing w:line="360" w:lineRule="auto"/>
        <w:rPr>
          <w:bCs/>
          <w:color w:val="000000" w:themeColor="text1"/>
          <w:sz w:val="24"/>
          <w14:textFill>
            <w14:solidFill>
              <w14:schemeClr w14:val="tx1"/>
            </w14:solidFill>
          </w14:textFill>
        </w:rPr>
      </w:pPr>
      <w:r>
        <w:rPr>
          <w:bCs/>
          <w:color w:val="000000" w:themeColor="text1"/>
          <w:sz w:val="24"/>
          <w14:textFill>
            <w14:solidFill>
              <w14:schemeClr w14:val="tx1"/>
            </w14:solidFill>
          </w14:textFill>
        </w:rPr>
        <w:t>60</w:t>
      </w:r>
      <w:r>
        <w:rPr>
          <w:rFonts w:hint="eastAsia"/>
          <w:bCs/>
          <w:color w:val="000000" w:themeColor="text1"/>
          <w:sz w:val="24"/>
          <w14:textFill>
            <w14:solidFill>
              <w14:schemeClr w14:val="tx1"/>
            </w14:solidFill>
          </w14:textFill>
        </w:rPr>
        <w:t>日内召开；基金管理人决定不召集，代表基金份额</w:t>
      </w:r>
      <w:r>
        <w:rPr>
          <w:bCs/>
          <w:color w:val="000000" w:themeColor="text1"/>
          <w:sz w:val="24"/>
          <w14:textFill>
            <w14:solidFill>
              <w14:schemeClr w14:val="tx1"/>
            </w14:solidFill>
          </w14:textFill>
        </w:rPr>
        <w:t>10%</w:t>
      </w:r>
      <w:r>
        <w:rPr>
          <w:rFonts w:hint="eastAsia"/>
          <w:bCs/>
          <w:color w:val="000000" w:themeColor="text1"/>
          <w:sz w:val="24"/>
          <w14:textFill>
            <w14:solidFill>
              <w14:schemeClr w14:val="tx1"/>
            </w14:solidFill>
          </w14:textFill>
        </w:rPr>
        <w:t>以上（含</w:t>
      </w:r>
      <w:r>
        <w:rPr>
          <w:bCs/>
          <w:color w:val="000000" w:themeColor="text1"/>
          <w:sz w:val="24"/>
          <w14:textFill>
            <w14:solidFill>
              <w14:schemeClr w14:val="tx1"/>
            </w14:solidFill>
          </w14:textFill>
        </w:rPr>
        <w:t>10%</w:t>
      </w:r>
      <w:r>
        <w:rPr>
          <w:rFonts w:hint="eastAsia"/>
          <w:bCs/>
          <w:color w:val="000000" w:themeColor="text1"/>
          <w:sz w:val="24"/>
          <w14:textFill>
            <w14:solidFill>
              <w14:schemeClr w14:val="tx1"/>
            </w14:solidFill>
          </w14:textFill>
        </w:rPr>
        <w:t>）的基金份额持有人仍认为有必要召开的，应当向基金托管人提出书面提议。基金托管人应当自收到书面提议之日起</w:t>
      </w:r>
      <w:r>
        <w:rPr>
          <w:bCs/>
          <w:color w:val="000000" w:themeColor="text1"/>
          <w:sz w:val="24"/>
          <w14:textFill>
            <w14:solidFill>
              <w14:schemeClr w14:val="tx1"/>
            </w14:solidFill>
          </w14:textFill>
        </w:rPr>
        <w:t>10</w:t>
      </w:r>
      <w:r>
        <w:rPr>
          <w:rFonts w:hint="eastAsia"/>
          <w:bCs/>
          <w:color w:val="000000" w:themeColor="text1"/>
          <w:sz w:val="24"/>
          <w14:textFill>
            <w14:solidFill>
              <w14:schemeClr w14:val="tx1"/>
            </w14:solidFill>
          </w14:textFill>
        </w:rPr>
        <w:t>日内决定是否召集，并书面告知提出提议的基金份额持有人代表和基金管理人；基金托管人决定召集的，应当自出具书面决定之日起</w:t>
      </w:r>
      <w:r>
        <w:rPr>
          <w:bCs/>
          <w:color w:val="000000" w:themeColor="text1"/>
          <w:sz w:val="24"/>
          <w14:textFill>
            <w14:solidFill>
              <w14:schemeClr w14:val="tx1"/>
            </w14:solidFill>
          </w14:textFill>
        </w:rPr>
        <w:t>60</w:t>
      </w:r>
      <w:r>
        <w:rPr>
          <w:rFonts w:hint="eastAsia"/>
          <w:bCs/>
          <w:color w:val="000000" w:themeColor="text1"/>
          <w:sz w:val="24"/>
          <w14:textFill>
            <w14:solidFill>
              <w14:schemeClr w14:val="tx1"/>
            </w14:solidFill>
          </w14:textFill>
        </w:rPr>
        <w:t>日内召开。并告知基金管理人，基金管理人应当配合。</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5</w:t>
      </w:r>
      <w:r>
        <w:rPr>
          <w:rFonts w:hint="eastAsia"/>
          <w:bCs/>
          <w:color w:val="000000" w:themeColor="text1"/>
          <w:sz w:val="24"/>
          <w14:textFill>
            <w14:solidFill>
              <w14:schemeClr w14:val="tx1"/>
            </w14:solidFill>
          </w14:textFill>
        </w:rPr>
        <w:t>、代表基金份额</w:t>
      </w:r>
      <w:r>
        <w:rPr>
          <w:bCs/>
          <w:color w:val="000000" w:themeColor="text1"/>
          <w:sz w:val="24"/>
          <w14:textFill>
            <w14:solidFill>
              <w14:schemeClr w14:val="tx1"/>
            </w14:solidFill>
          </w14:textFill>
        </w:rPr>
        <w:t>10%</w:t>
      </w:r>
      <w:r>
        <w:rPr>
          <w:rFonts w:hint="eastAsia"/>
          <w:bCs/>
          <w:color w:val="000000" w:themeColor="text1"/>
          <w:sz w:val="24"/>
          <w14:textFill>
            <w14:solidFill>
              <w14:schemeClr w14:val="tx1"/>
            </w14:solidFill>
          </w14:textFill>
        </w:rPr>
        <w:t>以上（含</w:t>
      </w:r>
      <w:r>
        <w:rPr>
          <w:bCs/>
          <w:color w:val="000000" w:themeColor="text1"/>
          <w:sz w:val="24"/>
          <w14:textFill>
            <w14:solidFill>
              <w14:schemeClr w14:val="tx1"/>
            </w14:solidFill>
          </w14:textFill>
        </w:rPr>
        <w:t>10%</w:t>
      </w:r>
      <w:r>
        <w:rPr>
          <w:rFonts w:hint="eastAsia"/>
          <w:bCs/>
          <w:color w:val="000000" w:themeColor="text1"/>
          <w:sz w:val="24"/>
          <w14:textFill>
            <w14:solidFill>
              <w14:schemeClr w14:val="tx1"/>
            </w14:solidFill>
          </w14:textFill>
        </w:rPr>
        <w:t>）的基金份额持有人就同一事项要求召开基金份额持有人大会，而基金管理人、基金托管人都不召集的，单独或合计代表基金份额</w:t>
      </w:r>
      <w:r>
        <w:rPr>
          <w:bCs/>
          <w:color w:val="000000" w:themeColor="text1"/>
          <w:sz w:val="24"/>
          <w14:textFill>
            <w14:solidFill>
              <w14:schemeClr w14:val="tx1"/>
            </w14:solidFill>
          </w14:textFill>
        </w:rPr>
        <w:t>10%</w:t>
      </w:r>
      <w:r>
        <w:rPr>
          <w:rFonts w:hint="eastAsia"/>
          <w:bCs/>
          <w:color w:val="000000" w:themeColor="text1"/>
          <w:sz w:val="24"/>
          <w14:textFill>
            <w14:solidFill>
              <w14:schemeClr w14:val="tx1"/>
            </w14:solidFill>
          </w14:textFill>
        </w:rPr>
        <w:t>以上（含</w:t>
      </w:r>
      <w:r>
        <w:rPr>
          <w:bCs/>
          <w:color w:val="000000" w:themeColor="text1"/>
          <w:sz w:val="24"/>
          <w14:textFill>
            <w14:solidFill>
              <w14:schemeClr w14:val="tx1"/>
            </w14:solidFill>
          </w14:textFill>
        </w:rPr>
        <w:t>10%</w:t>
      </w:r>
      <w:r>
        <w:rPr>
          <w:rFonts w:hint="eastAsia"/>
          <w:bCs/>
          <w:color w:val="000000" w:themeColor="text1"/>
          <w:sz w:val="24"/>
          <w14:textFill>
            <w14:solidFill>
              <w14:schemeClr w14:val="tx1"/>
            </w14:solidFill>
          </w14:textFill>
        </w:rPr>
        <w:t>）的基金份额持有人有权自行召集，并至少提前</w:t>
      </w:r>
      <w:r>
        <w:rPr>
          <w:bCs/>
          <w:color w:val="000000" w:themeColor="text1"/>
          <w:sz w:val="24"/>
          <w14:textFill>
            <w14:solidFill>
              <w14:schemeClr w14:val="tx1"/>
            </w14:solidFill>
          </w14:textFill>
        </w:rPr>
        <w:t>30</w:t>
      </w:r>
      <w:r>
        <w:rPr>
          <w:rFonts w:hint="eastAsia"/>
          <w:bCs/>
          <w:color w:val="000000" w:themeColor="text1"/>
          <w:sz w:val="24"/>
          <w14:textFill>
            <w14:solidFill>
              <w14:schemeClr w14:val="tx1"/>
            </w14:solidFill>
          </w14:textFill>
        </w:rPr>
        <w:t>日报中国证监会备案。基金份额持有人依法自行召集基金份额持有人大会的，基金管理人、基金托管人应当配合，不得阻碍、干扰。</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6</w:t>
      </w:r>
      <w:r>
        <w:rPr>
          <w:rFonts w:hint="eastAsia"/>
          <w:bCs/>
          <w:color w:val="000000" w:themeColor="text1"/>
          <w:sz w:val="24"/>
          <w14:textFill>
            <w14:solidFill>
              <w14:schemeClr w14:val="tx1"/>
            </w14:solidFill>
          </w14:textFill>
        </w:rPr>
        <w:t>、基金份额持有人会议的召集人负责选择确定开会时间、地点、方式和权益登记日。</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（三）召开基金份额持有人大会的通知时间、通知内容、通知方式</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w:t>
      </w:r>
      <w:r>
        <w:rPr>
          <w:rFonts w:hint="eastAsia"/>
          <w:bCs/>
          <w:color w:val="000000" w:themeColor="text1"/>
          <w:sz w:val="24"/>
          <w14:textFill>
            <w14:solidFill>
              <w14:schemeClr w14:val="tx1"/>
            </w14:solidFill>
          </w14:textFill>
        </w:rPr>
        <w:t>、召开基金份额持有人大会，召集人应于会议召开前</w:t>
      </w:r>
      <w:r>
        <w:rPr>
          <w:bCs/>
          <w:color w:val="000000" w:themeColor="text1"/>
          <w:sz w:val="24"/>
          <w14:textFill>
            <w14:solidFill>
              <w14:schemeClr w14:val="tx1"/>
            </w14:solidFill>
          </w14:textFill>
        </w:rPr>
        <w:t>30</w:t>
      </w:r>
      <w:r>
        <w:rPr>
          <w:rFonts w:hint="eastAsia"/>
          <w:bCs/>
          <w:color w:val="000000" w:themeColor="text1"/>
          <w:sz w:val="24"/>
          <w14:textFill>
            <w14:solidFill>
              <w14:schemeClr w14:val="tx1"/>
            </w14:solidFill>
          </w14:textFill>
        </w:rPr>
        <w:t>日，在规定媒介公告。基金份额持有人大会通知应至少载明以下内容：</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1</w:t>
      </w:r>
      <w:r>
        <w:rPr>
          <w:rFonts w:hint="eastAsia"/>
          <w:bCs/>
          <w:color w:val="000000" w:themeColor="text1"/>
          <w:sz w:val="24"/>
          <w14:textFill>
            <w14:solidFill>
              <w14:schemeClr w14:val="tx1"/>
            </w14:solidFill>
          </w14:textFill>
        </w:rPr>
        <w:t>）会议召开的时间、地点和会议形式；</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2</w:t>
      </w:r>
      <w:r>
        <w:rPr>
          <w:rFonts w:hint="eastAsia"/>
          <w:bCs/>
          <w:color w:val="000000" w:themeColor="text1"/>
          <w:sz w:val="24"/>
          <w14:textFill>
            <w14:solidFill>
              <w14:schemeClr w14:val="tx1"/>
            </w14:solidFill>
          </w14:textFill>
        </w:rPr>
        <w:t>）会议拟审议的事项、议事程序和表决方式；</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3</w:t>
      </w:r>
      <w:r>
        <w:rPr>
          <w:rFonts w:hint="eastAsia"/>
          <w:bCs/>
          <w:color w:val="000000" w:themeColor="text1"/>
          <w:sz w:val="24"/>
          <w14:textFill>
            <w14:solidFill>
              <w14:schemeClr w14:val="tx1"/>
            </w14:solidFill>
          </w14:textFill>
        </w:rPr>
        <w:t>）有权出席基金份额持有人大会的基金份额持有人的权益登记日；</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4</w:t>
      </w:r>
      <w:r>
        <w:rPr>
          <w:rFonts w:hint="eastAsia"/>
          <w:bCs/>
          <w:color w:val="000000" w:themeColor="text1"/>
          <w:sz w:val="24"/>
          <w14:textFill>
            <w14:solidFill>
              <w14:schemeClr w14:val="tx1"/>
            </w14:solidFill>
          </w14:textFill>
        </w:rPr>
        <w:t>）授权委托证明的内容要求（包括但不限于代理人身份，代理权限和代理有效期限等）、送达时间和地点</w:t>
      </w:r>
      <w:r>
        <w:rPr>
          <w:bCs/>
          <w:color w:val="000000" w:themeColor="text1"/>
          <w:sz w:val="24"/>
          <w14:textFill>
            <w14:solidFill>
              <w14:schemeClr w14:val="tx1"/>
            </w14:solidFill>
          </w14:textFill>
        </w:rPr>
        <w:t>;</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5</w:t>
      </w:r>
      <w:r>
        <w:rPr>
          <w:rFonts w:hint="eastAsia"/>
          <w:bCs/>
          <w:color w:val="000000" w:themeColor="text1"/>
          <w:sz w:val="24"/>
          <w14:textFill>
            <w14:solidFill>
              <w14:schemeClr w14:val="tx1"/>
            </w14:solidFill>
          </w14:textFill>
        </w:rPr>
        <w:t>）会务常设联系人姓名及联系电话；</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6</w:t>
      </w:r>
      <w:r>
        <w:rPr>
          <w:rFonts w:hint="eastAsia"/>
          <w:bCs/>
          <w:color w:val="000000" w:themeColor="text1"/>
          <w:sz w:val="24"/>
          <w14:textFill>
            <w14:solidFill>
              <w14:schemeClr w14:val="tx1"/>
            </w14:solidFill>
          </w14:textFill>
        </w:rPr>
        <w:t>）出席会议者必须准备的文件和必须履行的手续；</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7</w:t>
      </w:r>
      <w:r>
        <w:rPr>
          <w:rFonts w:hint="eastAsia"/>
          <w:bCs/>
          <w:color w:val="000000" w:themeColor="text1"/>
          <w:sz w:val="24"/>
          <w14:textFill>
            <w14:solidFill>
              <w14:schemeClr w14:val="tx1"/>
            </w14:solidFill>
          </w14:textFill>
        </w:rPr>
        <w:t>）召集人需要通知的其他事项。</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2</w:t>
      </w:r>
      <w:r>
        <w:rPr>
          <w:rFonts w:hint="eastAsia"/>
          <w:bCs/>
          <w:color w:val="000000" w:themeColor="text1"/>
          <w:sz w:val="24"/>
          <w14:textFill>
            <w14:solidFill>
              <w14:schemeClr w14:val="tx1"/>
            </w14:solidFill>
          </w14:textFill>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3</w:t>
      </w:r>
      <w:r>
        <w:rPr>
          <w:rFonts w:hint="eastAsia"/>
          <w:bCs/>
          <w:color w:val="000000" w:themeColor="text1"/>
          <w:sz w:val="24"/>
          <w14:textFill>
            <w14:solidFill>
              <w14:schemeClr w14:val="tx1"/>
            </w14:solidFill>
          </w14:textFill>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（四）基金份额持有人出席会议的方式</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基金份额持有人大会可通过现场开会方式、通讯开会方式或法律法规、监管机构允许的其他方式召开，会议的召开方式由会议召集人确定。</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w:t>
      </w:r>
      <w:r>
        <w:rPr>
          <w:rFonts w:hint="eastAsia"/>
          <w:bCs/>
          <w:color w:val="000000" w:themeColor="text1"/>
          <w:sz w:val="24"/>
          <w14:textFill>
            <w14:solidFill>
              <w14:schemeClr w14:val="tx1"/>
            </w14:solidFill>
          </w14:textFill>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1</w:t>
      </w:r>
      <w:r>
        <w:rPr>
          <w:rFonts w:hint="eastAsia"/>
          <w:bCs/>
          <w:color w:val="000000" w:themeColor="text1"/>
          <w:sz w:val="24"/>
          <w14:textFill>
            <w14:solidFill>
              <w14:schemeClr w14:val="tx1"/>
            </w14:solidFill>
          </w14:textFill>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2</w:t>
      </w:r>
      <w:r>
        <w:rPr>
          <w:rFonts w:hint="eastAsia"/>
          <w:bCs/>
          <w:color w:val="000000" w:themeColor="text1"/>
          <w:sz w:val="24"/>
          <w14:textFill>
            <w14:solidFill>
              <w14:schemeClr w14:val="tx1"/>
            </w14:solidFill>
          </w14:textFill>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Pr>
          <w:bCs/>
          <w:color w:val="000000" w:themeColor="text1"/>
          <w:sz w:val="24"/>
          <w14:textFill>
            <w14:solidFill>
              <w14:schemeClr w14:val="tx1"/>
            </w14:solidFill>
          </w14:textFill>
        </w:rPr>
        <w:t>3</w:t>
      </w:r>
      <w:r>
        <w:rPr>
          <w:rFonts w:hint="eastAsia"/>
          <w:bCs/>
          <w:color w:val="000000" w:themeColor="text1"/>
          <w:sz w:val="24"/>
          <w14:textFill>
            <w14:solidFill>
              <w14:schemeClr w14:val="tx1"/>
            </w14:solidFill>
          </w14:textFill>
        </w:rPr>
        <w:t>个月以后、</w:t>
      </w:r>
      <w:r>
        <w:rPr>
          <w:bCs/>
          <w:color w:val="000000" w:themeColor="text1"/>
          <w:sz w:val="24"/>
          <w14:textFill>
            <w14:solidFill>
              <w14:schemeClr w14:val="tx1"/>
            </w14:solidFill>
          </w14:textFill>
        </w:rPr>
        <w:t>6</w:t>
      </w:r>
      <w:r>
        <w:rPr>
          <w:rFonts w:hint="eastAsia"/>
          <w:bCs/>
          <w:color w:val="000000" w:themeColor="text1"/>
          <w:sz w:val="24"/>
          <w14:textFill>
            <w14:solidFill>
              <w14:schemeClr w14:val="tx1"/>
            </w14:solidFill>
          </w14:textFill>
        </w:rPr>
        <w:t>个月以内，就原定审议事项重新召集基金份额持有人大会。重新召集的基金份额持有人大会到会者在权益登记日代表的有效的基金份额应不少于本基金在权益登记日基金总份额的三分之一（含三分之一）。</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2</w:t>
      </w:r>
      <w:r>
        <w:rPr>
          <w:rFonts w:hint="eastAsia"/>
          <w:bCs/>
          <w:color w:val="000000" w:themeColor="text1"/>
          <w:sz w:val="24"/>
          <w14:textFill>
            <w14:solidFill>
              <w14:schemeClr w14:val="tx1"/>
            </w14:solidFill>
          </w14:textFill>
        </w:rPr>
        <w:t>、通讯开会。通讯开会系指基金份额持有人将其对表决事项的投票以书面形式或基金合同约定的其他方式在表决截止日以前送达至召集人指定的地址。通讯开会应以书面方式或基金合同约定的其他方式进行表决。</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在同时符合以下条件时，通讯开会的方式视为有效：</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1</w:t>
      </w:r>
      <w:r>
        <w:rPr>
          <w:rFonts w:hint="eastAsia"/>
          <w:bCs/>
          <w:color w:val="000000" w:themeColor="text1"/>
          <w:sz w:val="24"/>
          <w14:textFill>
            <w14:solidFill>
              <w14:schemeClr w14:val="tx1"/>
            </w14:solidFill>
          </w14:textFill>
        </w:rPr>
        <w:t>）会议召集人按《基金合同》约定公布会议通知后，在</w:t>
      </w:r>
      <w:r>
        <w:rPr>
          <w:bCs/>
          <w:color w:val="000000" w:themeColor="text1"/>
          <w:sz w:val="24"/>
          <w14:textFill>
            <w14:solidFill>
              <w14:schemeClr w14:val="tx1"/>
            </w14:solidFill>
          </w14:textFill>
        </w:rPr>
        <w:t>2</w:t>
      </w:r>
      <w:r>
        <w:rPr>
          <w:rFonts w:hint="eastAsia"/>
          <w:bCs/>
          <w:color w:val="000000" w:themeColor="text1"/>
          <w:sz w:val="24"/>
          <w14:textFill>
            <w14:solidFill>
              <w14:schemeClr w14:val="tx1"/>
            </w14:solidFill>
          </w14:textFill>
        </w:rPr>
        <w:t>个工作日内连续公布相关提示性公告；</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2</w:t>
      </w:r>
      <w:r>
        <w:rPr>
          <w:rFonts w:hint="eastAsia"/>
          <w:bCs/>
          <w:color w:val="000000" w:themeColor="text1"/>
          <w:sz w:val="24"/>
          <w14:textFill>
            <w14:solidFill>
              <w14:schemeClr w14:val="tx1"/>
            </w14:solidFill>
          </w14:textFill>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pPr>
        <w:spacing w:line="360" w:lineRule="auto"/>
        <w:ind w:firstLine="540" w:firstLineChars="225"/>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3</w:t>
      </w:r>
      <w:r>
        <w:rPr>
          <w:rFonts w:hint="eastAsia"/>
          <w:bCs/>
          <w:color w:val="000000" w:themeColor="text1"/>
          <w:sz w:val="24"/>
          <w14:textFill>
            <w14:solidFill>
              <w14:schemeClr w14:val="tx1"/>
            </w14:solidFill>
          </w14:textFill>
        </w:rPr>
        <w:t>）本人直接出具书面意见或授权他人代表出具书面意见的，基金份额持有人所持有的基金份额不小于在权益登记日基金总份额的二分之一（含二分之一）；若本人直接出具书面意见或授权他人代表出具书面意见基金份额持有人所持有的基金份额小于在权益登记日基金总份额的二分之一，召集人可以在原公告的基金份额持有人大会召开时间的</w:t>
      </w:r>
      <w:r>
        <w:rPr>
          <w:bCs/>
          <w:color w:val="000000" w:themeColor="text1"/>
          <w:sz w:val="24"/>
          <w14:textFill>
            <w14:solidFill>
              <w14:schemeClr w14:val="tx1"/>
            </w14:solidFill>
          </w14:textFill>
        </w:rPr>
        <w:t>3</w:t>
      </w:r>
      <w:r>
        <w:rPr>
          <w:rFonts w:hint="eastAsia"/>
          <w:bCs/>
          <w:color w:val="000000" w:themeColor="text1"/>
          <w:sz w:val="24"/>
          <w14:textFill>
            <w14:solidFill>
              <w14:schemeClr w14:val="tx1"/>
            </w14:solidFill>
          </w14:textFill>
        </w:rPr>
        <w:t>个月以后、</w:t>
      </w:r>
      <w:r>
        <w:rPr>
          <w:bCs/>
          <w:color w:val="000000" w:themeColor="text1"/>
          <w:sz w:val="24"/>
          <w14:textFill>
            <w14:solidFill>
              <w14:schemeClr w14:val="tx1"/>
            </w14:solidFill>
          </w14:textFill>
        </w:rPr>
        <w:t>6</w:t>
      </w:r>
      <w:r>
        <w:rPr>
          <w:rFonts w:hint="eastAsia"/>
          <w:bCs/>
          <w:color w:val="000000" w:themeColor="text1"/>
          <w:sz w:val="24"/>
          <w14:textFill>
            <w14:solidFill>
              <w14:schemeClr w14:val="tx1"/>
            </w14:solidFill>
          </w14:textFill>
        </w:rPr>
        <w:t>个月以内，就原定审议事项重新召集基金份额持有人大会。重新召集的基金份额持有人大会应当有代表三分之一以上（含三分之一）基金份额的持有人直接出具书面意见或授权他人代表出具书面意见；</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4</w:t>
      </w:r>
      <w:r>
        <w:rPr>
          <w:rFonts w:hint="eastAsia"/>
          <w:bCs/>
          <w:color w:val="000000" w:themeColor="text1"/>
          <w:sz w:val="24"/>
          <w14:textFill>
            <w14:solidFill>
              <w14:schemeClr w14:val="tx1"/>
            </w14:solidFill>
          </w14:textFill>
        </w:rPr>
        <w:t>）上述第（</w:t>
      </w:r>
      <w:r>
        <w:rPr>
          <w:bCs/>
          <w:color w:val="000000" w:themeColor="text1"/>
          <w:sz w:val="24"/>
          <w14:textFill>
            <w14:solidFill>
              <w14:schemeClr w14:val="tx1"/>
            </w14:solidFill>
          </w14:textFill>
        </w:rPr>
        <w:t>3</w:t>
      </w:r>
      <w:r>
        <w:rPr>
          <w:rFonts w:hint="eastAsia"/>
          <w:bCs/>
          <w:color w:val="000000" w:themeColor="text1"/>
          <w:sz w:val="24"/>
          <w14:textFill>
            <w14:solidFill>
              <w14:schemeClr w14:val="tx1"/>
            </w14:solidFill>
          </w14:textFill>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pPr>
        <w:spacing w:line="360" w:lineRule="auto"/>
        <w:ind w:firstLine="480" w:firstLineChars="200"/>
        <w:rPr>
          <w:bCs/>
          <w:color w:val="000000" w:themeColor="text1"/>
          <w:sz w:val="24"/>
          <w:szCs w:val="24"/>
          <w14:textFill>
            <w14:solidFill>
              <w14:schemeClr w14:val="tx1"/>
            </w14:solidFill>
          </w14:textFill>
        </w:rPr>
      </w:pPr>
      <w:r>
        <w:rPr>
          <w:bCs/>
          <w:color w:val="000000" w:themeColor="text1"/>
          <w:sz w:val="24"/>
          <w:szCs w:val="24"/>
          <w14:textFill>
            <w14:solidFill>
              <w14:schemeClr w14:val="tx1"/>
            </w14:solidFill>
          </w14:textFill>
        </w:rPr>
        <w:t>3</w:t>
      </w:r>
      <w:r>
        <w:rPr>
          <w:rFonts w:hint="eastAsia"/>
          <w:bCs/>
          <w:color w:val="000000" w:themeColor="text1"/>
          <w:sz w:val="24"/>
          <w:szCs w:val="24"/>
          <w14:textFill>
            <w14:solidFill>
              <w14:schemeClr w14:val="tx1"/>
            </w14:solidFill>
          </w14:textFill>
        </w:rPr>
        <w:t>、在法律法规和监管机关允许的情况下，本基金的基金份额持有人亦可采用网络、电话或其他方式进行表决，或者采用网络、电话或其他方式授权他人代为出席基金份额持有人大会并表决，具体方式由会议召集人确定并在会议通知中列明。</w:t>
      </w:r>
    </w:p>
    <w:p>
      <w:pPr>
        <w:spacing w:line="360" w:lineRule="auto"/>
        <w:ind w:firstLine="480" w:firstLineChars="200"/>
        <w:rPr>
          <w:color w:val="000000" w:themeColor="text1"/>
          <w:sz w:val="24"/>
          <w:szCs w:val="24"/>
          <w14:textFill>
            <w14:solidFill>
              <w14:schemeClr w14:val="tx1"/>
            </w14:solidFill>
          </w14:textFill>
        </w:rPr>
      </w:pPr>
      <w:r>
        <w:rPr>
          <w:bCs/>
          <w:color w:val="000000" w:themeColor="text1"/>
          <w:sz w:val="24"/>
          <w:szCs w:val="24"/>
          <w14:textFill>
            <w14:solidFill>
              <w14:schemeClr w14:val="tx1"/>
            </w14:solidFill>
          </w14:textFill>
        </w:rPr>
        <w:t>4</w:t>
      </w:r>
      <w:r>
        <w:rPr>
          <w:rFonts w:hint="eastAsia"/>
          <w:color w:val="000000" w:themeColor="text1"/>
          <w:sz w:val="24"/>
          <w:szCs w:val="24"/>
          <w14:textFill>
            <w14:solidFill>
              <w14:schemeClr w14:val="tx1"/>
            </w14:solidFill>
          </w14:textFill>
        </w:rPr>
        <w:t>、在会议召开方式上，本基金亦可采用其他非现场方式或者以现场方式与非现场方式相结合的方式召开基金份额持有人大会，会议程序比照现场开会和通讯方式开会的程序进行。</w:t>
      </w:r>
    </w:p>
    <w:p>
      <w:pPr>
        <w:spacing w:line="360" w:lineRule="auto"/>
        <w:ind w:firstLine="480" w:firstLineChars="200"/>
        <w:rPr>
          <w:bCs/>
          <w:color w:val="000000" w:themeColor="text1"/>
          <w:sz w:val="24"/>
          <w14:textFill>
            <w14:solidFill>
              <w14:schemeClr w14:val="tx1"/>
            </w14:solidFill>
          </w14:textFill>
        </w:rPr>
      </w:pPr>
      <w:r>
        <w:rPr>
          <w:rFonts w:hint="eastAsia"/>
          <w:color w:val="000000" w:themeColor="text1"/>
          <w:sz w:val="24"/>
          <w:szCs w:val="24"/>
          <w14:textFill>
            <w14:solidFill>
              <w14:schemeClr w14:val="tx1"/>
            </w14:solidFill>
          </w14:textFill>
        </w:rPr>
        <w:t>（五）</w:t>
      </w:r>
      <w:r>
        <w:rPr>
          <w:rFonts w:hint="eastAsia"/>
          <w:bCs/>
          <w:color w:val="000000" w:themeColor="text1"/>
          <w:sz w:val="24"/>
          <w14:textFill>
            <w14:solidFill>
              <w14:schemeClr w14:val="tx1"/>
            </w14:solidFill>
          </w14:textFill>
        </w:rPr>
        <w:t>议事内容与程序</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w:t>
      </w:r>
      <w:r>
        <w:rPr>
          <w:rFonts w:hint="eastAsia"/>
          <w:bCs/>
          <w:color w:val="000000" w:themeColor="text1"/>
          <w:sz w:val="24"/>
          <w14:textFill>
            <w14:solidFill>
              <w14:schemeClr w14:val="tx1"/>
            </w14:solidFill>
          </w14:textFill>
        </w:rPr>
        <w:t>、议事内容及提案权</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基金份额持有人大会的召集人发出召集会议的通知后，对原有提案的修改应当在基金份额持有人大会召开前及时公告。</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基金份额持有人大会不得对未事先公告的议事内容进行表决。</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2</w:t>
      </w:r>
      <w:r>
        <w:rPr>
          <w:rFonts w:hint="eastAsia"/>
          <w:bCs/>
          <w:color w:val="000000" w:themeColor="text1"/>
          <w:sz w:val="24"/>
          <w14:textFill>
            <w14:solidFill>
              <w14:schemeClr w14:val="tx1"/>
            </w14:solidFill>
          </w14:textFill>
        </w:rPr>
        <w:t>、议事程序</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1</w:t>
      </w:r>
      <w:r>
        <w:rPr>
          <w:rFonts w:hint="eastAsia"/>
          <w:bCs/>
          <w:color w:val="000000" w:themeColor="text1"/>
          <w:sz w:val="24"/>
          <w14:textFill>
            <w14:solidFill>
              <w14:schemeClr w14:val="tx1"/>
            </w14:solidFill>
          </w14:textFill>
        </w:rPr>
        <w:t>）现场开会</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在现场开会的方式下，首先由大会主持人按照下列第（</w:t>
      </w:r>
      <w:r>
        <w:rPr>
          <w:bCs/>
          <w:color w:val="000000" w:themeColor="text1"/>
          <w:sz w:val="24"/>
          <w14:textFill>
            <w14:solidFill>
              <w14:schemeClr w14:val="tx1"/>
            </w14:solidFill>
          </w14:textFill>
        </w:rPr>
        <w:t>七</w:t>
      </w:r>
      <w:r>
        <w:rPr>
          <w:rFonts w:hint="eastAsia"/>
          <w:bCs/>
          <w:color w:val="000000" w:themeColor="text1"/>
          <w:sz w:val="24"/>
          <w14:textFill>
            <w14:solidFill>
              <w14:schemeClr w14:val="tx1"/>
            </w14:solidFill>
          </w14:textFill>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bCs/>
          <w:color w:val="000000" w:themeColor="text1"/>
          <w:sz w:val="24"/>
          <w14:textFill>
            <w14:solidFill>
              <w14:schemeClr w14:val="tx1"/>
            </w14:solidFill>
          </w14:textFill>
        </w:rPr>
        <w:t>50%</w:t>
      </w:r>
      <w:r>
        <w:rPr>
          <w:rFonts w:hint="eastAsia"/>
          <w:bCs/>
          <w:color w:val="000000" w:themeColor="text1"/>
          <w:sz w:val="24"/>
          <w14:textFill>
            <w14:solidFill>
              <w14:schemeClr w14:val="tx1"/>
            </w14:solidFill>
          </w14:textFill>
        </w:rPr>
        <w:t>以上（含</w:t>
      </w:r>
      <w:r>
        <w:rPr>
          <w:bCs/>
          <w:color w:val="000000" w:themeColor="text1"/>
          <w:sz w:val="24"/>
          <w14:textFill>
            <w14:solidFill>
              <w14:schemeClr w14:val="tx1"/>
            </w14:solidFill>
          </w14:textFill>
        </w:rPr>
        <w:t>50%</w:t>
      </w:r>
      <w:r>
        <w:rPr>
          <w:rFonts w:hint="eastAsia"/>
          <w:bCs/>
          <w:color w:val="000000" w:themeColor="text1"/>
          <w:sz w:val="24"/>
          <w14:textFill>
            <w14:solidFill>
              <w14:schemeClr w14:val="tx1"/>
            </w14:solidFill>
          </w14:textFill>
        </w:rPr>
        <w:t>）选举产生一名基金份额持有人作为该次基金份额持有人大会的主持人。基金管理人和基金托管人拒不出席或主持基金份额持有人大会，不影响基金份额持有人大会作出的决议的效力。</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会议召集人应当制作出席会议人员的签名册。签名册载明参加会议人员姓名（或单位名称）、身份证明文件号码、持有或代表有表决权的基金份额、委托人姓名（或单位名称）和联系方式等事项。</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2</w:t>
      </w:r>
      <w:r>
        <w:rPr>
          <w:rFonts w:hint="eastAsia"/>
          <w:bCs/>
          <w:color w:val="000000" w:themeColor="text1"/>
          <w:sz w:val="24"/>
          <w14:textFill>
            <w14:solidFill>
              <w14:schemeClr w14:val="tx1"/>
            </w14:solidFill>
          </w14:textFill>
        </w:rPr>
        <w:t>）通讯开会</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在通讯开会的情况下，首先由召集人提前</w:t>
      </w:r>
      <w:r>
        <w:rPr>
          <w:bCs/>
          <w:color w:val="000000" w:themeColor="text1"/>
          <w:sz w:val="24"/>
          <w14:textFill>
            <w14:solidFill>
              <w14:schemeClr w14:val="tx1"/>
            </w14:solidFill>
          </w14:textFill>
        </w:rPr>
        <w:t>30</w:t>
      </w:r>
      <w:r>
        <w:rPr>
          <w:rFonts w:hint="eastAsia"/>
          <w:bCs/>
          <w:color w:val="000000" w:themeColor="text1"/>
          <w:sz w:val="24"/>
          <w14:textFill>
            <w14:solidFill>
              <w14:schemeClr w14:val="tx1"/>
            </w14:solidFill>
          </w14:textFill>
        </w:rPr>
        <w:t>日公布提案，在所通知的表决截止日期后</w:t>
      </w:r>
      <w:r>
        <w:rPr>
          <w:bCs/>
          <w:color w:val="000000" w:themeColor="text1"/>
          <w:sz w:val="24"/>
          <w14:textFill>
            <w14:solidFill>
              <w14:schemeClr w14:val="tx1"/>
            </w14:solidFill>
          </w14:textFill>
        </w:rPr>
        <w:t>2</w:t>
      </w:r>
      <w:r>
        <w:rPr>
          <w:rFonts w:hint="eastAsia"/>
          <w:bCs/>
          <w:color w:val="000000" w:themeColor="text1"/>
          <w:sz w:val="24"/>
          <w14:textFill>
            <w14:solidFill>
              <w14:schemeClr w14:val="tx1"/>
            </w14:solidFill>
          </w14:textFill>
        </w:rPr>
        <w:t>个工作日内在公证机关监督下由召集人统计全部有效表决，在公证机关监督下形成决议。</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（六）表决</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基金份额持有人所持每份基金份额有一票表决权。</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基金份额持有人大会决议分为一般决议和特别决议：</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w:t>
      </w:r>
      <w:r>
        <w:rPr>
          <w:rFonts w:hint="eastAsia"/>
          <w:bCs/>
          <w:color w:val="000000" w:themeColor="text1"/>
          <w:sz w:val="24"/>
          <w14:textFill>
            <w14:solidFill>
              <w14:schemeClr w14:val="tx1"/>
            </w14:solidFill>
          </w14:textFill>
        </w:rPr>
        <w:t>、一般决议，一般决议须经参加大会的基金份额持有人或其代理人所持表决权的二分之一以上（含二分之一）通过方为有效；除下列第</w:t>
      </w:r>
      <w:r>
        <w:rPr>
          <w:bCs/>
          <w:color w:val="000000" w:themeColor="text1"/>
          <w:sz w:val="24"/>
          <w14:textFill>
            <w14:solidFill>
              <w14:schemeClr w14:val="tx1"/>
            </w14:solidFill>
          </w14:textFill>
        </w:rPr>
        <w:t>2</w:t>
      </w:r>
      <w:r>
        <w:rPr>
          <w:rFonts w:hint="eastAsia"/>
          <w:bCs/>
          <w:color w:val="000000" w:themeColor="text1"/>
          <w:sz w:val="24"/>
          <w14:textFill>
            <w14:solidFill>
              <w14:schemeClr w14:val="tx1"/>
            </w14:solidFill>
          </w14:textFill>
        </w:rPr>
        <w:t>项所规定的须以特别决议通过事项以外的其他事项均以一般决议的方式通过。</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2</w:t>
      </w:r>
      <w:r>
        <w:rPr>
          <w:rFonts w:hint="eastAsia"/>
          <w:bCs/>
          <w:color w:val="000000" w:themeColor="text1"/>
          <w:sz w:val="24"/>
          <w14:textFill>
            <w14:solidFill>
              <w14:schemeClr w14:val="tx1"/>
            </w14:solidFill>
          </w14:textFill>
        </w:rPr>
        <w:t>、特别决议，特别决议应当经参加大会的基金份额持有人或其代理人所持表决权</w:t>
      </w:r>
      <w:r>
        <w:rPr>
          <w:rFonts w:hint="eastAsia"/>
          <w:bCs/>
          <w:color w:val="000000" w:themeColor="text1"/>
          <w:sz w:val="24"/>
          <w:szCs w:val="24"/>
          <w14:textFill>
            <w14:solidFill>
              <w14:schemeClr w14:val="tx1"/>
            </w14:solidFill>
          </w14:textFill>
        </w:rPr>
        <w:t>的</w:t>
      </w:r>
      <w:r>
        <w:rPr>
          <w:rFonts w:hint="eastAsia"/>
          <w:color w:val="000000" w:themeColor="text1"/>
          <w:sz w:val="24"/>
          <w:szCs w:val="24"/>
          <w14:textFill>
            <w14:solidFill>
              <w14:schemeClr w14:val="tx1"/>
            </w14:solidFill>
          </w14:textFill>
        </w:rPr>
        <w:t>三分之二以上（含三分之二）通</w:t>
      </w:r>
      <w:r>
        <w:rPr>
          <w:rFonts w:hint="eastAsia"/>
          <w:color w:val="000000" w:themeColor="text1"/>
          <w:sz w:val="24"/>
          <w14:textFill>
            <w14:solidFill>
              <w14:schemeClr w14:val="tx1"/>
            </w14:solidFill>
          </w14:textFill>
        </w:rPr>
        <w:t>过方可做出。转换基金运作方式、更换基金管理人或者基金托管人、终止《基金合同》、本基金与其他基金合并</w:t>
      </w:r>
      <w:r>
        <w:rPr>
          <w:rFonts w:hint="eastAsia"/>
          <w:bCs/>
          <w:color w:val="000000" w:themeColor="text1"/>
          <w:sz w:val="24"/>
          <w14:textFill>
            <w14:solidFill>
              <w14:schemeClr w14:val="tx1"/>
            </w14:solidFill>
          </w14:textFill>
        </w:rPr>
        <w:t>以特别决议通过方为有效。</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基金份额持有人大会采取记名方式进行投票表决。</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基金份额持有人大会的各项提案或同一项提案内并列的各项议题应当分开审议、逐项表决。</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（七）计票</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w:t>
      </w:r>
      <w:r>
        <w:rPr>
          <w:rFonts w:hint="eastAsia"/>
          <w:bCs/>
          <w:color w:val="000000" w:themeColor="text1"/>
          <w:sz w:val="24"/>
          <w14:textFill>
            <w14:solidFill>
              <w14:schemeClr w14:val="tx1"/>
            </w14:solidFill>
          </w14:textFill>
        </w:rPr>
        <w:t>、现场开会</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1</w:t>
      </w:r>
      <w:r>
        <w:rPr>
          <w:rFonts w:hint="eastAsia"/>
          <w:bCs/>
          <w:color w:val="000000" w:themeColor="text1"/>
          <w:sz w:val="24"/>
          <w14:textFill>
            <w14:solidFill>
              <w14:schemeClr w14:val="tx1"/>
            </w14:solidFill>
          </w14:textFill>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2</w:t>
      </w:r>
      <w:r>
        <w:rPr>
          <w:rFonts w:hint="eastAsia"/>
          <w:bCs/>
          <w:color w:val="000000" w:themeColor="text1"/>
          <w:sz w:val="24"/>
          <w14:textFill>
            <w14:solidFill>
              <w14:schemeClr w14:val="tx1"/>
            </w14:solidFill>
          </w14:textFill>
        </w:rPr>
        <w:t>）监票人应当在基金份额持有人表决后立即进行清点并由大会主持人当场公布计票结果。</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3</w:t>
      </w:r>
      <w:r>
        <w:rPr>
          <w:rFonts w:hint="eastAsia"/>
          <w:bCs/>
          <w:color w:val="000000" w:themeColor="text1"/>
          <w:sz w:val="24"/>
          <w14:textFill>
            <w14:solidFill>
              <w14:schemeClr w14:val="tx1"/>
            </w14:solidFill>
          </w14:textFill>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4</w:t>
      </w:r>
      <w:r>
        <w:rPr>
          <w:rFonts w:hint="eastAsia"/>
          <w:bCs/>
          <w:color w:val="000000" w:themeColor="text1"/>
          <w:sz w:val="24"/>
          <w14:textFill>
            <w14:solidFill>
              <w14:schemeClr w14:val="tx1"/>
            </w14:solidFill>
          </w14:textFill>
        </w:rPr>
        <w:t>）计票过程应由公证机关予以公证，基金管理人或基金托管人拒不出席大会的，不影响计票的效力。</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2</w:t>
      </w:r>
      <w:r>
        <w:rPr>
          <w:rFonts w:hint="eastAsia"/>
          <w:bCs/>
          <w:color w:val="000000" w:themeColor="text1"/>
          <w:sz w:val="24"/>
          <w14:textFill>
            <w14:solidFill>
              <w14:schemeClr w14:val="tx1"/>
            </w14:solidFill>
          </w14:textFill>
        </w:rPr>
        <w:t>、通讯开会</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（八）生效与公告</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基金份额持有人大会的决议，召集人应当自通过之日起</w:t>
      </w:r>
      <w:r>
        <w:rPr>
          <w:bCs/>
          <w:color w:val="000000" w:themeColor="text1"/>
          <w:sz w:val="24"/>
          <w14:textFill>
            <w14:solidFill>
              <w14:schemeClr w14:val="tx1"/>
            </w14:solidFill>
          </w14:textFill>
        </w:rPr>
        <w:t>5</w:t>
      </w:r>
      <w:r>
        <w:rPr>
          <w:rFonts w:hint="eastAsia"/>
          <w:bCs/>
          <w:color w:val="000000" w:themeColor="text1"/>
          <w:sz w:val="24"/>
          <w14:textFill>
            <w14:solidFill>
              <w14:schemeClr w14:val="tx1"/>
            </w14:solidFill>
          </w14:textFill>
        </w:rPr>
        <w:t>日内报中国证监会备案。</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基金份额持有人大会的决议自表决通过之日起生效。</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基金份额持有人大会决议自生效之日起</w:t>
      </w:r>
      <w:r>
        <w:rPr>
          <w:bCs/>
          <w:color w:val="000000" w:themeColor="text1"/>
          <w:sz w:val="24"/>
          <w14:textFill>
            <w14:solidFill>
              <w14:schemeClr w14:val="tx1"/>
            </w14:solidFill>
          </w14:textFill>
        </w:rPr>
        <w:t>2</w:t>
      </w:r>
      <w:r>
        <w:rPr>
          <w:rFonts w:hint="eastAsia"/>
          <w:bCs/>
          <w:color w:val="000000" w:themeColor="text1"/>
          <w:sz w:val="24"/>
          <w14:textFill>
            <w14:solidFill>
              <w14:schemeClr w14:val="tx1"/>
            </w14:solidFill>
          </w14:textFill>
        </w:rPr>
        <w:t>日内在规定媒介上公告。如果采用通讯方式进行表决，在公告基金份额持有人大会决议时，必须将公证书全文、公证机构、公证员姓名等一同公告。</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基金管理人、基金托管人和基金份额持有人应当执行生效的基金份额持有人大会的决议。生效的基金份额持有人大会决议对全体基金份额持有人、基金管理人、基金托管人均有约束力。</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（九）实施侧袋机制期间基金份额持有人大会的特殊约定</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1</w:t>
      </w:r>
      <w:r>
        <w:rPr>
          <w:rFonts w:hint="eastAsia"/>
          <w:color w:val="000000" w:themeColor="text1"/>
          <w:sz w:val="24"/>
          <w14:textFill>
            <w14:solidFill>
              <w14:schemeClr w14:val="tx1"/>
            </w14:solidFill>
          </w14:textFill>
        </w:rPr>
        <w:t>、基金份额持有人行使提议权、召集权、提名权所需单独或合计代表相关基金份额</w:t>
      </w:r>
      <w:r>
        <w:rPr>
          <w:color w:val="000000" w:themeColor="text1"/>
          <w:sz w:val="24"/>
          <w14:textFill>
            <w14:solidFill>
              <w14:schemeClr w14:val="tx1"/>
            </w14:solidFill>
          </w14:textFill>
        </w:rPr>
        <w:t>10%</w:t>
      </w:r>
      <w:r>
        <w:rPr>
          <w:rFonts w:hint="eastAsia"/>
          <w:color w:val="000000" w:themeColor="text1"/>
          <w:sz w:val="24"/>
          <w14:textFill>
            <w14:solidFill>
              <w14:schemeClr w14:val="tx1"/>
            </w14:solidFill>
          </w14:textFill>
        </w:rPr>
        <w:t>以上（含</w:t>
      </w:r>
      <w:r>
        <w:rPr>
          <w:color w:val="000000" w:themeColor="text1"/>
          <w:sz w:val="24"/>
          <w14:textFill>
            <w14:solidFill>
              <w14:schemeClr w14:val="tx1"/>
            </w14:solidFill>
          </w14:textFill>
        </w:rPr>
        <w:t>10%</w:t>
      </w:r>
      <w:r>
        <w:rPr>
          <w:rFonts w:hint="eastAsia"/>
          <w:color w:val="000000" w:themeColor="text1"/>
          <w:sz w:val="24"/>
          <w14:textFill>
            <w14:solidFill>
              <w14:schemeClr w14:val="tx1"/>
            </w14:solidFill>
          </w14:textFill>
        </w:rPr>
        <w:t>）；</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2</w:t>
      </w:r>
      <w:r>
        <w:rPr>
          <w:rFonts w:hint="eastAsia"/>
          <w:color w:val="000000" w:themeColor="text1"/>
          <w:sz w:val="24"/>
          <w14:textFill>
            <w14:solidFill>
              <w14:schemeClr w14:val="tx1"/>
            </w14:solidFill>
          </w14:textFill>
        </w:rPr>
        <w:t>、现场开会的到会者在权益登记日代表的基金份额不少于本基金在权益登记日相关基金份额的二分之一（含二分之一）；</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3</w:t>
      </w:r>
      <w:r>
        <w:rPr>
          <w:rFonts w:hint="eastAsia"/>
          <w:color w:val="000000" w:themeColor="text1"/>
          <w:sz w:val="24"/>
          <w14:textFill>
            <w14:solidFill>
              <w14:schemeClr w14:val="tx1"/>
            </w14:solidFill>
          </w14:textFill>
        </w:rPr>
        <w:t>、通讯开会的直接出具书面意见或授权他人代表出具书面意见的基金份额持有人所持有的基金份额不小于在权益登记日相关基金份额的二分之一（含二分之一）；</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4</w:t>
      </w:r>
      <w:r>
        <w:rPr>
          <w:rFonts w:hint="eastAsia"/>
          <w:color w:val="000000" w:themeColor="text1"/>
          <w:sz w:val="24"/>
          <w14:textFill>
            <w14:solidFill>
              <w14:schemeClr w14:val="tx1"/>
            </w14:solidFill>
          </w14:textFill>
        </w:rPr>
        <w:t>、在参与基金份额持有人大会投票的基金份额持有人所持有的基金份额小于在权益登记日相关基金份额的二分之一、召集人在原公告的基金份额持有人大会召开时间的</w:t>
      </w:r>
      <w:r>
        <w:rPr>
          <w:color w:val="000000" w:themeColor="text1"/>
          <w:sz w:val="24"/>
          <w14:textFill>
            <w14:solidFill>
              <w14:schemeClr w14:val="tx1"/>
            </w14:solidFill>
          </w14:textFill>
        </w:rPr>
        <w:t>3</w:t>
      </w:r>
      <w:r>
        <w:rPr>
          <w:rFonts w:hint="eastAsia"/>
          <w:color w:val="000000" w:themeColor="text1"/>
          <w:sz w:val="24"/>
          <w14:textFill>
            <w14:solidFill>
              <w14:schemeClr w14:val="tx1"/>
            </w14:solidFill>
          </w14:textFill>
        </w:rPr>
        <w:t>个月以后、</w:t>
      </w:r>
      <w:r>
        <w:rPr>
          <w:color w:val="000000" w:themeColor="text1"/>
          <w:sz w:val="24"/>
          <w14:textFill>
            <w14:solidFill>
              <w14:schemeClr w14:val="tx1"/>
            </w14:solidFill>
          </w14:textFill>
        </w:rPr>
        <w:t>6</w:t>
      </w:r>
      <w:r>
        <w:rPr>
          <w:rFonts w:hint="eastAsia"/>
          <w:color w:val="000000" w:themeColor="text1"/>
          <w:sz w:val="24"/>
          <w14:textFill>
            <w14:solidFill>
              <w14:schemeClr w14:val="tx1"/>
            </w14:solidFill>
          </w14:textFill>
        </w:rPr>
        <w:t>个月以内就原定审议事项重新召集的基金份额持有人大会应当有代表三分之一以上（含三分之一）相关基金份额的持有人参与或授权他人参与基金份额持有人大会投票；</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5</w:t>
      </w:r>
      <w:r>
        <w:rPr>
          <w:rFonts w:hint="eastAsia"/>
          <w:color w:val="000000" w:themeColor="text1"/>
          <w:sz w:val="24"/>
          <w14:textFill>
            <w14:solidFill>
              <w14:schemeClr w14:val="tx1"/>
            </w14:solidFill>
          </w14:textFill>
        </w:rPr>
        <w:t>、现场开会由出席大会的基金份额持有人和代理人所持表决权的</w:t>
      </w:r>
      <w:r>
        <w:rPr>
          <w:color w:val="000000" w:themeColor="text1"/>
          <w:sz w:val="24"/>
          <w14:textFill>
            <w14:solidFill>
              <w14:schemeClr w14:val="tx1"/>
            </w14:solidFill>
          </w14:textFill>
        </w:rPr>
        <w:t>50%</w:t>
      </w:r>
      <w:r>
        <w:rPr>
          <w:rFonts w:hint="eastAsia"/>
          <w:color w:val="000000" w:themeColor="text1"/>
          <w:sz w:val="24"/>
          <w14:textFill>
            <w14:solidFill>
              <w14:schemeClr w14:val="tx1"/>
            </w14:solidFill>
          </w14:textFill>
        </w:rPr>
        <w:t>以上（含</w:t>
      </w:r>
      <w:r>
        <w:rPr>
          <w:color w:val="000000" w:themeColor="text1"/>
          <w:sz w:val="24"/>
          <w14:textFill>
            <w14:solidFill>
              <w14:schemeClr w14:val="tx1"/>
            </w14:solidFill>
          </w14:textFill>
        </w:rPr>
        <w:t>50%</w:t>
      </w:r>
      <w:r>
        <w:rPr>
          <w:rFonts w:hint="eastAsia"/>
          <w:color w:val="000000" w:themeColor="text1"/>
          <w:sz w:val="24"/>
          <w14:textFill>
            <w14:solidFill>
              <w14:schemeClr w14:val="tx1"/>
            </w14:solidFill>
          </w14:textFill>
        </w:rPr>
        <w:t>）选举产生一名基金份额持有人作为该次基金份额持有人大会的主持人；</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6</w:t>
      </w:r>
      <w:r>
        <w:rPr>
          <w:rFonts w:hint="eastAsia"/>
          <w:color w:val="000000" w:themeColor="text1"/>
          <w:sz w:val="24"/>
          <w14:textFill>
            <w14:solidFill>
              <w14:schemeClr w14:val="tx1"/>
            </w14:solidFill>
          </w14:textFill>
        </w:rPr>
        <w:t>、一般决议须经参加大会的基金份额持有人或其代理人所持表决权的二分之一以上（含二分之一）通过；</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7</w:t>
      </w:r>
      <w:r>
        <w:rPr>
          <w:rFonts w:hint="eastAsia"/>
          <w:color w:val="000000" w:themeColor="text1"/>
          <w:sz w:val="24"/>
          <w14:textFill>
            <w14:solidFill>
              <w14:schemeClr w14:val="tx1"/>
            </w14:solidFill>
          </w14:textFill>
        </w:rPr>
        <w:t>、特别决议应当经参加大会的基金份额持有人或其代理人所持表决权的三分之二以上（含三分之二）通过。</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8、侧袋机制实施期间，基金份额持有人大会审议事项涉及主袋账户和侧袋账户的，应分别由主袋账户、侧袋账户的基金份额持有人进行表决，同一主侧袋账户内的每份基金份额具有平等的表决权。表决事项未涉及侧袋账户的，侧袋账户份额无表决权。</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侧袋机制实施期间，关于基金份额持有人大会的相关规定以本节特殊约定内容为准，本节没有规定的适用本部分的一般规定，法律法规另有规定的除外。</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同一主侧袋账户内的每份基金份额具有平等的表决权。</w:t>
      </w:r>
    </w:p>
    <w:p>
      <w:pPr>
        <w:autoSpaceDE w:val="0"/>
        <w:autoSpaceDN w:val="0"/>
        <w:adjustRightInd w:val="0"/>
        <w:spacing w:line="360" w:lineRule="auto"/>
        <w:ind w:firstLine="480" w:firstLineChars="200"/>
        <w:jc w:val="left"/>
        <w:rPr>
          <w:bCs/>
          <w:color w:val="000000" w:themeColor="text1"/>
          <w:sz w:val="24"/>
          <w14:textFill>
            <w14:solidFill>
              <w14:schemeClr w14:val="tx1"/>
            </w14:solidFill>
          </w14:textFill>
        </w:rPr>
      </w:pPr>
      <w:r>
        <w:rPr>
          <w:rFonts w:hint="eastAsia"/>
          <w:bCs/>
          <w:color w:val="000000" w:themeColor="text1"/>
          <w:sz w:val="24"/>
          <w:szCs w:val="24"/>
          <w14:textFill>
            <w14:solidFill>
              <w14:schemeClr w14:val="tx1"/>
            </w14:solidFill>
          </w14:textFill>
        </w:rPr>
        <w:t>（十）</w:t>
      </w:r>
      <w:r>
        <w:rPr>
          <w:rFonts w:hint="eastAsia"/>
          <w:bCs/>
          <w:color w:val="000000" w:themeColor="text1"/>
          <w:sz w:val="24"/>
          <w14:textFill>
            <w14:solidFill>
              <w14:schemeClr w14:val="tx1"/>
            </w14:solidFill>
          </w14:textFill>
        </w:rPr>
        <w:t>本部分关于基金份额持有人大会召开事由、召开条件、议事程序、表决条件等规定，凡是直接引用法律法规的部分，如将来法律法规修改导致相关内容被取消或变更的，基金管理人经与基金托管人协商一致并提前公告后，可直接对本部分内容进行修改和调整，无需召开基金份额持有人大会审议。</w:t>
      </w:r>
    </w:p>
    <w:p>
      <w:pPr>
        <w:autoSpaceDE w:val="0"/>
        <w:autoSpaceDN w:val="0"/>
        <w:adjustRightInd w:val="0"/>
        <w:spacing w:line="360" w:lineRule="auto"/>
        <w:ind w:firstLine="480" w:firstLineChars="200"/>
        <w:jc w:val="left"/>
        <w:rPr>
          <w:bCs/>
          <w:color w:val="000000" w:themeColor="text1"/>
          <w:sz w:val="24"/>
          <w:szCs w:val="24"/>
          <w14:textFill>
            <w14:solidFill>
              <w14:schemeClr w14:val="tx1"/>
            </w14:solidFill>
          </w14:textFill>
        </w:rPr>
      </w:pPr>
      <w:r>
        <w:rPr>
          <w:rFonts w:hint="eastAsia"/>
          <w:bCs/>
          <w:color w:val="000000" w:themeColor="text1"/>
          <w:sz w:val="24"/>
          <w:szCs w:val="24"/>
          <w14:textFill>
            <w14:solidFill>
              <w14:schemeClr w14:val="tx1"/>
            </w14:solidFill>
          </w14:textFill>
        </w:rPr>
        <w:t>三、基金收益分配原则、执行方式</w:t>
      </w:r>
    </w:p>
    <w:p>
      <w:pPr>
        <w:spacing w:line="360" w:lineRule="auto"/>
        <w:ind w:firstLine="540" w:firstLineChars="225"/>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（一）基金利润的构成</w:t>
      </w:r>
    </w:p>
    <w:p>
      <w:pPr>
        <w:spacing w:line="360" w:lineRule="auto"/>
        <w:ind w:firstLine="540" w:firstLineChars="225"/>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基金利润指基金利息收入、投资收益、公允价值变动收益和其他收入扣除相关费用后的余额，基金已实现收益指基金利润减去公允价值变动收益后的余额。</w:t>
      </w:r>
    </w:p>
    <w:p>
      <w:pPr>
        <w:spacing w:line="360" w:lineRule="auto"/>
        <w:ind w:firstLine="540" w:firstLineChars="225"/>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（二）基金可供分配利润</w:t>
      </w:r>
    </w:p>
    <w:p>
      <w:pPr>
        <w:spacing w:line="360" w:lineRule="auto"/>
        <w:ind w:firstLine="540" w:firstLineChars="225"/>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基金可供分配利润指截至收益分配基准日基金未分配利润与未分配利润中已实现收益的孰低数。</w:t>
      </w:r>
    </w:p>
    <w:p>
      <w:pPr>
        <w:spacing w:line="360" w:lineRule="auto"/>
        <w:ind w:firstLine="540" w:firstLineChars="225"/>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（三）基金收益分配原则</w:t>
      </w:r>
    </w:p>
    <w:p>
      <w:pPr>
        <w:spacing w:line="360" w:lineRule="auto"/>
        <w:ind w:firstLine="540" w:firstLineChars="225"/>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w:t>
      </w:r>
      <w:r>
        <w:rPr>
          <w:rFonts w:hint="eastAsia"/>
          <w:bCs/>
          <w:color w:val="000000" w:themeColor="text1"/>
          <w:sz w:val="24"/>
          <w14:textFill>
            <w14:solidFill>
              <w14:schemeClr w14:val="tx1"/>
            </w14:solidFill>
          </w14:textFill>
        </w:rPr>
        <w:t>在符合有关基金分红条件的前提下，本基金每年收益分配次数最少为1次，每次分红不低于可供分配利润50%，若《基金合同》生效不满3个月可不进行收益分配；</w:t>
      </w:r>
    </w:p>
    <w:p>
      <w:pPr>
        <w:spacing w:line="360" w:lineRule="auto"/>
        <w:ind w:firstLine="540" w:firstLineChars="225"/>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w:t>
      </w:r>
      <w:r>
        <w:rPr>
          <w:bCs/>
          <w:color w:val="000000" w:themeColor="text1"/>
          <w:sz w:val="24"/>
          <w14:textFill>
            <w14:solidFill>
              <w14:schemeClr w14:val="tx1"/>
            </w14:solidFill>
          </w14:textFill>
        </w:rPr>
        <w:t>本基金收益分配方式分两种：现金分红与红利再投资，投资者可选择现金红利或将现金红利自动转为基金份额进行再投资；若投资者不选择，本基金默认的收益分配方式是现金分红；</w:t>
      </w:r>
    </w:p>
    <w:p>
      <w:pPr>
        <w:spacing w:line="360" w:lineRule="auto"/>
        <w:ind w:firstLine="540" w:firstLineChars="225"/>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3</w:t>
      </w:r>
      <w:r>
        <w:rPr>
          <w:bCs/>
          <w:color w:val="000000" w:themeColor="text1"/>
          <w:sz w:val="24"/>
          <w14:textFill>
            <w14:solidFill>
              <w14:schemeClr w14:val="tx1"/>
            </w14:solidFill>
          </w14:textFill>
        </w:rPr>
        <w:t>、基金收益分配后基金份额净值不能低于面值；即基金收益分配基准日的基金份额净值减去每单位基金份额收益分配金额后不能低于面值</w:t>
      </w:r>
      <w:r>
        <w:rPr>
          <w:rFonts w:hint="eastAsia"/>
          <w:bCs/>
          <w:color w:val="000000" w:themeColor="text1"/>
          <w:sz w:val="24"/>
          <w14:textFill>
            <w14:solidFill>
              <w14:schemeClr w14:val="tx1"/>
            </w14:solidFill>
          </w14:textFill>
        </w:rPr>
        <w:t>；</w:t>
      </w:r>
    </w:p>
    <w:p>
      <w:pPr>
        <w:spacing w:line="360" w:lineRule="auto"/>
        <w:ind w:firstLine="540" w:firstLineChars="225"/>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4</w:t>
      </w:r>
      <w:r>
        <w:rPr>
          <w:bCs/>
          <w:color w:val="000000" w:themeColor="text1"/>
          <w:sz w:val="24"/>
          <w14:textFill>
            <w14:solidFill>
              <w14:schemeClr w14:val="tx1"/>
            </w14:solidFill>
          </w14:textFill>
        </w:rPr>
        <w:t>、每一基金份额享有同等分配权；</w:t>
      </w:r>
    </w:p>
    <w:p>
      <w:pPr>
        <w:spacing w:line="360" w:lineRule="auto"/>
        <w:ind w:firstLine="540" w:firstLineChars="225"/>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5</w:t>
      </w:r>
      <w:r>
        <w:rPr>
          <w:bCs/>
          <w:color w:val="000000" w:themeColor="text1"/>
          <w:sz w:val="24"/>
          <w14:textFill>
            <w14:solidFill>
              <w14:schemeClr w14:val="tx1"/>
            </w14:solidFill>
          </w14:textFill>
        </w:rPr>
        <w:t>、法律法规或监管机关另有规定的，从其规定。</w:t>
      </w:r>
    </w:p>
    <w:p>
      <w:pPr>
        <w:spacing w:line="360" w:lineRule="auto"/>
        <w:ind w:firstLine="540" w:firstLineChars="225"/>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在符合法律法规及基金合同约定，并对基金份额持有人利益无实质不利影响的前提下，基金管理人可对基金收益分配原则和支付方式进行调整，不需召开基金份额持有人大会。</w:t>
      </w:r>
    </w:p>
    <w:p>
      <w:pPr>
        <w:spacing w:line="360" w:lineRule="auto"/>
        <w:ind w:firstLine="540" w:firstLineChars="225"/>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（四）收益分配方案</w:t>
      </w:r>
    </w:p>
    <w:p>
      <w:pPr>
        <w:spacing w:line="360" w:lineRule="auto"/>
        <w:ind w:firstLine="540" w:firstLineChars="225"/>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基金收益分配方案中应载明截止收益分配基准日的可供分配利润、基金收益分配对象、分配时间、分配数额及比例、分配方式等内容。</w:t>
      </w:r>
    </w:p>
    <w:p>
      <w:pPr>
        <w:spacing w:line="360" w:lineRule="auto"/>
        <w:ind w:firstLine="540" w:firstLineChars="225"/>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（五）收益分配方案的确定、公告与实施</w:t>
      </w:r>
    </w:p>
    <w:p>
      <w:pPr>
        <w:spacing w:line="360" w:lineRule="auto"/>
        <w:ind w:firstLine="540" w:firstLineChars="225"/>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本基金收益分配方案由基金管理人拟定，并由基金托管人复核，在</w:t>
      </w:r>
      <w:r>
        <w:rPr>
          <w:bCs/>
          <w:color w:val="000000" w:themeColor="text1"/>
          <w:sz w:val="24"/>
          <w14:textFill>
            <w14:solidFill>
              <w14:schemeClr w14:val="tx1"/>
            </w14:solidFill>
          </w14:textFill>
        </w:rPr>
        <w:t>2</w:t>
      </w:r>
      <w:r>
        <w:rPr>
          <w:rFonts w:hint="eastAsia"/>
          <w:bCs/>
          <w:color w:val="000000" w:themeColor="text1"/>
          <w:sz w:val="24"/>
          <w14:textFill>
            <w14:solidFill>
              <w14:schemeClr w14:val="tx1"/>
            </w14:solidFill>
          </w14:textFill>
        </w:rPr>
        <w:t>日内在规定媒介公告。</w:t>
      </w:r>
    </w:p>
    <w:p>
      <w:pPr>
        <w:spacing w:line="360" w:lineRule="auto"/>
        <w:ind w:firstLine="540" w:firstLineChars="225"/>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（六）基金收益分配中发生的费用</w:t>
      </w:r>
    </w:p>
    <w:p>
      <w:pPr>
        <w:spacing w:line="360" w:lineRule="auto"/>
        <w:ind w:firstLine="540" w:firstLineChars="225"/>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p>
      <w:pPr>
        <w:spacing w:line="360" w:lineRule="auto"/>
        <w:ind w:firstLine="540" w:firstLineChars="225"/>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（七）实施侧袋机制期间的收益分配</w:t>
      </w:r>
    </w:p>
    <w:p>
      <w:pPr>
        <w:autoSpaceDE w:val="0"/>
        <w:autoSpaceDN w:val="0"/>
        <w:adjustRightInd w:val="0"/>
        <w:spacing w:line="36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本基金实施侧袋机制的，侧袋账户不进行收益分配，详见招募说明书的规定。</w:t>
      </w:r>
    </w:p>
    <w:p>
      <w:pPr>
        <w:autoSpaceDE w:val="0"/>
        <w:autoSpaceDN w:val="0"/>
        <w:adjustRightInd w:val="0"/>
        <w:spacing w:line="360" w:lineRule="auto"/>
        <w:ind w:firstLine="480" w:firstLineChars="200"/>
        <w:jc w:val="left"/>
        <w:rPr>
          <w:bCs/>
          <w:color w:val="000000" w:themeColor="text1"/>
          <w:sz w:val="24"/>
          <w:szCs w:val="24"/>
          <w14:textFill>
            <w14:solidFill>
              <w14:schemeClr w14:val="tx1"/>
            </w14:solidFill>
          </w14:textFill>
        </w:rPr>
      </w:pPr>
      <w:r>
        <w:rPr>
          <w:rFonts w:hint="eastAsia"/>
          <w:bCs/>
          <w:color w:val="000000" w:themeColor="text1"/>
          <w:sz w:val="24"/>
          <w:szCs w:val="24"/>
          <w14:textFill>
            <w14:solidFill>
              <w14:schemeClr w14:val="tx1"/>
            </w14:solidFill>
          </w14:textFill>
        </w:rPr>
        <w:t>四、与基金财产管理、运用有关费用的提取、支付方式与比例</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（一）基金费用的种类</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w:t>
      </w:r>
      <w:r>
        <w:rPr>
          <w:rFonts w:hint="eastAsia"/>
          <w:bCs/>
          <w:color w:val="000000" w:themeColor="text1"/>
          <w:sz w:val="24"/>
          <w14:textFill>
            <w14:solidFill>
              <w14:schemeClr w14:val="tx1"/>
            </w14:solidFill>
          </w14:textFill>
        </w:rPr>
        <w:t>、基金管理人的管理费；</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2</w:t>
      </w:r>
      <w:r>
        <w:rPr>
          <w:rFonts w:hint="eastAsia"/>
          <w:bCs/>
          <w:color w:val="000000" w:themeColor="text1"/>
          <w:sz w:val="24"/>
          <w14:textFill>
            <w14:solidFill>
              <w14:schemeClr w14:val="tx1"/>
            </w14:solidFill>
          </w14:textFill>
        </w:rPr>
        <w:t>、基金托管人的托管费；</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3</w:t>
      </w:r>
      <w:r>
        <w:rPr>
          <w:rFonts w:hint="eastAsia"/>
          <w:bCs/>
          <w:color w:val="000000" w:themeColor="text1"/>
          <w:sz w:val="24"/>
          <w14:textFill>
            <w14:solidFill>
              <w14:schemeClr w14:val="tx1"/>
            </w14:solidFill>
          </w14:textFill>
        </w:rPr>
        <w:t>、《基金合同》生效后与基金相关的信息披露费用；</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4</w:t>
      </w:r>
      <w:r>
        <w:rPr>
          <w:rFonts w:hint="eastAsia"/>
          <w:bCs/>
          <w:color w:val="000000" w:themeColor="text1"/>
          <w:sz w:val="24"/>
          <w14:textFill>
            <w14:solidFill>
              <w14:schemeClr w14:val="tx1"/>
            </w14:solidFill>
          </w14:textFill>
        </w:rPr>
        <w:t>、《基金合同》生效后与基金相关的会计师费、律师费、诉讼费和仲裁费等费用；</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5</w:t>
      </w:r>
      <w:r>
        <w:rPr>
          <w:rFonts w:hint="eastAsia"/>
          <w:bCs/>
          <w:color w:val="000000" w:themeColor="text1"/>
          <w:sz w:val="24"/>
          <w14:textFill>
            <w14:solidFill>
              <w14:schemeClr w14:val="tx1"/>
            </w14:solidFill>
          </w14:textFill>
        </w:rPr>
        <w:t>、基金份额持有人大会费用；</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6</w:t>
      </w:r>
      <w:r>
        <w:rPr>
          <w:rFonts w:hint="eastAsia"/>
          <w:bCs/>
          <w:color w:val="000000" w:themeColor="text1"/>
          <w:sz w:val="24"/>
          <w14:textFill>
            <w14:solidFill>
              <w14:schemeClr w14:val="tx1"/>
            </w14:solidFill>
          </w14:textFill>
        </w:rPr>
        <w:t>、基金的证券交易费用；</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7</w:t>
      </w:r>
      <w:r>
        <w:rPr>
          <w:rFonts w:hint="eastAsia"/>
          <w:bCs/>
          <w:color w:val="000000" w:themeColor="text1"/>
          <w:sz w:val="24"/>
          <w14:textFill>
            <w14:solidFill>
              <w14:schemeClr w14:val="tx1"/>
            </w14:solidFill>
          </w14:textFill>
        </w:rPr>
        <w:t>、基金的银行汇划费用；</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8</w:t>
      </w:r>
      <w:r>
        <w:rPr>
          <w:rFonts w:hint="eastAsia"/>
          <w:bCs/>
          <w:color w:val="000000" w:themeColor="text1"/>
          <w:sz w:val="24"/>
          <w14:textFill>
            <w14:solidFill>
              <w14:schemeClr w14:val="tx1"/>
            </w14:solidFill>
          </w14:textFill>
        </w:rPr>
        <w:t>、基金的账户开户费用、账户维护费用；</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9</w:t>
      </w:r>
      <w:r>
        <w:rPr>
          <w:rFonts w:hint="eastAsia"/>
          <w:bCs/>
          <w:color w:val="000000" w:themeColor="text1"/>
          <w:sz w:val="24"/>
          <w14:textFill>
            <w14:solidFill>
              <w14:schemeClr w14:val="tx1"/>
            </w14:solidFill>
          </w14:textFill>
        </w:rPr>
        <w:t>、按照国家有关规定和《基金合同》约定，可以在基金财产中列支的其他费用。</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（二）基金费用计提方法、计提标准和支付方式</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w:t>
      </w:r>
      <w:r>
        <w:rPr>
          <w:rFonts w:hint="eastAsia"/>
          <w:bCs/>
          <w:color w:val="000000" w:themeColor="text1"/>
          <w:sz w:val="24"/>
          <w14:textFill>
            <w14:solidFill>
              <w14:schemeClr w14:val="tx1"/>
            </w14:solidFill>
          </w14:textFill>
        </w:rPr>
        <w:t>、基金管理人的管理费</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本基金的管理费按前一日基金资产净值的</w:t>
      </w:r>
      <w:r>
        <w:rPr>
          <w:bCs/>
          <w:color w:val="000000" w:themeColor="text1"/>
          <w:sz w:val="24"/>
          <w14:textFill>
            <w14:solidFill>
              <w14:schemeClr w14:val="tx1"/>
            </w14:solidFill>
          </w14:textFill>
        </w:rPr>
        <w:t>0.</w:t>
      </w:r>
      <w:r>
        <w:rPr>
          <w:rFonts w:hint="eastAsia"/>
          <w:bCs/>
          <w:color w:val="000000" w:themeColor="text1"/>
          <w:sz w:val="24"/>
          <w14:textFill>
            <w14:solidFill>
              <w14:schemeClr w14:val="tx1"/>
            </w14:solidFill>
          </w14:textFill>
        </w:rPr>
        <w:t>3</w:t>
      </w:r>
      <w:r>
        <w:rPr>
          <w:bCs/>
          <w:color w:val="000000" w:themeColor="text1"/>
          <w:sz w:val="24"/>
          <w14:textFill>
            <w14:solidFill>
              <w14:schemeClr w14:val="tx1"/>
            </w14:solidFill>
          </w14:textFill>
        </w:rPr>
        <w:t>0%</w:t>
      </w:r>
      <w:r>
        <w:rPr>
          <w:rFonts w:hint="eastAsia"/>
          <w:bCs/>
          <w:color w:val="000000" w:themeColor="text1"/>
          <w:sz w:val="24"/>
          <w14:textFill>
            <w14:solidFill>
              <w14:schemeClr w14:val="tx1"/>
            </w14:solidFill>
          </w14:textFill>
        </w:rPr>
        <w:t>年费率计提。管理费的计算方法如下：</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H</w:t>
      </w: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E×0.</w:t>
      </w:r>
      <w:r>
        <w:rPr>
          <w:rFonts w:hint="eastAsia"/>
          <w:bCs/>
          <w:color w:val="000000" w:themeColor="text1"/>
          <w:sz w:val="24"/>
          <w14:textFill>
            <w14:solidFill>
              <w14:schemeClr w14:val="tx1"/>
            </w14:solidFill>
          </w14:textFill>
        </w:rPr>
        <w:t>3</w:t>
      </w:r>
      <w:r>
        <w:rPr>
          <w:bCs/>
          <w:color w:val="000000" w:themeColor="text1"/>
          <w:sz w:val="24"/>
          <w14:textFill>
            <w14:solidFill>
              <w14:schemeClr w14:val="tx1"/>
            </w14:solidFill>
          </w14:textFill>
        </w:rPr>
        <w:t>0%÷</w:t>
      </w:r>
      <w:r>
        <w:rPr>
          <w:rFonts w:hint="eastAsia"/>
          <w:bCs/>
          <w:color w:val="000000" w:themeColor="text1"/>
          <w:sz w:val="24"/>
          <w14:textFill>
            <w14:solidFill>
              <w14:schemeClr w14:val="tx1"/>
            </w14:solidFill>
          </w14:textFill>
        </w:rPr>
        <w:t>当年天数</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H</w:t>
      </w:r>
      <w:r>
        <w:rPr>
          <w:rFonts w:hint="eastAsia"/>
          <w:bCs/>
          <w:color w:val="000000" w:themeColor="text1"/>
          <w:sz w:val="24"/>
          <w14:textFill>
            <w14:solidFill>
              <w14:schemeClr w14:val="tx1"/>
            </w14:solidFill>
          </w14:textFill>
        </w:rPr>
        <w:t>为每日应计提的基金管理费</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E</w:t>
      </w:r>
      <w:r>
        <w:rPr>
          <w:rFonts w:hint="eastAsia"/>
          <w:bCs/>
          <w:color w:val="000000" w:themeColor="text1"/>
          <w:sz w:val="24"/>
          <w14:textFill>
            <w14:solidFill>
              <w14:schemeClr w14:val="tx1"/>
            </w14:solidFill>
          </w14:textFill>
        </w:rPr>
        <w:t>为前一日的基金资产净值</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基金管理费每日计算，逐日累计至每月月末，按月支付，由基金管理人向基金托管人发送基金管理费划款指令，基金托管人复核后于次月前</w:t>
      </w:r>
      <w:r>
        <w:rPr>
          <w:bCs/>
          <w:color w:val="000000" w:themeColor="text1"/>
          <w:sz w:val="24"/>
          <w14:textFill>
            <w14:solidFill>
              <w14:schemeClr w14:val="tx1"/>
            </w14:solidFill>
          </w14:textFill>
        </w:rPr>
        <w:t>5</w:t>
      </w:r>
      <w:r>
        <w:rPr>
          <w:rFonts w:hint="eastAsia"/>
          <w:bCs/>
          <w:color w:val="000000" w:themeColor="text1"/>
          <w:sz w:val="24"/>
          <w14:textFill>
            <w14:solidFill>
              <w14:schemeClr w14:val="tx1"/>
            </w14:solidFill>
          </w14:textFill>
        </w:rPr>
        <w:t>个工作日内从基金财产中一次性支付给基金管理人。若遇法定节假日、公休日或不可抗力致使无法按时支付的，顺延至最近可支付日支付。</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2</w:t>
      </w:r>
      <w:r>
        <w:rPr>
          <w:rFonts w:hint="eastAsia"/>
          <w:bCs/>
          <w:color w:val="000000" w:themeColor="text1"/>
          <w:sz w:val="24"/>
          <w14:textFill>
            <w14:solidFill>
              <w14:schemeClr w14:val="tx1"/>
            </w14:solidFill>
          </w14:textFill>
        </w:rPr>
        <w:t>、基金托管人的托管费</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本基金的托管费按前一日基金资产净值的</w:t>
      </w:r>
      <w:r>
        <w:rPr>
          <w:bCs/>
          <w:color w:val="000000" w:themeColor="text1"/>
          <w:sz w:val="24"/>
          <w14:textFill>
            <w14:solidFill>
              <w14:schemeClr w14:val="tx1"/>
            </w14:solidFill>
          </w14:textFill>
        </w:rPr>
        <w:t>0.</w:t>
      </w:r>
      <w:r>
        <w:rPr>
          <w:rFonts w:hint="eastAsia"/>
          <w:bCs/>
          <w:color w:val="000000" w:themeColor="text1"/>
          <w:sz w:val="24"/>
          <w14:textFill>
            <w14:solidFill>
              <w14:schemeClr w14:val="tx1"/>
            </w14:solidFill>
          </w14:textFill>
        </w:rPr>
        <w:t>05</w:t>
      </w:r>
      <w:r>
        <w:rPr>
          <w:bCs/>
          <w:color w:val="000000" w:themeColor="text1"/>
          <w:sz w:val="24"/>
          <w14:textFill>
            <w14:solidFill>
              <w14:schemeClr w14:val="tx1"/>
            </w14:solidFill>
          </w14:textFill>
        </w:rPr>
        <w:t>%</w:t>
      </w:r>
      <w:r>
        <w:rPr>
          <w:rFonts w:hint="eastAsia"/>
          <w:bCs/>
          <w:color w:val="000000" w:themeColor="text1"/>
          <w:sz w:val="24"/>
          <w14:textFill>
            <w14:solidFill>
              <w14:schemeClr w14:val="tx1"/>
            </w14:solidFill>
          </w14:textFill>
        </w:rPr>
        <w:t>的年费率计提。托管费的计算方法如下：</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H</w:t>
      </w: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E×0.</w:t>
      </w:r>
      <w:r>
        <w:rPr>
          <w:rFonts w:hint="eastAsia"/>
          <w:bCs/>
          <w:color w:val="000000" w:themeColor="text1"/>
          <w:sz w:val="24"/>
          <w14:textFill>
            <w14:solidFill>
              <w14:schemeClr w14:val="tx1"/>
            </w14:solidFill>
          </w14:textFill>
        </w:rPr>
        <w:t>05</w:t>
      </w:r>
      <w:r>
        <w:rPr>
          <w:bCs/>
          <w:color w:val="000000" w:themeColor="text1"/>
          <w:sz w:val="24"/>
          <w14:textFill>
            <w14:solidFill>
              <w14:schemeClr w14:val="tx1"/>
            </w14:solidFill>
          </w14:textFill>
        </w:rPr>
        <w:t>%÷</w:t>
      </w:r>
      <w:r>
        <w:rPr>
          <w:rFonts w:hint="eastAsia"/>
          <w:bCs/>
          <w:color w:val="000000" w:themeColor="text1"/>
          <w:sz w:val="24"/>
          <w14:textFill>
            <w14:solidFill>
              <w14:schemeClr w14:val="tx1"/>
            </w14:solidFill>
          </w14:textFill>
        </w:rPr>
        <w:t>当年天数</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H</w:t>
      </w:r>
      <w:r>
        <w:rPr>
          <w:rFonts w:hint="eastAsia"/>
          <w:bCs/>
          <w:color w:val="000000" w:themeColor="text1"/>
          <w:sz w:val="24"/>
          <w14:textFill>
            <w14:solidFill>
              <w14:schemeClr w14:val="tx1"/>
            </w14:solidFill>
          </w14:textFill>
        </w:rPr>
        <w:t>为每日应计提的基金托管费</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E</w:t>
      </w:r>
      <w:r>
        <w:rPr>
          <w:rFonts w:hint="eastAsia"/>
          <w:bCs/>
          <w:color w:val="000000" w:themeColor="text1"/>
          <w:sz w:val="24"/>
          <w14:textFill>
            <w14:solidFill>
              <w14:schemeClr w14:val="tx1"/>
            </w14:solidFill>
          </w14:textFill>
        </w:rPr>
        <w:t>为前一日的基金资产净值</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基金托管费每日计算，逐日累计至每月月末，按月支付，由基金管理人向基金托管人发送基金托管费划款指令，基金托管人复核后于次月前</w:t>
      </w:r>
      <w:r>
        <w:rPr>
          <w:bCs/>
          <w:color w:val="000000" w:themeColor="text1"/>
          <w:sz w:val="24"/>
          <w14:textFill>
            <w14:solidFill>
              <w14:schemeClr w14:val="tx1"/>
            </w14:solidFill>
          </w14:textFill>
        </w:rPr>
        <w:t>5</w:t>
      </w:r>
      <w:r>
        <w:rPr>
          <w:rFonts w:hint="eastAsia"/>
          <w:bCs/>
          <w:color w:val="000000" w:themeColor="text1"/>
          <w:sz w:val="24"/>
          <w14:textFill>
            <w14:solidFill>
              <w14:schemeClr w14:val="tx1"/>
            </w14:solidFill>
          </w14:textFill>
        </w:rPr>
        <w:t>个工作日内从基金财产中一次性支取。若遇法定节假日、公休日或不可抗力致使无法按时支付的，顺延至最近可支付日支付。</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上述</w:t>
      </w:r>
      <w:r>
        <w:rPr>
          <w:bCs/>
          <w:color w:val="000000" w:themeColor="text1"/>
          <w:sz w:val="24"/>
          <w14:textFill>
            <w14:solidFill>
              <w14:schemeClr w14:val="tx1"/>
            </w14:solidFill>
          </w14:textFill>
        </w:rPr>
        <w:t>“</w:t>
      </w:r>
      <w:r>
        <w:rPr>
          <w:rFonts w:hint="eastAsia"/>
          <w:bCs/>
          <w:color w:val="000000" w:themeColor="text1"/>
          <w:sz w:val="24"/>
          <w14:textFill>
            <w14:solidFill>
              <w14:schemeClr w14:val="tx1"/>
            </w14:solidFill>
          </w14:textFill>
        </w:rPr>
        <w:t>（一）基金费用的种类”中第</w:t>
      </w:r>
      <w:r>
        <w:rPr>
          <w:bCs/>
          <w:color w:val="000000" w:themeColor="text1"/>
          <w:sz w:val="24"/>
          <w14:textFill>
            <w14:solidFill>
              <w14:schemeClr w14:val="tx1"/>
            </w14:solidFill>
          </w14:textFill>
        </w:rPr>
        <w:t>3</w:t>
      </w: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9</w:t>
      </w:r>
      <w:r>
        <w:rPr>
          <w:rFonts w:hint="eastAsia"/>
          <w:bCs/>
          <w:color w:val="000000" w:themeColor="text1"/>
          <w:sz w:val="24"/>
          <w14:textFill>
            <w14:solidFill>
              <w14:schemeClr w14:val="tx1"/>
            </w14:solidFill>
          </w14:textFill>
        </w:rPr>
        <w:t>项费用，根据有关法规及相应协议规定，按费用实际支出金额列入或摊入当期费用，由基金托管人从基金财产中支付。</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（三）不列入基金费用的项目</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下列费用不列入基金费用：</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w:t>
      </w:r>
      <w:r>
        <w:rPr>
          <w:rFonts w:hint="eastAsia"/>
          <w:bCs/>
          <w:color w:val="000000" w:themeColor="text1"/>
          <w:sz w:val="24"/>
          <w14:textFill>
            <w14:solidFill>
              <w14:schemeClr w14:val="tx1"/>
            </w14:solidFill>
          </w14:textFill>
        </w:rPr>
        <w:t>、基金管理人和基金托管人因未履行或未完全履行义务导致的费用支出或基金财产的损失；</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2</w:t>
      </w:r>
      <w:r>
        <w:rPr>
          <w:rFonts w:hint="eastAsia"/>
          <w:bCs/>
          <w:color w:val="000000" w:themeColor="text1"/>
          <w:sz w:val="24"/>
          <w14:textFill>
            <w14:solidFill>
              <w14:schemeClr w14:val="tx1"/>
            </w14:solidFill>
          </w14:textFill>
        </w:rPr>
        <w:t>、基金管理人和基金托管人处理与基金运作无关的事项发生的费用；</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3</w:t>
      </w:r>
      <w:r>
        <w:rPr>
          <w:rFonts w:hint="eastAsia"/>
          <w:bCs/>
          <w:color w:val="000000" w:themeColor="text1"/>
          <w:sz w:val="24"/>
          <w14:textFill>
            <w14:solidFill>
              <w14:schemeClr w14:val="tx1"/>
            </w14:solidFill>
          </w14:textFill>
        </w:rPr>
        <w:t>、《基金合同》生效前的相关费用；</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4</w:t>
      </w:r>
      <w:r>
        <w:rPr>
          <w:rFonts w:hint="eastAsia"/>
          <w:bCs/>
          <w:color w:val="000000" w:themeColor="text1"/>
          <w:sz w:val="24"/>
          <w14:textFill>
            <w14:solidFill>
              <w14:schemeClr w14:val="tx1"/>
            </w14:solidFill>
          </w14:textFill>
        </w:rPr>
        <w:t>、其他根据相关法律法规及中国证监会的有关规定不得列入基金费用的项目。</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（四）实施侧袋机制期间的基金费用</w:t>
      </w:r>
    </w:p>
    <w:p>
      <w:pPr>
        <w:spacing w:line="360" w:lineRule="auto"/>
        <w:ind w:firstLine="480" w:firstLineChars="200"/>
        <w:rPr>
          <w:b/>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本基金实施侧袋机制的，与侧袋账户有关的费用可以从侧袋账户中列支，但应待侧袋账户资产变现后方可列支，有关费用可酌情收取或减免，但不得收取管理费，详见招募说明书的规定。</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（五）基金税收</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本基金运作过程中涉及的各纳税主体，其纳税义务按国家税收法律、法规执行。基金财产投资的相关税收，由基金份额持有人承担，基金管理人或者其他扣缴义务人按照国家有关税收征收的规定代扣代缴。</w:t>
      </w:r>
    </w:p>
    <w:p>
      <w:pPr>
        <w:autoSpaceDE w:val="0"/>
        <w:autoSpaceDN w:val="0"/>
        <w:adjustRightInd w:val="0"/>
        <w:spacing w:line="360" w:lineRule="auto"/>
        <w:ind w:firstLine="480" w:firstLineChars="200"/>
        <w:jc w:val="left"/>
        <w:rPr>
          <w:bCs/>
          <w:color w:val="000000" w:themeColor="text1"/>
          <w:sz w:val="24"/>
          <w:szCs w:val="24"/>
          <w14:textFill>
            <w14:solidFill>
              <w14:schemeClr w14:val="tx1"/>
            </w14:solidFill>
          </w14:textFill>
        </w:rPr>
      </w:pPr>
      <w:r>
        <w:rPr>
          <w:rFonts w:hint="eastAsia"/>
          <w:bCs/>
          <w:color w:val="000000" w:themeColor="text1"/>
          <w:sz w:val="24"/>
          <w:szCs w:val="24"/>
          <w14:textFill>
            <w14:solidFill>
              <w14:schemeClr w14:val="tx1"/>
            </w14:solidFill>
          </w14:textFill>
        </w:rPr>
        <w:t>五、基金财产的投资方向和投资限制</w:t>
      </w:r>
    </w:p>
    <w:p>
      <w:pPr>
        <w:autoSpaceDE w:val="0"/>
        <w:autoSpaceDN w:val="0"/>
        <w:adjustRightInd w:val="0"/>
        <w:spacing w:line="360" w:lineRule="auto"/>
        <w:ind w:firstLine="480" w:firstLineChars="200"/>
        <w:jc w:val="left"/>
        <w:rPr>
          <w:bCs/>
          <w:color w:val="000000" w:themeColor="text1"/>
          <w:sz w:val="24"/>
          <w:szCs w:val="24"/>
          <w14:textFill>
            <w14:solidFill>
              <w14:schemeClr w14:val="tx1"/>
            </w14:solidFill>
          </w14:textFill>
        </w:rPr>
      </w:pPr>
      <w:r>
        <w:rPr>
          <w:rFonts w:hint="eastAsia"/>
          <w:bCs/>
          <w:color w:val="000000" w:themeColor="text1"/>
          <w:sz w:val="24"/>
          <w:szCs w:val="24"/>
          <w14:textFill>
            <w14:solidFill>
              <w14:schemeClr w14:val="tx1"/>
            </w14:solidFill>
          </w14:textFill>
        </w:rPr>
        <w:t>（一）投资范围</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本基金的投资范围主要为具有良好流动性的金融工具，包括公开发行的债券（包括国债、地方政府债、金融债、央行票据、公司债、企业债、中期票据、短期融资券、超短期融资券、政府支持机构债、政府支持债券、次级债、</w:t>
      </w:r>
      <w:r>
        <w:rPr>
          <w:bCs/>
          <w:color w:val="000000" w:themeColor="text1"/>
          <w:sz w:val="24"/>
          <w14:textFill>
            <w14:solidFill>
              <w14:schemeClr w14:val="tx1"/>
            </w14:solidFill>
          </w14:textFill>
        </w:rPr>
        <w:t>可分离交易可转债的纯债部分</w:t>
      </w:r>
      <w:r>
        <w:rPr>
          <w:rFonts w:hint="eastAsia"/>
          <w:bCs/>
          <w:color w:val="000000" w:themeColor="text1"/>
          <w:sz w:val="24"/>
          <w14:textFill>
            <w14:solidFill>
              <w14:schemeClr w14:val="tx1"/>
            </w14:solidFill>
          </w14:textFill>
        </w:rPr>
        <w:t>）、债券回购、银行存款（包括协议存款、通知存款、定期存款及其他银行存款）、同业存单、货币市场工具以及法律法规或中国证监会允许基金投资的其他金融工具，但须符合中国证监会相关规定。</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本基金不投资于股票资产，也不投资于可转换债券（可分离交易可转债的纯债部分除外）、可交换债券。</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如法律法规或监管机构以后允许基金投资其他品种，基金管理人在履行适当程序后，可以将其纳入投资范围，其投资比例遵循届时有效的法律法规和相关规定。</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基金的投资组合比例为：本基金对债券的投资比例不低于基金资产的80%，其中投资于本基金界定的央企债的比例不低于非现金基金资产的80%；但应开放期流动性需要，为保护基金份额持有人利益，在每次开放期前</w:t>
      </w:r>
      <w:r>
        <w:rPr>
          <w:rFonts w:hint="eastAsia"/>
          <w:bCs/>
          <w:color w:val="000000" w:themeColor="text1"/>
          <w:sz w:val="24"/>
          <w14:textFill>
            <w14:solidFill>
              <w14:schemeClr w14:val="tx1"/>
            </w14:solidFill>
          </w14:textFill>
        </w:rPr>
        <w:t>15个工作日</w:t>
      </w:r>
      <w:r>
        <w:rPr>
          <w:bCs/>
          <w:color w:val="000000" w:themeColor="text1"/>
          <w:sz w:val="24"/>
          <w14:textFill>
            <w14:solidFill>
              <w14:schemeClr w14:val="tx1"/>
            </w14:solidFill>
          </w14:textFill>
        </w:rPr>
        <w:t>、开放期及开放期结束后</w:t>
      </w:r>
      <w:r>
        <w:rPr>
          <w:rFonts w:hint="eastAsia"/>
          <w:bCs/>
          <w:color w:val="000000" w:themeColor="text1"/>
          <w:sz w:val="24"/>
          <w14:textFill>
            <w14:solidFill>
              <w14:schemeClr w14:val="tx1"/>
            </w14:solidFill>
          </w14:textFill>
        </w:rPr>
        <w:t>15个工作日</w:t>
      </w:r>
      <w:r>
        <w:rPr>
          <w:bCs/>
          <w:color w:val="000000" w:themeColor="text1"/>
          <w:sz w:val="24"/>
          <w14:textFill>
            <w14:solidFill>
              <w14:schemeClr w14:val="tx1"/>
            </w14:solidFill>
          </w14:textFill>
        </w:rPr>
        <w:t>的期间内，基金投资不受上述比例限制。开放期内，本基金持有的现金或者到期日在一年以内的政府债券不低于基金资产净值的5％，其中现金不包括结算备付金、存出保证金、应收申购款等；在封闭期内，本基金不受上述5%的限制。</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如法律法规或中国证监会变更投资品种的投资比例限制，基金管理人、基金托管人书面协商一致并履行适当程序后，可以调整上述投资品种的投资比例。</w:t>
      </w:r>
    </w:p>
    <w:p>
      <w:pPr>
        <w:autoSpaceDE w:val="0"/>
        <w:autoSpaceDN w:val="0"/>
        <w:adjustRightInd w:val="0"/>
        <w:spacing w:line="360" w:lineRule="auto"/>
        <w:ind w:firstLine="480" w:firstLineChars="200"/>
        <w:jc w:val="left"/>
        <w:rPr>
          <w:bCs/>
          <w:color w:val="000000" w:themeColor="text1"/>
          <w:sz w:val="24"/>
          <w:szCs w:val="24"/>
          <w14:textFill>
            <w14:solidFill>
              <w14:schemeClr w14:val="tx1"/>
            </w14:solidFill>
          </w14:textFill>
        </w:rPr>
      </w:pPr>
      <w:r>
        <w:rPr>
          <w:rFonts w:hint="eastAsia"/>
          <w:bCs/>
          <w:color w:val="000000" w:themeColor="text1"/>
          <w:sz w:val="24"/>
          <w:szCs w:val="24"/>
          <w14:textFill>
            <w14:solidFill>
              <w14:schemeClr w14:val="tx1"/>
            </w14:solidFill>
          </w14:textFill>
        </w:rPr>
        <w:t>（二）投资限制</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w:t>
      </w:r>
      <w:r>
        <w:rPr>
          <w:rFonts w:hint="eastAsia"/>
          <w:bCs/>
          <w:color w:val="000000" w:themeColor="text1"/>
          <w:sz w:val="24"/>
          <w14:textFill>
            <w14:solidFill>
              <w14:schemeClr w14:val="tx1"/>
            </w14:solidFill>
          </w14:textFill>
        </w:rPr>
        <w:t>、组合限制</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基金的投资组合应遵循以下限制：</w:t>
      </w:r>
    </w:p>
    <w:p>
      <w:pPr>
        <w:spacing w:line="360" w:lineRule="auto"/>
        <w:ind w:firstLine="480" w:firstLineChars="200"/>
        <w:rPr>
          <w:rFonts w:ascii="宋体" w:hAnsi="宋体"/>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1</w:t>
      </w:r>
      <w:r>
        <w:rPr>
          <w:rFonts w:hint="eastAsia"/>
          <w:bCs/>
          <w:color w:val="000000" w:themeColor="text1"/>
          <w:sz w:val="24"/>
          <w14:textFill>
            <w14:solidFill>
              <w14:schemeClr w14:val="tx1"/>
            </w14:solidFill>
          </w14:textFill>
        </w:rPr>
        <w:t>）</w:t>
      </w:r>
      <w:r>
        <w:rPr>
          <w:rFonts w:ascii="宋体" w:hAnsi="宋体"/>
          <w:bCs/>
          <w:color w:val="000000" w:themeColor="text1"/>
          <w:sz w:val="24"/>
          <w14:textFill>
            <w14:solidFill>
              <w14:schemeClr w14:val="tx1"/>
            </w14:solidFill>
          </w14:textFill>
        </w:rPr>
        <w:t>本基金对债券的投资比例不低于基金资产的80%，其中投资于本基金界定的央企债的比例不低于非现金基金资产的80%；但应开放期流动性需要，为保护基金份额持有人利益，在每次开放期前</w:t>
      </w:r>
      <w:r>
        <w:rPr>
          <w:rFonts w:hint="eastAsia" w:ascii="宋体" w:hAnsi="宋体"/>
          <w:bCs/>
          <w:color w:val="000000" w:themeColor="text1"/>
          <w:sz w:val="24"/>
          <w:lang w:val="en-US" w:eastAsia="zh-CN"/>
          <w14:textFill>
            <w14:solidFill>
              <w14:schemeClr w14:val="tx1"/>
            </w14:solidFill>
          </w14:textFill>
        </w:rPr>
        <w:t>15个工作日</w:t>
      </w:r>
      <w:r>
        <w:rPr>
          <w:rFonts w:ascii="宋体" w:hAnsi="宋体"/>
          <w:bCs/>
          <w:color w:val="000000" w:themeColor="text1"/>
          <w:sz w:val="24"/>
          <w14:textFill>
            <w14:solidFill>
              <w14:schemeClr w14:val="tx1"/>
            </w14:solidFill>
          </w14:textFill>
        </w:rPr>
        <w:t>、开放期及开放期结束后</w:t>
      </w:r>
      <w:r>
        <w:rPr>
          <w:rFonts w:hint="eastAsia" w:ascii="宋体" w:hAnsi="宋体"/>
          <w:bCs/>
          <w:color w:val="000000" w:themeColor="text1"/>
          <w:sz w:val="24"/>
          <w:lang w:val="en-US" w:eastAsia="zh-CN"/>
          <w14:textFill>
            <w14:solidFill>
              <w14:schemeClr w14:val="tx1"/>
            </w14:solidFill>
          </w14:textFill>
        </w:rPr>
        <w:t>15个工作日</w:t>
      </w:r>
      <w:r>
        <w:rPr>
          <w:rFonts w:ascii="宋体" w:hAnsi="宋体"/>
          <w:bCs/>
          <w:color w:val="000000" w:themeColor="text1"/>
          <w:sz w:val="24"/>
          <w14:textFill>
            <w14:solidFill>
              <w14:schemeClr w14:val="tx1"/>
            </w14:solidFill>
          </w14:textFill>
        </w:rPr>
        <w:t>的期间内，基金投资不受上述比例限制；</w:t>
      </w:r>
    </w:p>
    <w:p>
      <w:pPr>
        <w:spacing w:line="360" w:lineRule="auto"/>
        <w:ind w:firstLine="480" w:firstLineChars="200"/>
        <w:rPr>
          <w:rFonts w:ascii="宋体" w:hAnsi="宋体"/>
          <w:bCs/>
          <w:color w:val="000000" w:themeColor="text1"/>
          <w:sz w:val="24"/>
          <w14:textFill>
            <w14:solidFill>
              <w14:schemeClr w14:val="tx1"/>
            </w14:solidFill>
          </w14:textFill>
        </w:rPr>
      </w:pPr>
      <w:r>
        <w:rPr>
          <w:rFonts w:ascii="宋体" w:hAnsi="宋体"/>
          <w:bCs/>
          <w:color w:val="000000" w:themeColor="text1"/>
          <w:sz w:val="24"/>
          <w14:textFill>
            <w14:solidFill>
              <w14:schemeClr w14:val="tx1"/>
            </w14:solidFill>
          </w14:textFill>
        </w:rPr>
        <w:t>（</w:t>
      </w:r>
      <w:r>
        <w:rPr>
          <w:rFonts w:hint="eastAsia" w:ascii="宋体" w:hAnsi="宋体"/>
          <w:bCs/>
          <w:color w:val="000000" w:themeColor="text1"/>
          <w:sz w:val="24"/>
          <w14:textFill>
            <w14:solidFill>
              <w14:schemeClr w14:val="tx1"/>
            </w14:solidFill>
          </w14:textFill>
        </w:rPr>
        <w:t>2</w:t>
      </w:r>
      <w:r>
        <w:rPr>
          <w:rFonts w:ascii="宋体" w:hAnsi="宋体"/>
          <w:bCs/>
          <w:color w:val="000000" w:themeColor="text1"/>
          <w:sz w:val="24"/>
          <w14:textFill>
            <w14:solidFill>
              <w14:schemeClr w14:val="tx1"/>
            </w14:solidFill>
          </w14:textFill>
        </w:rPr>
        <w:t>）</w:t>
      </w:r>
      <w:r>
        <w:rPr>
          <w:rFonts w:hint="eastAsia" w:ascii="宋体" w:hAnsi="宋体"/>
          <w:bCs/>
          <w:color w:val="000000" w:themeColor="text1"/>
          <w:sz w:val="24"/>
          <w14:textFill>
            <w14:solidFill>
              <w14:schemeClr w14:val="tx1"/>
            </w14:solidFill>
          </w14:textFill>
        </w:rPr>
        <w:t>开放期内，本基金持有的现金或者到期日在一年以内的政府债券不低于基金资产净值的5％，其中现金不包括结算备付金、存出保证金、应收申购款等；在封闭期内，本基金不受上述5%的限制</w:t>
      </w:r>
      <w:r>
        <w:rPr>
          <w:rFonts w:ascii="宋体" w:hAnsi="宋体"/>
          <w:bCs/>
          <w:color w:val="000000" w:themeColor="text1"/>
          <w:sz w:val="24"/>
          <w14:textFill>
            <w14:solidFill>
              <w14:schemeClr w14:val="tx1"/>
            </w14:solidFill>
          </w14:textFill>
        </w:rPr>
        <w:t>；</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3</w:t>
      </w:r>
      <w:r>
        <w:rPr>
          <w:rFonts w:hint="eastAsia"/>
          <w:bCs/>
          <w:color w:val="000000" w:themeColor="text1"/>
          <w:sz w:val="24"/>
          <w14:textFill>
            <w14:solidFill>
              <w14:schemeClr w14:val="tx1"/>
            </w14:solidFill>
          </w14:textFill>
        </w:rPr>
        <w:t>）本基金持有一家公司发行的证券，其市值不超过基金资产净值的</w:t>
      </w:r>
      <w:r>
        <w:rPr>
          <w:bCs/>
          <w:color w:val="000000" w:themeColor="text1"/>
          <w:sz w:val="24"/>
          <w14:textFill>
            <w14:solidFill>
              <w14:schemeClr w14:val="tx1"/>
            </w14:solidFill>
          </w14:textFill>
        </w:rPr>
        <w:t>10</w:t>
      </w:r>
      <w:r>
        <w:rPr>
          <w:rFonts w:hint="eastAsia"/>
          <w:bCs/>
          <w:color w:val="000000" w:themeColor="text1"/>
          <w:sz w:val="24"/>
          <w14:textFill>
            <w14:solidFill>
              <w14:schemeClr w14:val="tx1"/>
            </w14:solidFill>
          </w14:textFill>
        </w:rPr>
        <w:t>%；</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4</w:t>
      </w:r>
      <w:r>
        <w:rPr>
          <w:rFonts w:hint="eastAsia"/>
          <w:bCs/>
          <w:color w:val="000000" w:themeColor="text1"/>
          <w:sz w:val="24"/>
          <w14:textFill>
            <w14:solidFill>
              <w14:schemeClr w14:val="tx1"/>
            </w14:solidFill>
          </w14:textFill>
        </w:rPr>
        <w:t>）本基金管理人管理的全部基金持有一家公司发行的证券，不超过该证券的</w:t>
      </w:r>
      <w:r>
        <w:rPr>
          <w:bCs/>
          <w:color w:val="000000" w:themeColor="text1"/>
          <w:sz w:val="24"/>
          <w14:textFill>
            <w14:solidFill>
              <w14:schemeClr w14:val="tx1"/>
            </w14:solidFill>
          </w14:textFill>
        </w:rPr>
        <w:t>10</w:t>
      </w:r>
      <w:r>
        <w:rPr>
          <w:rFonts w:hint="eastAsia"/>
          <w:bCs/>
          <w:color w:val="000000" w:themeColor="text1"/>
          <w:sz w:val="24"/>
          <w14:textFill>
            <w14:solidFill>
              <w14:schemeClr w14:val="tx1"/>
            </w14:solidFill>
          </w14:textFill>
        </w:rPr>
        <w:t>%；</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5</w:t>
      </w:r>
      <w:r>
        <w:rPr>
          <w:rFonts w:hint="eastAsia"/>
          <w:bCs/>
          <w:color w:val="000000" w:themeColor="text1"/>
          <w:sz w:val="24"/>
          <w14:textFill>
            <w14:solidFill>
              <w14:schemeClr w14:val="tx1"/>
            </w14:solidFill>
          </w14:textFill>
        </w:rPr>
        <w:t>）本基金进入全国银行间同业市场进行债券回购的最长期限为</w:t>
      </w:r>
      <w:r>
        <w:rPr>
          <w:bCs/>
          <w:color w:val="000000" w:themeColor="text1"/>
          <w:sz w:val="24"/>
          <w14:textFill>
            <w14:solidFill>
              <w14:schemeClr w14:val="tx1"/>
            </w14:solidFill>
          </w14:textFill>
        </w:rPr>
        <w:t>1</w:t>
      </w:r>
      <w:r>
        <w:rPr>
          <w:rFonts w:hint="eastAsia"/>
          <w:bCs/>
          <w:color w:val="000000" w:themeColor="text1"/>
          <w:sz w:val="24"/>
          <w14:textFill>
            <w14:solidFill>
              <w14:schemeClr w14:val="tx1"/>
            </w14:solidFill>
          </w14:textFill>
        </w:rPr>
        <w:t>年，债券回购到期后不得展期；</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6</w:t>
      </w:r>
      <w:r>
        <w:rPr>
          <w:rFonts w:hint="eastAsia"/>
          <w:bCs/>
          <w:color w:val="000000" w:themeColor="text1"/>
          <w:sz w:val="24"/>
          <w14:textFill>
            <w14:solidFill>
              <w14:schemeClr w14:val="tx1"/>
            </w14:solidFill>
          </w14:textFill>
        </w:rPr>
        <w:t>）封闭期内，本基金资产总值不得超过基金资产净值的</w:t>
      </w:r>
      <w:r>
        <w:rPr>
          <w:bCs/>
          <w:color w:val="000000" w:themeColor="text1"/>
          <w:sz w:val="24"/>
          <w14:textFill>
            <w14:solidFill>
              <w14:schemeClr w14:val="tx1"/>
            </w14:solidFill>
          </w14:textFill>
        </w:rPr>
        <w:t>200%</w:t>
      </w:r>
      <w:r>
        <w:rPr>
          <w:rFonts w:hint="eastAsia"/>
          <w:bCs/>
          <w:color w:val="000000" w:themeColor="text1"/>
          <w:sz w:val="24"/>
          <w14:textFill>
            <w14:solidFill>
              <w14:schemeClr w14:val="tx1"/>
            </w14:solidFill>
          </w14:textFill>
        </w:rPr>
        <w:t>；开放期内，本基金资产总值不超过基金资产净值的</w:t>
      </w:r>
      <w:r>
        <w:rPr>
          <w:bCs/>
          <w:color w:val="000000" w:themeColor="text1"/>
          <w:sz w:val="24"/>
          <w14:textFill>
            <w14:solidFill>
              <w14:schemeClr w14:val="tx1"/>
            </w14:solidFill>
          </w14:textFill>
        </w:rPr>
        <w:t>140%</w:t>
      </w:r>
      <w:r>
        <w:rPr>
          <w:rFonts w:hint="eastAsia"/>
          <w:bCs/>
          <w:color w:val="000000" w:themeColor="text1"/>
          <w:sz w:val="24"/>
          <w14:textFill>
            <w14:solidFill>
              <w14:schemeClr w14:val="tx1"/>
            </w14:solidFill>
          </w14:textFill>
        </w:rPr>
        <w:t>；</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7</w:t>
      </w:r>
      <w:r>
        <w:rPr>
          <w:rFonts w:hint="eastAsia"/>
          <w:bCs/>
          <w:color w:val="000000" w:themeColor="text1"/>
          <w:sz w:val="24"/>
          <w14:textFill>
            <w14:solidFill>
              <w14:schemeClr w14:val="tx1"/>
            </w14:solidFill>
          </w14:textFill>
        </w:rPr>
        <w:t>）开放期内，本基金主动投资于流动性受限资产的市值合计不得超过该基金资产净值的</w:t>
      </w:r>
      <w:r>
        <w:rPr>
          <w:bCs/>
          <w:color w:val="000000" w:themeColor="text1"/>
          <w:sz w:val="24"/>
          <w14:textFill>
            <w14:solidFill>
              <w14:schemeClr w14:val="tx1"/>
            </w14:solidFill>
          </w14:textFill>
        </w:rPr>
        <w:t>15%</w:t>
      </w:r>
      <w:r>
        <w:rPr>
          <w:rFonts w:hint="eastAsia"/>
          <w:bCs/>
          <w:color w:val="000000" w:themeColor="text1"/>
          <w:sz w:val="24"/>
          <w14:textFill>
            <w14:solidFill>
              <w14:schemeClr w14:val="tx1"/>
            </w14:solidFill>
          </w14:textFill>
        </w:rPr>
        <w:t>；因证券市场波动、基金规模变动等基金管理人之外的因素致使基金不符合该比例限制的，基金管理人不得主动新增流动性受限资产的投资；</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8</w:t>
      </w:r>
      <w:r>
        <w:rPr>
          <w:rFonts w:hint="eastAsia"/>
          <w:bCs/>
          <w:color w:val="000000" w:themeColor="text1"/>
          <w:sz w:val="24"/>
          <w14:textFill>
            <w14:solidFill>
              <w14:schemeClr w14:val="tx1"/>
            </w14:solidFill>
          </w14:textFill>
        </w:rPr>
        <w:t>）本基金与私募类证券资管产品及中国证监会认定的其他主体为交易对手开展逆回购交易的，可接受质押品的资质要求应当与本基金合同约定的投资范围保持一致；</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9</w:t>
      </w:r>
      <w:r>
        <w:rPr>
          <w:rFonts w:hint="eastAsia"/>
          <w:bCs/>
          <w:color w:val="000000" w:themeColor="text1"/>
          <w:sz w:val="24"/>
          <w14:textFill>
            <w14:solidFill>
              <w14:schemeClr w14:val="tx1"/>
            </w14:solidFill>
          </w14:textFill>
        </w:rPr>
        <w:t>）法律法规及中国证监会规定的和《基金合同》约定的其他投资限制。</w:t>
      </w:r>
    </w:p>
    <w:p>
      <w:pPr>
        <w:spacing w:line="360" w:lineRule="auto"/>
        <w:ind w:firstLine="480" w:firstLineChars="200"/>
        <w:rPr>
          <w:bCs/>
          <w:color w:val="000000" w:themeColor="text1"/>
          <w14:textFill>
            <w14:solidFill>
              <w14:schemeClr w14:val="tx1"/>
            </w14:solidFill>
          </w14:textFill>
        </w:rPr>
      </w:pPr>
      <w:r>
        <w:rPr>
          <w:rFonts w:hint="eastAsia"/>
          <w:bCs/>
          <w:color w:val="000000" w:themeColor="text1"/>
          <w:sz w:val="24"/>
          <w14:textFill>
            <w14:solidFill>
              <w14:schemeClr w14:val="tx1"/>
            </w14:solidFill>
          </w14:textFill>
        </w:rPr>
        <w:t>除上述（</w:t>
      </w:r>
      <w:r>
        <w:rPr>
          <w:bCs/>
          <w:color w:val="000000" w:themeColor="text1"/>
          <w:sz w:val="24"/>
          <w14:textFill>
            <w14:solidFill>
              <w14:schemeClr w14:val="tx1"/>
            </w14:solidFill>
          </w14:textFill>
        </w:rPr>
        <w:t>2</w:t>
      </w: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7</w:t>
      </w: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8</w:t>
      </w:r>
      <w:r>
        <w:rPr>
          <w:rFonts w:hint="eastAsia"/>
          <w:bCs/>
          <w:color w:val="000000" w:themeColor="text1"/>
          <w:sz w:val="24"/>
          <w14:textFill>
            <w14:solidFill>
              <w14:schemeClr w14:val="tx1"/>
            </w14:solidFill>
          </w14:textFill>
        </w:rPr>
        <w:t>）情形之外，因证券市场波动、证券发行人合并、基金规模变动等基金管理人之外的因素致使基金投资比例不符合上述规定投资比例的，基金管理人应当在</w:t>
      </w:r>
      <w:r>
        <w:rPr>
          <w:bCs/>
          <w:color w:val="000000" w:themeColor="text1"/>
          <w:sz w:val="24"/>
          <w14:textFill>
            <w14:solidFill>
              <w14:schemeClr w14:val="tx1"/>
            </w14:solidFill>
          </w14:textFill>
        </w:rPr>
        <w:t>10</w:t>
      </w:r>
      <w:r>
        <w:rPr>
          <w:rFonts w:hint="eastAsia"/>
          <w:bCs/>
          <w:color w:val="000000" w:themeColor="text1"/>
          <w:sz w:val="24"/>
          <w14:textFill>
            <w14:solidFill>
              <w14:schemeClr w14:val="tx1"/>
            </w14:solidFill>
          </w14:textFill>
        </w:rPr>
        <w:t>个交易日内进行调整，但中国证监会规定的特殊情形除外。</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基金管理人应当自基金合同生效之日起</w:t>
      </w:r>
      <w:r>
        <w:rPr>
          <w:bCs/>
          <w:color w:val="000000" w:themeColor="text1"/>
          <w:sz w:val="24"/>
          <w14:textFill>
            <w14:solidFill>
              <w14:schemeClr w14:val="tx1"/>
            </w14:solidFill>
          </w14:textFill>
        </w:rPr>
        <w:t>6</w:t>
      </w:r>
      <w:r>
        <w:rPr>
          <w:rFonts w:hint="eastAsia"/>
          <w:bCs/>
          <w:color w:val="000000" w:themeColor="text1"/>
          <w:sz w:val="24"/>
          <w14:textFill>
            <w14:solidFill>
              <w14:schemeClr w14:val="tx1"/>
            </w14:solidFill>
          </w14:textFill>
        </w:rPr>
        <w:t>个月内使基金的投资组合比例符合基金合同的有关约定。在上述期间内，本基金的投资范围、投资策略应当符合基金合同的约定。基金托管人对基金的投资的监督与检查自本基金合同生效之日起开始。</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如果法律法规或监管部门对上述投资组合比例限制进行变更的，则本基金投资以变更后的规定为准。法律法规或监管部门取消上述限制，如适用于本基金，基金管理人在履行适当程序后，则本基金投资不再受相关限制。</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2</w:t>
      </w:r>
      <w:r>
        <w:rPr>
          <w:rFonts w:hint="eastAsia"/>
          <w:bCs/>
          <w:color w:val="000000" w:themeColor="text1"/>
          <w:sz w:val="24"/>
          <w14:textFill>
            <w14:solidFill>
              <w14:schemeClr w14:val="tx1"/>
            </w14:solidFill>
          </w14:textFill>
        </w:rPr>
        <w:t>、禁止行为</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为维护基金份额持有人的合法权益，基金财产不得用于下列投资或者活动：</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1</w:t>
      </w:r>
      <w:r>
        <w:rPr>
          <w:rFonts w:hint="eastAsia"/>
          <w:bCs/>
          <w:color w:val="000000" w:themeColor="text1"/>
          <w:sz w:val="24"/>
          <w14:textFill>
            <w14:solidFill>
              <w14:schemeClr w14:val="tx1"/>
            </w14:solidFill>
          </w14:textFill>
        </w:rPr>
        <w:t>）承销证券；</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2</w:t>
      </w:r>
      <w:r>
        <w:rPr>
          <w:rFonts w:hint="eastAsia"/>
          <w:bCs/>
          <w:color w:val="000000" w:themeColor="text1"/>
          <w:sz w:val="24"/>
          <w14:textFill>
            <w14:solidFill>
              <w14:schemeClr w14:val="tx1"/>
            </w14:solidFill>
          </w14:textFill>
        </w:rPr>
        <w:t>）违反规定向他人贷款或者提供担保；</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3</w:t>
      </w:r>
      <w:r>
        <w:rPr>
          <w:rFonts w:hint="eastAsia"/>
          <w:bCs/>
          <w:color w:val="000000" w:themeColor="text1"/>
          <w:sz w:val="24"/>
          <w14:textFill>
            <w14:solidFill>
              <w14:schemeClr w14:val="tx1"/>
            </w14:solidFill>
          </w14:textFill>
        </w:rPr>
        <w:t>）从事承担无限责任的投资；</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4</w:t>
      </w:r>
      <w:r>
        <w:rPr>
          <w:rFonts w:hint="eastAsia"/>
          <w:bCs/>
          <w:color w:val="000000" w:themeColor="text1"/>
          <w:sz w:val="24"/>
          <w14:textFill>
            <w14:solidFill>
              <w14:schemeClr w14:val="tx1"/>
            </w14:solidFill>
          </w14:textFill>
        </w:rPr>
        <w:t>）买卖其他基金份额，但是中国证监会另有规定的除外；</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5</w:t>
      </w:r>
      <w:r>
        <w:rPr>
          <w:rFonts w:hint="eastAsia"/>
          <w:bCs/>
          <w:color w:val="000000" w:themeColor="text1"/>
          <w:sz w:val="24"/>
          <w14:textFill>
            <w14:solidFill>
              <w14:schemeClr w14:val="tx1"/>
            </w14:solidFill>
          </w14:textFill>
        </w:rPr>
        <w:t>）向其基金管理人、基金托管人出资；</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6</w:t>
      </w:r>
      <w:r>
        <w:rPr>
          <w:rFonts w:hint="eastAsia"/>
          <w:bCs/>
          <w:color w:val="000000" w:themeColor="text1"/>
          <w:sz w:val="24"/>
          <w14:textFill>
            <w14:solidFill>
              <w14:schemeClr w14:val="tx1"/>
            </w14:solidFill>
          </w14:textFill>
        </w:rPr>
        <w:t>）从事内幕交易、操纵证券交易价格及其他不正当的证券交易活动；</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7</w:t>
      </w:r>
      <w:r>
        <w:rPr>
          <w:rFonts w:hint="eastAsia"/>
          <w:bCs/>
          <w:color w:val="000000" w:themeColor="text1"/>
          <w:sz w:val="24"/>
          <w14:textFill>
            <w14:solidFill>
              <w14:schemeClr w14:val="tx1"/>
            </w14:solidFill>
          </w14:textFill>
        </w:rPr>
        <w:t>）法律、行政法规和中国证监会规定禁止的其他活动。</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法律、行政法规或监管部门取消或变更上述禁止性或限制性规定，如适用于本基金，则基金管理人在履行适当程序后，本基金可不受上述规定的限制或以变更后的规定为准。</w:t>
      </w:r>
    </w:p>
    <w:p>
      <w:pPr>
        <w:autoSpaceDE w:val="0"/>
        <w:autoSpaceDN w:val="0"/>
        <w:adjustRightInd w:val="0"/>
        <w:spacing w:line="360" w:lineRule="auto"/>
        <w:ind w:firstLine="480" w:firstLineChars="200"/>
        <w:jc w:val="left"/>
        <w:rPr>
          <w:bCs/>
          <w:color w:val="000000" w:themeColor="text1"/>
          <w:sz w:val="24"/>
          <w:szCs w:val="24"/>
          <w14:textFill>
            <w14:solidFill>
              <w14:schemeClr w14:val="tx1"/>
            </w14:solidFill>
          </w14:textFill>
        </w:rPr>
      </w:pPr>
      <w:r>
        <w:rPr>
          <w:rFonts w:hint="eastAsia"/>
          <w:bCs/>
          <w:color w:val="000000" w:themeColor="text1"/>
          <w:sz w:val="24"/>
          <w:szCs w:val="24"/>
          <w14:textFill>
            <w14:solidFill>
              <w14:schemeClr w14:val="tx1"/>
            </w14:solidFill>
          </w14:textFill>
        </w:rPr>
        <w:t>（三）侧袋机制的实施和投资运作安排</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侧袋机制实施期间，本部分约定的投资组合比例、投资策略、组合限制、业绩比较基准、风险收益特征等约定仅适用于主袋账户。</w:t>
      </w:r>
    </w:p>
    <w:p>
      <w:pPr>
        <w:spacing w:line="360" w:lineRule="auto"/>
        <w:ind w:firstLine="480" w:firstLineChars="200"/>
        <w:rPr>
          <w:b/>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侧袋账户的实施条件、实施程序、运作安排、投资安排、特定资产的处置变现和支付等对投资者权益有重大影响的事项详见招募说明书的规定。</w:t>
      </w:r>
    </w:p>
    <w:p>
      <w:pPr>
        <w:autoSpaceDE w:val="0"/>
        <w:autoSpaceDN w:val="0"/>
        <w:adjustRightInd w:val="0"/>
        <w:spacing w:line="360" w:lineRule="auto"/>
        <w:ind w:firstLine="480" w:firstLineChars="200"/>
        <w:jc w:val="left"/>
        <w:rPr>
          <w:bCs/>
          <w:color w:val="000000" w:themeColor="text1"/>
          <w:sz w:val="24"/>
          <w:szCs w:val="24"/>
          <w14:textFill>
            <w14:solidFill>
              <w14:schemeClr w14:val="tx1"/>
            </w14:solidFill>
          </w14:textFill>
        </w:rPr>
      </w:pPr>
      <w:r>
        <w:rPr>
          <w:rFonts w:hint="eastAsia"/>
          <w:bCs/>
          <w:color w:val="000000" w:themeColor="text1"/>
          <w:sz w:val="24"/>
          <w:szCs w:val="24"/>
          <w14:textFill>
            <w14:solidFill>
              <w14:schemeClr w14:val="tx1"/>
            </w14:solidFill>
          </w14:textFill>
        </w:rPr>
        <w:t>六、基金资产净值的计算方法和公告方式</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szCs w:val="24"/>
          <w14:textFill>
            <w14:solidFill>
              <w14:schemeClr w14:val="tx1"/>
            </w14:solidFill>
          </w14:textFill>
        </w:rPr>
        <w:t>（一）</w:t>
      </w:r>
      <w:r>
        <w:rPr>
          <w:rFonts w:hint="eastAsia"/>
          <w:bCs/>
          <w:color w:val="000000" w:themeColor="text1"/>
          <w:sz w:val="24"/>
          <w14:textFill>
            <w14:solidFill>
              <w14:schemeClr w14:val="tx1"/>
            </w14:solidFill>
          </w14:textFill>
        </w:rPr>
        <w:t>基金资产净值的计算方法</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w:t>
      </w:r>
      <w:r>
        <w:rPr>
          <w:rFonts w:hint="eastAsia"/>
          <w:bCs/>
          <w:color w:val="000000" w:themeColor="text1"/>
          <w:sz w:val="24"/>
          <w14:textFill>
            <w14:solidFill>
              <w14:schemeClr w14:val="tx1"/>
            </w14:solidFill>
          </w14:textFill>
        </w:rPr>
        <w:t>、基金资产总值</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基金资产总值是指基金购买的各类证券及票据价值、银行存款本息和基金应收的申购基金款以及其他投资所形成的价值总和。</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2</w:t>
      </w:r>
      <w:r>
        <w:rPr>
          <w:rFonts w:hint="eastAsia"/>
          <w:bCs/>
          <w:color w:val="000000" w:themeColor="text1"/>
          <w:sz w:val="24"/>
          <w14:textFill>
            <w14:solidFill>
              <w14:schemeClr w14:val="tx1"/>
            </w14:solidFill>
          </w14:textFill>
        </w:rPr>
        <w:t>、基金资产净值</w:t>
      </w:r>
    </w:p>
    <w:p>
      <w:pPr>
        <w:autoSpaceDE w:val="0"/>
        <w:autoSpaceDN w:val="0"/>
        <w:adjustRightInd w:val="0"/>
        <w:spacing w:line="360" w:lineRule="auto"/>
        <w:ind w:firstLine="480" w:firstLineChars="200"/>
        <w:jc w:val="left"/>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基金资产净值是指基金资产总值减去基金负债后的价值。</w:t>
      </w:r>
    </w:p>
    <w:p>
      <w:pPr>
        <w:autoSpaceDE w:val="0"/>
        <w:autoSpaceDN w:val="0"/>
        <w:adjustRightInd w:val="0"/>
        <w:spacing w:line="360" w:lineRule="auto"/>
        <w:ind w:firstLine="480" w:firstLineChars="200"/>
        <w:jc w:val="left"/>
        <w:rPr>
          <w:bCs/>
          <w:color w:val="000000" w:themeColor="text1"/>
          <w:sz w:val="24"/>
          <w:szCs w:val="24"/>
          <w14:textFill>
            <w14:solidFill>
              <w14:schemeClr w14:val="tx1"/>
            </w14:solidFill>
          </w14:textFill>
        </w:rPr>
      </w:pPr>
      <w:r>
        <w:rPr>
          <w:rFonts w:hint="eastAsia"/>
          <w:bCs/>
          <w:color w:val="000000" w:themeColor="text1"/>
          <w:sz w:val="24"/>
          <w:szCs w:val="24"/>
          <w14:textFill>
            <w14:solidFill>
              <w14:schemeClr w14:val="tx1"/>
            </w14:solidFill>
          </w14:textFill>
        </w:rPr>
        <w:t>（二）公告方式</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《基金合同》生效后，在本基金封闭期内，份额申购或者赎回前，基金管理人应当至少每周在规定网站披露一次基金份额净值和基金份额累计净值。</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在开放期内，基金管理人应当在不晚于每个开放日的次日，通过规定网站、基金份额销售机构网站或者营业网点，披露开放日的基金份额净值和基金份额累计净值。</w:t>
      </w:r>
    </w:p>
    <w:p>
      <w:pPr>
        <w:autoSpaceDE w:val="0"/>
        <w:autoSpaceDN w:val="0"/>
        <w:adjustRightInd w:val="0"/>
        <w:spacing w:line="360" w:lineRule="auto"/>
        <w:ind w:firstLine="480" w:firstLineChars="200"/>
        <w:jc w:val="left"/>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基金管理人应当在不晚于半年度和年度最后一日的次日，在规定网站披露半年度和年度最后一日的基金份额净值和基金份额累计净值。</w:t>
      </w:r>
    </w:p>
    <w:p>
      <w:pPr>
        <w:autoSpaceDE w:val="0"/>
        <w:autoSpaceDN w:val="0"/>
        <w:adjustRightInd w:val="0"/>
        <w:spacing w:line="360" w:lineRule="auto"/>
        <w:ind w:firstLine="480" w:firstLineChars="200"/>
        <w:jc w:val="left"/>
        <w:rPr>
          <w:bCs/>
          <w:color w:val="000000" w:themeColor="text1"/>
          <w:sz w:val="24"/>
          <w:szCs w:val="24"/>
          <w14:textFill>
            <w14:solidFill>
              <w14:schemeClr w14:val="tx1"/>
            </w14:solidFill>
          </w14:textFill>
        </w:rPr>
      </w:pPr>
      <w:r>
        <w:rPr>
          <w:rFonts w:hint="eastAsia"/>
          <w:bCs/>
          <w:color w:val="000000" w:themeColor="text1"/>
          <w:sz w:val="24"/>
          <w:szCs w:val="24"/>
          <w14:textFill>
            <w14:solidFill>
              <w14:schemeClr w14:val="tx1"/>
            </w14:solidFill>
          </w14:textFill>
        </w:rPr>
        <w:t>（三）实施侧袋机制期间的基金资产估值</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本基金实施侧袋机制的，应根据本部分的约定对主袋账户资产进行估值并披露主袋账户的基金净值信息，暂停披露侧袋账户份额净值。</w:t>
      </w:r>
    </w:p>
    <w:p>
      <w:pPr>
        <w:autoSpaceDE w:val="0"/>
        <w:autoSpaceDN w:val="0"/>
        <w:adjustRightInd w:val="0"/>
        <w:spacing w:line="360" w:lineRule="auto"/>
        <w:ind w:firstLine="480" w:firstLineChars="200"/>
        <w:jc w:val="left"/>
        <w:rPr>
          <w:bCs/>
          <w:color w:val="000000" w:themeColor="text1"/>
          <w:sz w:val="24"/>
          <w:szCs w:val="24"/>
          <w14:textFill>
            <w14:solidFill>
              <w14:schemeClr w14:val="tx1"/>
            </w14:solidFill>
          </w14:textFill>
        </w:rPr>
      </w:pPr>
      <w:r>
        <w:rPr>
          <w:rFonts w:hint="eastAsia"/>
          <w:bCs/>
          <w:color w:val="000000" w:themeColor="text1"/>
          <w:sz w:val="24"/>
          <w:szCs w:val="24"/>
          <w14:textFill>
            <w14:solidFill>
              <w14:schemeClr w14:val="tx1"/>
            </w14:solidFill>
          </w14:textFill>
        </w:rPr>
        <w:t>七、基金合同解除和终止的事由、程序</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（一）《基金合同》的变更</w:t>
      </w:r>
    </w:p>
    <w:p>
      <w:pPr>
        <w:autoSpaceDE w:val="0"/>
        <w:autoSpaceDN w:val="0"/>
        <w:adjustRightInd w:val="0"/>
        <w:spacing w:line="360" w:lineRule="auto"/>
        <w:ind w:firstLine="720" w:firstLineChars="300"/>
        <w:jc w:val="left"/>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w:t>
      </w:r>
      <w:r>
        <w:rPr>
          <w:rFonts w:hint="eastAsia"/>
          <w:bCs/>
          <w:color w:val="000000" w:themeColor="text1"/>
          <w:sz w:val="24"/>
          <w14:textFill>
            <w14:solidFill>
              <w14:schemeClr w14:val="tx1"/>
            </w14:solidFill>
          </w14:textFill>
        </w:rPr>
        <w:t>、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2</w:t>
      </w:r>
      <w:r>
        <w:rPr>
          <w:rFonts w:hint="eastAsia"/>
          <w:bCs/>
          <w:color w:val="000000" w:themeColor="text1"/>
          <w:sz w:val="24"/>
          <w14:textFill>
            <w14:solidFill>
              <w14:schemeClr w14:val="tx1"/>
            </w14:solidFill>
          </w14:textFill>
        </w:rPr>
        <w:t>、关于《基金合同》变更的基金份额持有人大会决议自生效后方可执行，自决议生效后两日内在规定媒介公告。</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（二）《基金合同》的终止事由</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有下列情形之一的，经履行相关程序后，《基金合同》应当终止：</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w:t>
      </w:r>
      <w:r>
        <w:rPr>
          <w:rFonts w:hint="eastAsia"/>
          <w:bCs/>
          <w:color w:val="000000" w:themeColor="text1"/>
          <w:sz w:val="24"/>
          <w14:textFill>
            <w14:solidFill>
              <w14:schemeClr w14:val="tx1"/>
            </w14:solidFill>
          </w14:textFill>
        </w:rPr>
        <w:t>、基金份额持有人大会决定终止的；</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2</w:t>
      </w:r>
      <w:r>
        <w:rPr>
          <w:rFonts w:hint="eastAsia"/>
          <w:bCs/>
          <w:color w:val="000000" w:themeColor="text1"/>
          <w:sz w:val="24"/>
          <w14:textFill>
            <w14:solidFill>
              <w14:schemeClr w14:val="tx1"/>
            </w14:solidFill>
          </w14:textFill>
        </w:rPr>
        <w:t>、基金管理人、基金托管人职责终止，在</w:t>
      </w:r>
      <w:r>
        <w:rPr>
          <w:bCs/>
          <w:color w:val="000000" w:themeColor="text1"/>
          <w:sz w:val="24"/>
          <w14:textFill>
            <w14:solidFill>
              <w14:schemeClr w14:val="tx1"/>
            </w14:solidFill>
          </w14:textFill>
        </w:rPr>
        <w:t>6</w:t>
      </w:r>
      <w:r>
        <w:rPr>
          <w:rFonts w:hint="eastAsia"/>
          <w:bCs/>
          <w:color w:val="000000" w:themeColor="text1"/>
          <w:sz w:val="24"/>
          <w14:textFill>
            <w14:solidFill>
              <w14:schemeClr w14:val="tx1"/>
            </w14:solidFill>
          </w14:textFill>
        </w:rPr>
        <w:t>个月内没有新基金管理人、新基金托管人承接的；</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3</w:t>
      </w:r>
      <w:r>
        <w:rPr>
          <w:rFonts w:hint="eastAsia"/>
          <w:bCs/>
          <w:color w:val="000000" w:themeColor="text1"/>
          <w:sz w:val="24"/>
          <w14:textFill>
            <w14:solidFill>
              <w14:schemeClr w14:val="tx1"/>
            </w14:solidFill>
          </w14:textFill>
        </w:rPr>
        <w:t>、《基金合同》约定的其他情形；</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4</w:t>
      </w:r>
      <w:r>
        <w:rPr>
          <w:rFonts w:hint="eastAsia"/>
          <w:bCs/>
          <w:color w:val="000000" w:themeColor="text1"/>
          <w:sz w:val="24"/>
          <w14:textFill>
            <w14:solidFill>
              <w14:schemeClr w14:val="tx1"/>
            </w14:solidFill>
          </w14:textFill>
        </w:rPr>
        <w:t>、相关法律法规和中国证监会规定的其他情况。</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（三）基金财产的清算</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w:t>
      </w:r>
      <w:r>
        <w:rPr>
          <w:rFonts w:hint="eastAsia"/>
          <w:bCs/>
          <w:color w:val="000000" w:themeColor="text1"/>
          <w:sz w:val="24"/>
          <w14:textFill>
            <w14:solidFill>
              <w14:schemeClr w14:val="tx1"/>
            </w14:solidFill>
          </w14:textFill>
        </w:rPr>
        <w:t>、基金财产清算小组：自出现《基金合同》终止事由之日起</w:t>
      </w:r>
      <w:r>
        <w:rPr>
          <w:bCs/>
          <w:color w:val="000000" w:themeColor="text1"/>
          <w:sz w:val="24"/>
          <w14:textFill>
            <w14:solidFill>
              <w14:schemeClr w14:val="tx1"/>
            </w14:solidFill>
          </w14:textFill>
        </w:rPr>
        <w:t>30</w:t>
      </w:r>
      <w:r>
        <w:rPr>
          <w:rFonts w:hint="eastAsia"/>
          <w:bCs/>
          <w:color w:val="000000" w:themeColor="text1"/>
          <w:sz w:val="24"/>
          <w14:textFill>
            <w14:solidFill>
              <w14:schemeClr w14:val="tx1"/>
            </w14:solidFill>
          </w14:textFill>
        </w:rPr>
        <w:t>个工作日内成立清算小组，基金管理人组织基金财产清算小组并在中国证监会的监督下进行基金清算。</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2</w:t>
      </w:r>
      <w:r>
        <w:rPr>
          <w:rFonts w:hint="eastAsia"/>
          <w:bCs/>
          <w:color w:val="000000" w:themeColor="text1"/>
          <w:sz w:val="24"/>
          <w14:textFill>
            <w14:solidFill>
              <w14:schemeClr w14:val="tx1"/>
            </w14:solidFill>
          </w14:textFill>
        </w:rPr>
        <w:t>、基金财产清算小组组成：基金财产清算小组成员由基金管理人、基金托管人、具有从事证券相关业务资格的注册会计师、律师以及中国证监会指定的人员组成。基金财产清算小组可以聘用必要的工作人员。</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3</w:t>
      </w:r>
      <w:r>
        <w:rPr>
          <w:rFonts w:hint="eastAsia"/>
          <w:bCs/>
          <w:color w:val="000000" w:themeColor="text1"/>
          <w:sz w:val="24"/>
          <w14:textFill>
            <w14:solidFill>
              <w14:schemeClr w14:val="tx1"/>
            </w14:solidFill>
          </w14:textFill>
        </w:rPr>
        <w:t>、基金财产清算小组职责：基金财产清算小组负责基金财产的保管、清理、估价、变现和分配。基金财产清算小组可以依法进行必要的民事活动。</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4</w:t>
      </w:r>
      <w:r>
        <w:rPr>
          <w:rFonts w:hint="eastAsia"/>
          <w:bCs/>
          <w:color w:val="000000" w:themeColor="text1"/>
          <w:sz w:val="24"/>
          <w14:textFill>
            <w14:solidFill>
              <w14:schemeClr w14:val="tx1"/>
            </w14:solidFill>
          </w14:textFill>
        </w:rPr>
        <w:t>、基金财产清算程序：</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1</w:t>
      </w:r>
      <w:r>
        <w:rPr>
          <w:rFonts w:hint="eastAsia"/>
          <w:bCs/>
          <w:color w:val="000000" w:themeColor="text1"/>
          <w:sz w:val="24"/>
          <w14:textFill>
            <w14:solidFill>
              <w14:schemeClr w14:val="tx1"/>
            </w14:solidFill>
          </w14:textFill>
        </w:rPr>
        <w:t>）《基金合同》终止情形出现时，由基金财产清算小组统一接管基金；</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2</w:t>
      </w:r>
      <w:r>
        <w:rPr>
          <w:rFonts w:hint="eastAsia"/>
          <w:bCs/>
          <w:color w:val="000000" w:themeColor="text1"/>
          <w:sz w:val="24"/>
          <w14:textFill>
            <w14:solidFill>
              <w14:schemeClr w14:val="tx1"/>
            </w14:solidFill>
          </w14:textFill>
        </w:rPr>
        <w:t>）对基金财产和债权债务进行清理和确认；</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3</w:t>
      </w:r>
      <w:r>
        <w:rPr>
          <w:rFonts w:hint="eastAsia"/>
          <w:bCs/>
          <w:color w:val="000000" w:themeColor="text1"/>
          <w:sz w:val="24"/>
          <w14:textFill>
            <w14:solidFill>
              <w14:schemeClr w14:val="tx1"/>
            </w14:solidFill>
          </w14:textFill>
        </w:rPr>
        <w:t>）对基金财产进行估值和变现；</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4</w:t>
      </w:r>
      <w:r>
        <w:rPr>
          <w:rFonts w:hint="eastAsia"/>
          <w:bCs/>
          <w:color w:val="000000" w:themeColor="text1"/>
          <w:sz w:val="24"/>
          <w14:textFill>
            <w14:solidFill>
              <w14:schemeClr w14:val="tx1"/>
            </w14:solidFill>
          </w14:textFill>
        </w:rPr>
        <w:t>）制作清算报告；</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5</w:t>
      </w:r>
      <w:r>
        <w:rPr>
          <w:rFonts w:hint="eastAsia"/>
          <w:bCs/>
          <w:color w:val="000000" w:themeColor="text1"/>
          <w:sz w:val="24"/>
          <w14:textFill>
            <w14:solidFill>
              <w14:schemeClr w14:val="tx1"/>
            </w14:solidFill>
          </w14:textFill>
        </w:rPr>
        <w:t>）聘请会计师事务所对清算报告进行外部审计，聘请律师事务所对清算报告出具法律意见书；</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6</w:t>
      </w:r>
      <w:r>
        <w:rPr>
          <w:rFonts w:hint="eastAsia"/>
          <w:bCs/>
          <w:color w:val="000000" w:themeColor="text1"/>
          <w:sz w:val="24"/>
          <w14:textFill>
            <w14:solidFill>
              <w14:schemeClr w14:val="tx1"/>
            </w14:solidFill>
          </w14:textFill>
        </w:rPr>
        <w:t>）将清算报告报中国证监会备案并公告；</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7</w:t>
      </w:r>
      <w:r>
        <w:rPr>
          <w:rFonts w:hint="eastAsia"/>
          <w:bCs/>
          <w:color w:val="000000" w:themeColor="text1"/>
          <w:sz w:val="24"/>
          <w14:textFill>
            <w14:solidFill>
              <w14:schemeClr w14:val="tx1"/>
            </w14:solidFill>
          </w14:textFill>
        </w:rPr>
        <w:t>）对基金剩余财产进行分配。</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5</w:t>
      </w:r>
      <w:r>
        <w:rPr>
          <w:rFonts w:hint="eastAsia"/>
          <w:bCs/>
          <w:color w:val="000000" w:themeColor="text1"/>
          <w:sz w:val="24"/>
          <w14:textFill>
            <w14:solidFill>
              <w14:schemeClr w14:val="tx1"/>
            </w14:solidFill>
          </w14:textFill>
        </w:rPr>
        <w:t>、基金财产清算的期限为</w:t>
      </w:r>
      <w:r>
        <w:rPr>
          <w:bCs/>
          <w:color w:val="000000" w:themeColor="text1"/>
          <w:sz w:val="24"/>
          <w14:textFill>
            <w14:solidFill>
              <w14:schemeClr w14:val="tx1"/>
            </w14:solidFill>
          </w14:textFill>
        </w:rPr>
        <w:t>6</w:t>
      </w:r>
      <w:r>
        <w:rPr>
          <w:rFonts w:hint="eastAsia"/>
          <w:bCs/>
          <w:color w:val="000000" w:themeColor="text1"/>
          <w:sz w:val="24"/>
          <w14:textFill>
            <w14:solidFill>
              <w14:schemeClr w14:val="tx1"/>
            </w14:solidFill>
          </w14:textFill>
        </w:rPr>
        <w:t>个月，但因本基金所持证券的流动性受到限制而不能及时变现的，清算期限相应顺延。</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（四）清算费用</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清算费用是指基金财产清算小组在进行基金清算过程中发生的所有合理费用，清算费用由基金财产清算小组优先从基金财产中支付。</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（五）基金财产清算剩余资产的分配</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依据基金财产清算的分配方案，将基金财产清算后的全部剩余资产扣除基金财产清算费用、交纳所欠税款并清偿基金债务后，按基金份额持有人持有的基金份额比例进行分配。</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（六）基金财产清算的公告</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清算过程中的有关重大事项须及时公告；基金财产清算报告经符合《中华人民共和国证券法》规定的会计师事务所审计并由律师事务所出具法律意见书后报中国证监会备案并公告。基金财产清算公告于基金财产清算报告报中国证监会备案后</w:t>
      </w:r>
      <w:r>
        <w:rPr>
          <w:bCs/>
          <w:color w:val="000000" w:themeColor="text1"/>
          <w:sz w:val="24"/>
          <w14:textFill>
            <w14:solidFill>
              <w14:schemeClr w14:val="tx1"/>
            </w14:solidFill>
          </w14:textFill>
        </w:rPr>
        <w:t>5</w:t>
      </w:r>
      <w:r>
        <w:rPr>
          <w:rFonts w:hint="eastAsia"/>
          <w:bCs/>
          <w:color w:val="000000" w:themeColor="text1"/>
          <w:sz w:val="24"/>
          <w14:textFill>
            <w14:solidFill>
              <w14:schemeClr w14:val="tx1"/>
            </w14:solidFill>
          </w14:textFill>
        </w:rPr>
        <w:t>个工作日内由基金财产清算小组进行公告，基金财产清算小组应当将清算报告登载在规定网站上，并将清算报告提示性公告登载在规定报刊上。</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（七）基金财产清算账册及文件的保存</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基金财产清算账册及有关文件由基金托管人保存不低于法律法规规定的最低期限。</w:t>
      </w:r>
    </w:p>
    <w:p>
      <w:pPr>
        <w:autoSpaceDE w:val="0"/>
        <w:autoSpaceDN w:val="0"/>
        <w:adjustRightInd w:val="0"/>
        <w:spacing w:line="360" w:lineRule="auto"/>
        <w:ind w:firstLine="480" w:firstLineChars="200"/>
        <w:jc w:val="left"/>
        <w:rPr>
          <w:bCs/>
          <w:color w:val="000000" w:themeColor="text1"/>
          <w:sz w:val="24"/>
          <w:szCs w:val="24"/>
          <w14:textFill>
            <w14:solidFill>
              <w14:schemeClr w14:val="tx1"/>
            </w14:solidFill>
          </w14:textFill>
        </w:rPr>
      </w:pPr>
      <w:r>
        <w:rPr>
          <w:rFonts w:hint="eastAsia"/>
          <w:bCs/>
          <w:color w:val="000000" w:themeColor="text1"/>
          <w:sz w:val="24"/>
          <w:szCs w:val="24"/>
          <w14:textFill>
            <w14:solidFill>
              <w14:schemeClr w14:val="tx1"/>
            </w14:solidFill>
          </w14:textFill>
        </w:rPr>
        <w:t>八、争议解决方式</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各方当事人同意，因《基金合同》而产生的或与《基金合同》有关的一切争议，如经友好协商未能解决的，应提交上海国际经济贸易仲裁委员会根据该会当时有效的仲裁规则进行仲裁，仲裁地点为上海市。仲裁裁决是终局性的并对各方当事人具有约束力。仲裁费用由败诉方承担，仲裁裁决另有规定除外。</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争议处理期间，基金管理人、基金托管人应恪守各自的职责，继续忠实、勤勉、尽责地履行《基金合同》规定的义务，维护基金份额持有人的合法权益。</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《基金合同》受中国法律（为《基金合同》之目的，在此不包括香港、澳门特别行政区和台湾地区的有关规定）管辖，并从其解释。</w:t>
      </w:r>
    </w:p>
    <w:p>
      <w:pPr>
        <w:autoSpaceDE w:val="0"/>
        <w:autoSpaceDN w:val="0"/>
        <w:adjustRightInd w:val="0"/>
        <w:spacing w:line="360" w:lineRule="auto"/>
        <w:ind w:firstLine="480" w:firstLineChars="200"/>
        <w:jc w:val="left"/>
        <w:rPr>
          <w:bCs/>
          <w:color w:val="000000" w:themeColor="text1"/>
          <w:sz w:val="24"/>
          <w:szCs w:val="24"/>
          <w14:textFill>
            <w14:solidFill>
              <w14:schemeClr w14:val="tx1"/>
            </w14:solidFill>
          </w14:textFill>
        </w:rPr>
      </w:pPr>
      <w:r>
        <w:rPr>
          <w:rFonts w:hint="eastAsia"/>
          <w:bCs/>
          <w:color w:val="000000" w:themeColor="text1"/>
          <w:sz w:val="24"/>
          <w:szCs w:val="24"/>
          <w14:textFill>
            <w14:solidFill>
              <w14:schemeClr w14:val="tx1"/>
            </w14:solidFill>
          </w14:textFill>
        </w:rPr>
        <w:t>九、基金合同存放地和投资者取得基金合同的方式</w:t>
      </w:r>
    </w:p>
    <w:p>
      <w:pPr>
        <w:autoSpaceDE w:val="0"/>
        <w:autoSpaceDN w:val="0"/>
        <w:adjustRightInd w:val="0"/>
        <w:spacing w:line="360" w:lineRule="auto"/>
        <w:ind w:firstLine="480" w:firstLineChars="200"/>
        <w:jc w:val="left"/>
        <w:rPr>
          <w:bCs/>
          <w:color w:val="000000" w:themeColor="text1"/>
          <w:sz w:val="24"/>
          <w14:textFill>
            <w14:solidFill>
              <w14:schemeClr w14:val="tx1"/>
            </w14:solidFill>
          </w14:textFill>
        </w:rPr>
        <w:sectPr>
          <w:pgSz w:w="11906" w:h="16838"/>
          <w:pgMar w:top="1440" w:right="1800" w:bottom="1440" w:left="1800" w:header="851" w:footer="992" w:gutter="0"/>
          <w:pgNumType w:start="1"/>
          <w:cols w:space="720" w:num="1"/>
          <w:docGrid w:type="lines" w:linePitch="312" w:charSpace="0"/>
        </w:sectPr>
      </w:pPr>
      <w:r>
        <w:rPr>
          <w:rFonts w:hint="eastAsia"/>
          <w:bCs/>
          <w:color w:val="000000" w:themeColor="text1"/>
          <w:sz w:val="24"/>
          <w14:textFill>
            <w14:solidFill>
              <w14:schemeClr w14:val="tx1"/>
            </w14:solidFill>
          </w14:textFill>
        </w:rPr>
        <w:t>《基金合同》可印制成册，供投资者在基金管理人、基金托管人、销售机构的办公场所和营业场所查阅。</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本页无正文，为《</w:t>
      </w:r>
      <w:r>
        <w:rPr>
          <w:rFonts w:hint="eastAsia" w:ascii="宋体" w:hAnsi="宋体"/>
          <w:color w:val="000000" w:themeColor="text1"/>
          <w:sz w:val="24"/>
          <w:lang w:eastAsia="zh-CN"/>
          <w14:textFill>
            <w14:solidFill>
              <w14:schemeClr w14:val="tx1"/>
            </w14:solidFill>
          </w14:textFill>
        </w:rPr>
        <w:t>国新国证</w:t>
      </w:r>
      <w:r>
        <w:rPr>
          <w:rFonts w:hint="eastAsia" w:ascii="宋体" w:hAnsi="宋体"/>
          <w:color w:val="000000" w:themeColor="text1"/>
          <w:sz w:val="24"/>
          <w14:textFill>
            <w14:solidFill>
              <w14:schemeClr w14:val="tx1"/>
            </w14:solidFill>
          </w14:textFill>
        </w:rPr>
        <w:t>鑫裕央企债六个月定期开放债券型证券投资基金基金合同》的签字盖章页。</w:t>
      </w: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基金管理人：</w:t>
      </w:r>
      <w:r>
        <w:rPr>
          <w:rFonts w:hint="eastAsia" w:ascii="宋体" w:hAnsi="宋体"/>
          <w:color w:val="000000" w:themeColor="text1"/>
          <w:sz w:val="24"/>
          <w:lang w:eastAsia="zh-CN"/>
          <w14:textFill>
            <w14:solidFill>
              <w14:schemeClr w14:val="tx1"/>
            </w14:solidFill>
          </w14:textFill>
        </w:rPr>
        <w:t>国新国证</w:t>
      </w:r>
      <w:r>
        <w:rPr>
          <w:rFonts w:hint="eastAsia" w:ascii="宋体" w:hAnsi="宋体"/>
          <w:color w:val="000000" w:themeColor="text1"/>
          <w:sz w:val="24"/>
          <w14:textFill>
            <w14:solidFill>
              <w14:schemeClr w14:val="tx1"/>
            </w14:solidFill>
          </w14:textFill>
        </w:rPr>
        <w:t>基金管理有限公司（章）</w:t>
      </w: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法定代表人或授权代表（签字或盖章）：</w:t>
      </w: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签订地点：中国北京</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签订日：        年    月    日</w:t>
      </w: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基金托管人：上海浦东发展银行股份有限公司（章）</w:t>
      </w: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法定代表人或授权代表（签字或盖章）：</w:t>
      </w: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签订地点：中国上海</w:t>
      </w:r>
    </w:p>
    <w:p>
      <w:pPr>
        <w:autoSpaceDE w:val="0"/>
        <w:autoSpaceDN w:val="0"/>
        <w:adjustRightInd w:val="0"/>
        <w:spacing w:line="360" w:lineRule="auto"/>
        <w:jc w:val="left"/>
        <w:rPr>
          <w:bCs/>
          <w:color w:val="000000" w:themeColor="text1"/>
          <w:sz w:val="24"/>
          <w:szCs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签订日：        年    月    </w:t>
      </w:r>
      <w:r>
        <w:rPr>
          <w:rFonts w:ascii="宋体" w:hAnsi="宋体"/>
          <w:color w:val="000000" w:themeColor="text1"/>
          <w:sz w:val="24"/>
          <w14:textFill>
            <w14:solidFill>
              <w14:schemeClr w14:val="tx1"/>
            </w14:solidFill>
          </w14:textFill>
        </w:rPr>
        <w:t>日</w:t>
      </w:r>
    </w:p>
    <w:sectPr>
      <w:headerReference r:id="rId6" w:type="default"/>
      <w:footerReference r:id="rId7"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Align="top"/>
    </w:pPr>
    <w:r>
      <w:rPr>
        <w:rFonts w:hint="eastAsia"/>
      </w:rPr>
      <w:fldChar w:fldCharType="begin"/>
    </w:r>
    <w:r>
      <w:rPr>
        <w:rStyle w:val="22"/>
        <w:rFonts w:hint="eastAsia"/>
      </w:rPr>
      <w:instrText xml:space="preserve"> PAGE  </w:instrText>
    </w:r>
    <w:r>
      <w:rPr>
        <w:rFonts w:hint="eastAsia"/>
      </w:rPr>
      <w:fldChar w:fldCharType="separate"/>
    </w:r>
    <w:r>
      <w:rPr>
        <w:rStyle w:val="22"/>
      </w:rPr>
      <w:t>93</w:t>
    </w:r>
    <w:r>
      <w:rPr>
        <w:rFonts w:hint="eastAsia"/>
      </w:rPr>
      <w:fldChar w:fldCharType="end"/>
    </w:r>
  </w:p>
  <w:p>
    <w:pPr>
      <w:pStyle w:val="13"/>
      <w:jc w:val="center"/>
      <w:rPr>
        <w:sz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thickThinLargeGap" w:color="auto" w:sz="24" w:space="10"/>
      </w:pBdr>
      <w:tabs>
        <w:tab w:val="right" w:pos="8280"/>
      </w:tabs>
      <w:wordWrap w:val="0"/>
      <w:adjustRightInd w:val="0"/>
      <w:jc w:val="both"/>
    </w:pPr>
    <w:r>
      <w:rPr>
        <w:rFonts w:hint="eastAsia"/>
        <w:color w:val="000000"/>
      </w:rPr>
      <w:t>XXXX</w:t>
    </w:r>
    <w:r>
      <w:rPr>
        <w:rFonts w:hint="eastAsia"/>
      </w:rPr>
      <w:t>证券投资基金                             募集申请材料－基金合同（草案）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thickThinLargeGap" w:color="auto" w:sz="24" w:space="10"/>
      </w:pBdr>
      <w:tabs>
        <w:tab w:val="right" w:pos="8280"/>
      </w:tabs>
      <w:wordWrap w:val="0"/>
      <w:adjustRightInd w:val="0"/>
      <w:jc w:val="both"/>
    </w:pPr>
    <w:r>
      <w:rPr>
        <w:rFonts w:hint="eastAsia"/>
        <w:color w:val="000000"/>
        <w:lang w:eastAsia="zh-CN"/>
      </w:rPr>
      <w:t>国新国证</w:t>
    </w:r>
    <w:r>
      <w:rPr>
        <w:rFonts w:hint="eastAsia"/>
        <w:color w:val="000000"/>
      </w:rPr>
      <w:t>鑫裕央企债六个月定期开放债券型</w:t>
    </w:r>
    <w:r>
      <w:rPr>
        <w:rFonts w:hint="eastAsia"/>
      </w:rPr>
      <w:t xml:space="preserve">证券投资基金 </w:t>
    </w:r>
    <w:r>
      <w:t xml:space="preserve">                                </w:t>
    </w:r>
    <w:r>
      <w:rPr>
        <w:rFonts w:hint="eastAsia"/>
      </w:rPr>
      <w:t>基金合同</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thickThinLargeGap" w:color="auto" w:sz="24" w:space="10"/>
      </w:pBdr>
      <w:tabs>
        <w:tab w:val="right" w:pos="8280"/>
      </w:tabs>
      <w:wordWrap w:val="0"/>
      <w:adjustRightInd w:val="0"/>
      <w:jc w:val="both"/>
    </w:pPr>
    <w:r>
      <w:rPr>
        <w:rFonts w:hint="eastAsia"/>
        <w:color w:val="000000"/>
        <w:lang w:eastAsia="zh-CN"/>
      </w:rPr>
      <w:t>国新国证</w:t>
    </w:r>
    <w:r>
      <w:rPr>
        <w:rFonts w:hint="eastAsia"/>
        <w:color w:val="000000"/>
      </w:rPr>
      <w:t>鑫裕央企债六个月定期开放债券型</w:t>
    </w:r>
    <w:r>
      <w:rPr>
        <w:rFonts w:hint="eastAsia"/>
      </w:rPr>
      <w:t xml:space="preserve">证券投资基金 </w:t>
    </w:r>
    <w:r>
      <w:t xml:space="preserve">                                </w:t>
    </w:r>
    <w:r>
      <w:rPr>
        <w:rFonts w:hint="eastAsia"/>
      </w:rPr>
      <w:t>基金合同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tentative="0">
      <w:start w:val="1"/>
      <w:numFmt w:val="bullet"/>
      <w:pStyle w:val="32"/>
      <w:lvlText w:val=""/>
      <w:lvlJc w:val="left"/>
      <w:pPr>
        <w:tabs>
          <w:tab w:val="left" w:pos="360"/>
        </w:tabs>
        <w:ind w:left="360" w:hanging="360"/>
      </w:pPr>
      <w:rPr>
        <w:rFonts w:hint="default" w:ascii="Symbol" w:hAnsi="Symbol"/>
        <w:color w:val="auto"/>
      </w:rPr>
    </w:lvl>
  </w:abstractNum>
  <w:abstractNum w:abstractNumId="1">
    <w:nsid w:val="00000003"/>
    <w:multiLevelType w:val="singleLevel"/>
    <w:tmpl w:val="00000003"/>
    <w:lvl w:ilvl="0" w:tentative="0">
      <w:start w:val="4"/>
      <w:numFmt w:val="chineseCounting"/>
      <w:suff w:val="nothing"/>
      <w:lvlText w:val="%1、"/>
      <w:lvlJc w:val="left"/>
    </w:lvl>
  </w:abstractNum>
  <w:abstractNum w:abstractNumId="2">
    <w:nsid w:val="5BD11B30"/>
    <w:multiLevelType w:val="singleLevel"/>
    <w:tmpl w:val="5BD11B30"/>
    <w:lvl w:ilvl="0" w:tentative="0">
      <w:start w:val="1"/>
      <w:numFmt w:val="chineseCounting"/>
      <w:suff w:val="nothing"/>
      <w:lvlText w:val="（%1）"/>
      <w:lvlJc w:val="left"/>
    </w:lvl>
  </w:abstractNum>
  <w:abstractNum w:abstractNumId="3">
    <w:nsid w:val="5BD28285"/>
    <w:multiLevelType w:val="singleLevel"/>
    <w:tmpl w:val="5BD28285"/>
    <w:lvl w:ilvl="0" w:tentative="0">
      <w:start w:val="3"/>
      <w:numFmt w:val="chineseCounting"/>
      <w:suff w:val="nothing"/>
      <w:lvlText w:val="%1、"/>
      <w:lvlJc w:val="left"/>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32310"/>
    <w:rsid w:val="000343EB"/>
    <w:rsid w:val="00062B8C"/>
    <w:rsid w:val="00063627"/>
    <w:rsid w:val="00071F0D"/>
    <w:rsid w:val="000848AC"/>
    <w:rsid w:val="00096F5E"/>
    <w:rsid w:val="000978A8"/>
    <w:rsid w:val="000A47EB"/>
    <w:rsid w:val="000C5459"/>
    <w:rsid w:val="000C7E93"/>
    <w:rsid w:val="000D7256"/>
    <w:rsid w:val="000E29D6"/>
    <w:rsid w:val="000E3C11"/>
    <w:rsid w:val="000F02F7"/>
    <w:rsid w:val="000F45CD"/>
    <w:rsid w:val="000F6C46"/>
    <w:rsid w:val="001122B0"/>
    <w:rsid w:val="001156D9"/>
    <w:rsid w:val="0014460B"/>
    <w:rsid w:val="00147D8F"/>
    <w:rsid w:val="00152611"/>
    <w:rsid w:val="00172A27"/>
    <w:rsid w:val="00172E88"/>
    <w:rsid w:val="001A07FE"/>
    <w:rsid w:val="001B0C55"/>
    <w:rsid w:val="001F273C"/>
    <w:rsid w:val="001F766C"/>
    <w:rsid w:val="0020365D"/>
    <w:rsid w:val="0021341C"/>
    <w:rsid w:val="00232EAB"/>
    <w:rsid w:val="002331B2"/>
    <w:rsid w:val="00243A35"/>
    <w:rsid w:val="002510DC"/>
    <w:rsid w:val="002633E5"/>
    <w:rsid w:val="0027258E"/>
    <w:rsid w:val="00281416"/>
    <w:rsid w:val="00290C81"/>
    <w:rsid w:val="00291CF6"/>
    <w:rsid w:val="00291D37"/>
    <w:rsid w:val="002B045D"/>
    <w:rsid w:val="002B3814"/>
    <w:rsid w:val="002C48D5"/>
    <w:rsid w:val="002C6C2E"/>
    <w:rsid w:val="002D622A"/>
    <w:rsid w:val="00306599"/>
    <w:rsid w:val="00310CB0"/>
    <w:rsid w:val="00314D53"/>
    <w:rsid w:val="00346F31"/>
    <w:rsid w:val="003755FF"/>
    <w:rsid w:val="003A167E"/>
    <w:rsid w:val="003C1960"/>
    <w:rsid w:val="003D0EAB"/>
    <w:rsid w:val="003E4FEE"/>
    <w:rsid w:val="00424F4D"/>
    <w:rsid w:val="00440DA4"/>
    <w:rsid w:val="00470D88"/>
    <w:rsid w:val="004765FF"/>
    <w:rsid w:val="004902DB"/>
    <w:rsid w:val="004A7B74"/>
    <w:rsid w:val="004B4B59"/>
    <w:rsid w:val="004C10AB"/>
    <w:rsid w:val="004D4682"/>
    <w:rsid w:val="004D5B24"/>
    <w:rsid w:val="004F10FF"/>
    <w:rsid w:val="004F328D"/>
    <w:rsid w:val="004F6A7B"/>
    <w:rsid w:val="005421B6"/>
    <w:rsid w:val="005427AA"/>
    <w:rsid w:val="00544A9C"/>
    <w:rsid w:val="00545916"/>
    <w:rsid w:val="0054643A"/>
    <w:rsid w:val="0056097A"/>
    <w:rsid w:val="00581CC3"/>
    <w:rsid w:val="0058751E"/>
    <w:rsid w:val="005F0398"/>
    <w:rsid w:val="005F0C56"/>
    <w:rsid w:val="005F7B42"/>
    <w:rsid w:val="00615352"/>
    <w:rsid w:val="00642546"/>
    <w:rsid w:val="00667064"/>
    <w:rsid w:val="006A1225"/>
    <w:rsid w:val="006B1BFB"/>
    <w:rsid w:val="006C1B9A"/>
    <w:rsid w:val="006C4561"/>
    <w:rsid w:val="006C540B"/>
    <w:rsid w:val="006E0934"/>
    <w:rsid w:val="006E47BC"/>
    <w:rsid w:val="006F3F69"/>
    <w:rsid w:val="00710352"/>
    <w:rsid w:val="00720239"/>
    <w:rsid w:val="007265B7"/>
    <w:rsid w:val="007330DE"/>
    <w:rsid w:val="00745D26"/>
    <w:rsid w:val="00764D31"/>
    <w:rsid w:val="00765D8E"/>
    <w:rsid w:val="00794A28"/>
    <w:rsid w:val="007963CB"/>
    <w:rsid w:val="00797BCA"/>
    <w:rsid w:val="007A5059"/>
    <w:rsid w:val="007A640A"/>
    <w:rsid w:val="007B282F"/>
    <w:rsid w:val="007E6B8D"/>
    <w:rsid w:val="007F1EC8"/>
    <w:rsid w:val="007F4FD4"/>
    <w:rsid w:val="00810E3D"/>
    <w:rsid w:val="0083180D"/>
    <w:rsid w:val="00854F86"/>
    <w:rsid w:val="0086434B"/>
    <w:rsid w:val="0086526F"/>
    <w:rsid w:val="00874388"/>
    <w:rsid w:val="00887A3A"/>
    <w:rsid w:val="00892F95"/>
    <w:rsid w:val="00894DA7"/>
    <w:rsid w:val="008A39FF"/>
    <w:rsid w:val="008E4F10"/>
    <w:rsid w:val="008E6233"/>
    <w:rsid w:val="008F1E3F"/>
    <w:rsid w:val="0092522A"/>
    <w:rsid w:val="00947D97"/>
    <w:rsid w:val="00951B78"/>
    <w:rsid w:val="009531C9"/>
    <w:rsid w:val="00965368"/>
    <w:rsid w:val="0099259E"/>
    <w:rsid w:val="00993932"/>
    <w:rsid w:val="009B76D0"/>
    <w:rsid w:val="009D2DF1"/>
    <w:rsid w:val="009D6DE4"/>
    <w:rsid w:val="009F4C67"/>
    <w:rsid w:val="00A04C28"/>
    <w:rsid w:val="00A07A62"/>
    <w:rsid w:val="00A07AC5"/>
    <w:rsid w:val="00A07CE1"/>
    <w:rsid w:val="00A219DA"/>
    <w:rsid w:val="00A25C65"/>
    <w:rsid w:val="00A30410"/>
    <w:rsid w:val="00A51CFF"/>
    <w:rsid w:val="00A57325"/>
    <w:rsid w:val="00A71E6E"/>
    <w:rsid w:val="00A74477"/>
    <w:rsid w:val="00A744FA"/>
    <w:rsid w:val="00A834FB"/>
    <w:rsid w:val="00A85B19"/>
    <w:rsid w:val="00AA2258"/>
    <w:rsid w:val="00AC109C"/>
    <w:rsid w:val="00AD6D19"/>
    <w:rsid w:val="00AE2B6B"/>
    <w:rsid w:val="00B4096B"/>
    <w:rsid w:val="00B856CB"/>
    <w:rsid w:val="00B9517D"/>
    <w:rsid w:val="00BB5519"/>
    <w:rsid w:val="00BE0B3D"/>
    <w:rsid w:val="00BE36DC"/>
    <w:rsid w:val="00BE6888"/>
    <w:rsid w:val="00BF0B0B"/>
    <w:rsid w:val="00BF626A"/>
    <w:rsid w:val="00C02DFD"/>
    <w:rsid w:val="00C03569"/>
    <w:rsid w:val="00C36B81"/>
    <w:rsid w:val="00C37F63"/>
    <w:rsid w:val="00C55CB8"/>
    <w:rsid w:val="00C60FBB"/>
    <w:rsid w:val="00C63B3D"/>
    <w:rsid w:val="00C81458"/>
    <w:rsid w:val="00C90DBC"/>
    <w:rsid w:val="00CA1469"/>
    <w:rsid w:val="00CB0190"/>
    <w:rsid w:val="00CD14AC"/>
    <w:rsid w:val="00CD3BA6"/>
    <w:rsid w:val="00CD511F"/>
    <w:rsid w:val="00CD793A"/>
    <w:rsid w:val="00CE0D81"/>
    <w:rsid w:val="00CF50E1"/>
    <w:rsid w:val="00CF6D61"/>
    <w:rsid w:val="00D046A4"/>
    <w:rsid w:val="00D149D4"/>
    <w:rsid w:val="00D44D41"/>
    <w:rsid w:val="00D71A81"/>
    <w:rsid w:val="00DA1F3F"/>
    <w:rsid w:val="00DA30CA"/>
    <w:rsid w:val="00DA5826"/>
    <w:rsid w:val="00DA6A15"/>
    <w:rsid w:val="00DC19B7"/>
    <w:rsid w:val="00DD3DEE"/>
    <w:rsid w:val="00DE1DAD"/>
    <w:rsid w:val="00DE2D10"/>
    <w:rsid w:val="00DE736A"/>
    <w:rsid w:val="00E23960"/>
    <w:rsid w:val="00E246BF"/>
    <w:rsid w:val="00E255F5"/>
    <w:rsid w:val="00E435BE"/>
    <w:rsid w:val="00E505E8"/>
    <w:rsid w:val="00E544B0"/>
    <w:rsid w:val="00E547FE"/>
    <w:rsid w:val="00E81D07"/>
    <w:rsid w:val="00E847D3"/>
    <w:rsid w:val="00E97B61"/>
    <w:rsid w:val="00EB0295"/>
    <w:rsid w:val="00EB2674"/>
    <w:rsid w:val="00EB7B0C"/>
    <w:rsid w:val="00EB7E41"/>
    <w:rsid w:val="00EC5751"/>
    <w:rsid w:val="00EE5CC7"/>
    <w:rsid w:val="00EE709C"/>
    <w:rsid w:val="00EF0176"/>
    <w:rsid w:val="00EF2152"/>
    <w:rsid w:val="00F2531A"/>
    <w:rsid w:val="00F33759"/>
    <w:rsid w:val="00F3410D"/>
    <w:rsid w:val="00F352FC"/>
    <w:rsid w:val="00F70FE1"/>
    <w:rsid w:val="00F7491D"/>
    <w:rsid w:val="00FA1DC3"/>
    <w:rsid w:val="00FC4500"/>
    <w:rsid w:val="00FC5972"/>
    <w:rsid w:val="00FE3057"/>
    <w:rsid w:val="01213BA3"/>
    <w:rsid w:val="02C80D67"/>
    <w:rsid w:val="06511431"/>
    <w:rsid w:val="06995A09"/>
    <w:rsid w:val="0BFF0367"/>
    <w:rsid w:val="0ED204A0"/>
    <w:rsid w:val="15545754"/>
    <w:rsid w:val="193B357F"/>
    <w:rsid w:val="1F9A42D4"/>
    <w:rsid w:val="26256F50"/>
    <w:rsid w:val="2C2D6584"/>
    <w:rsid w:val="2DDC3E43"/>
    <w:rsid w:val="30404353"/>
    <w:rsid w:val="382A73EB"/>
    <w:rsid w:val="390B374D"/>
    <w:rsid w:val="40D13493"/>
    <w:rsid w:val="45156BB8"/>
    <w:rsid w:val="50742A3D"/>
    <w:rsid w:val="56E15F0E"/>
    <w:rsid w:val="5FF50BE6"/>
    <w:rsid w:val="66D96EAD"/>
    <w:rsid w:val="67CF5787"/>
    <w:rsid w:val="68C63391"/>
    <w:rsid w:val="698C4330"/>
    <w:rsid w:val="6DA92BCE"/>
    <w:rsid w:val="741C1958"/>
    <w:rsid w:val="7FF236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38"/>
    <w:qFormat/>
    <w:uiPriority w:val="0"/>
    <w:pPr>
      <w:keepNext/>
      <w:keepLines/>
      <w:spacing w:before="120" w:after="120" w:line="360" w:lineRule="auto"/>
      <w:outlineLvl w:val="0"/>
    </w:pPr>
    <w:rPr>
      <w:rFonts w:ascii="宋体"/>
      <w:b/>
      <w:color w:val="000000"/>
      <w:kern w:val="0"/>
      <w:sz w:val="24"/>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qFormat/>
    <w:uiPriority w:val="0"/>
    <w:pPr>
      <w:keepNext/>
      <w:keepLines/>
      <w:spacing w:before="260" w:after="260" w:line="413" w:lineRule="auto"/>
      <w:outlineLvl w:val="2"/>
    </w:pPr>
    <w:rPr>
      <w:b/>
      <w:sz w:val="32"/>
    </w:rPr>
  </w:style>
  <w:style w:type="character" w:default="1" w:styleId="21">
    <w:name w:val="Default Paragraph Font"/>
    <w:semiHidden/>
    <w:unhideWhenUsed/>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firstLineChars="200"/>
    </w:pPr>
  </w:style>
  <w:style w:type="paragraph" w:styleId="6">
    <w:name w:val="Document Map"/>
    <w:basedOn w:val="1"/>
    <w:qFormat/>
    <w:uiPriority w:val="0"/>
    <w:pPr>
      <w:shd w:val="clear" w:color="auto" w:fill="000080"/>
    </w:pPr>
  </w:style>
  <w:style w:type="paragraph" w:styleId="7">
    <w:name w:val="annotation text"/>
    <w:basedOn w:val="1"/>
    <w:link w:val="43"/>
    <w:qFormat/>
    <w:uiPriority w:val="0"/>
    <w:pPr>
      <w:jc w:val="left"/>
    </w:pPr>
  </w:style>
  <w:style w:type="paragraph" w:styleId="8">
    <w:name w:val="Body Text"/>
    <w:basedOn w:val="1"/>
    <w:link w:val="41"/>
    <w:qFormat/>
    <w:uiPriority w:val="0"/>
    <w:pPr>
      <w:autoSpaceDE w:val="0"/>
      <w:autoSpaceDN w:val="0"/>
      <w:adjustRightInd w:val="0"/>
      <w:spacing w:line="360" w:lineRule="auto"/>
      <w:jc w:val="left"/>
    </w:pPr>
    <w:rPr>
      <w:rFonts w:ascii="宋体"/>
      <w:kern w:val="0"/>
    </w:rPr>
  </w:style>
  <w:style w:type="paragraph" w:styleId="9">
    <w:name w:val="toc 3"/>
    <w:basedOn w:val="1"/>
    <w:next w:val="1"/>
    <w:qFormat/>
    <w:uiPriority w:val="0"/>
    <w:pPr>
      <w:ind w:left="840" w:leftChars="400"/>
    </w:pPr>
  </w:style>
  <w:style w:type="paragraph" w:styleId="10">
    <w:name w:val="Plain Text"/>
    <w:basedOn w:val="1"/>
    <w:qFormat/>
    <w:uiPriority w:val="0"/>
    <w:pPr>
      <w:adjustRightInd w:val="0"/>
      <w:spacing w:line="312" w:lineRule="atLeast"/>
      <w:textAlignment w:val="baseline"/>
    </w:pPr>
    <w:rPr>
      <w:rFonts w:ascii="宋体" w:hAnsi="Courier New"/>
      <w:kern w:val="0"/>
    </w:rPr>
  </w:style>
  <w:style w:type="paragraph" w:styleId="11">
    <w:name w:val="Body Text Indent 2"/>
    <w:basedOn w:val="1"/>
    <w:qFormat/>
    <w:uiPriority w:val="0"/>
    <w:pPr>
      <w:spacing w:line="360" w:lineRule="auto"/>
      <w:ind w:firstLine="425"/>
    </w:pPr>
    <w:rPr>
      <w:rFonts w:ascii="仿宋_GB2312" w:eastAsia="仿宋_GB2312"/>
      <w:sz w:val="28"/>
    </w:rPr>
  </w:style>
  <w:style w:type="paragraph" w:styleId="12">
    <w:name w:val="Balloon Text"/>
    <w:basedOn w:val="1"/>
    <w:qFormat/>
    <w:uiPriority w:val="0"/>
    <w:rPr>
      <w:sz w:val="18"/>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link w:val="39"/>
    <w:qFormat/>
    <w:uiPriority w:val="0"/>
    <w:pPr>
      <w:pBdr>
        <w:bottom w:val="single" w:color="auto" w:sz="6" w:space="1"/>
      </w:pBdr>
      <w:tabs>
        <w:tab w:val="center" w:pos="4153"/>
        <w:tab w:val="right" w:pos="8306"/>
      </w:tabs>
      <w:snapToGrid w:val="0"/>
      <w:jc w:val="center"/>
    </w:pPr>
    <w:rPr>
      <w:sz w:val="18"/>
    </w:rPr>
  </w:style>
  <w:style w:type="paragraph" w:styleId="15">
    <w:name w:val="toc 1"/>
    <w:basedOn w:val="1"/>
    <w:next w:val="1"/>
    <w:qFormat/>
    <w:uiPriority w:val="39"/>
    <w:pPr>
      <w:tabs>
        <w:tab w:val="right" w:leader="dot" w:pos="8296"/>
      </w:tabs>
      <w:spacing w:line="360" w:lineRule="auto"/>
    </w:pPr>
  </w:style>
  <w:style w:type="paragraph" w:styleId="16">
    <w:name w:val="footnote text"/>
    <w:basedOn w:val="1"/>
    <w:qFormat/>
    <w:uiPriority w:val="0"/>
    <w:pPr>
      <w:snapToGrid w:val="0"/>
      <w:jc w:val="left"/>
    </w:pPr>
    <w:rPr>
      <w:sz w:val="18"/>
    </w:rPr>
  </w:style>
  <w:style w:type="paragraph" w:styleId="17">
    <w:name w:val="Body Text Indent 3"/>
    <w:basedOn w:val="1"/>
    <w:qFormat/>
    <w:uiPriority w:val="0"/>
    <w:pPr>
      <w:autoSpaceDE w:val="0"/>
      <w:autoSpaceDN w:val="0"/>
      <w:adjustRightInd w:val="0"/>
      <w:spacing w:line="360" w:lineRule="auto"/>
      <w:ind w:left="420" w:firstLine="435"/>
    </w:pPr>
    <w:rPr>
      <w:color w:val="0000FF"/>
    </w:rPr>
  </w:style>
  <w:style w:type="paragraph" w:styleId="18">
    <w:name w:val="Title"/>
    <w:basedOn w:val="1"/>
    <w:next w:val="1"/>
    <w:link w:val="40"/>
    <w:qFormat/>
    <w:uiPriority w:val="0"/>
    <w:pPr>
      <w:spacing w:before="240" w:after="60"/>
      <w:jc w:val="center"/>
      <w:outlineLvl w:val="0"/>
    </w:pPr>
    <w:rPr>
      <w:rFonts w:ascii="Cambria" w:hAnsi="Cambria"/>
      <w:b/>
      <w:sz w:val="32"/>
    </w:rPr>
  </w:style>
  <w:style w:type="paragraph" w:styleId="19">
    <w:name w:val="annotation subject"/>
    <w:basedOn w:val="7"/>
    <w:next w:val="7"/>
    <w:qFormat/>
    <w:uiPriority w:val="0"/>
    <w:rPr>
      <w:b/>
    </w:rPr>
  </w:style>
  <w:style w:type="character" w:styleId="22">
    <w:name w:val="page number"/>
    <w:basedOn w:val="21"/>
    <w:qFormat/>
    <w:uiPriority w:val="0"/>
  </w:style>
  <w:style w:type="character" w:styleId="23">
    <w:name w:val="Hyperlink"/>
    <w:qFormat/>
    <w:uiPriority w:val="99"/>
    <w:rPr>
      <w:color w:val="0000FF"/>
      <w:u w:val="single"/>
    </w:rPr>
  </w:style>
  <w:style w:type="character" w:styleId="24">
    <w:name w:val="annotation reference"/>
    <w:qFormat/>
    <w:uiPriority w:val="0"/>
    <w:rPr>
      <w:sz w:val="21"/>
    </w:rPr>
  </w:style>
  <w:style w:type="character" w:styleId="25">
    <w:name w:val="footnote reference"/>
    <w:qFormat/>
    <w:uiPriority w:val="0"/>
    <w:rPr>
      <w:vertAlign w:val="superscript"/>
    </w:rPr>
  </w:style>
  <w:style w:type="paragraph" w:customStyle="1" w:styleId="26">
    <w:name w:val="Char Char1"/>
    <w:basedOn w:val="1"/>
    <w:qFormat/>
    <w:uiPriority w:val="0"/>
  </w:style>
  <w:style w:type="paragraph" w:customStyle="1" w:styleId="27">
    <w:name w:val="msonormal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8">
    <w:name w:val="正文所"/>
    <w:basedOn w:val="1"/>
    <w:qFormat/>
    <w:uiPriority w:val="0"/>
    <w:pPr>
      <w:spacing w:line="360" w:lineRule="auto"/>
      <w:ind w:firstLine="420" w:firstLineChars="200"/>
    </w:pPr>
    <w:rPr>
      <w:rFonts w:ascii="宋体"/>
    </w:rPr>
  </w:style>
  <w:style w:type="paragraph" w:customStyle="1" w:styleId="29">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30">
    <w:name w:val="_Style 29"/>
    <w:semiHidden/>
    <w:qFormat/>
    <w:uiPriority w:val="99"/>
    <w:rPr>
      <w:rFonts w:ascii="Times New Roman" w:hAnsi="Times New Roman" w:eastAsia="宋体" w:cs="Times New Roman"/>
      <w:kern w:val="2"/>
      <w:sz w:val="21"/>
      <w:lang w:val="en-US" w:eastAsia="zh-CN" w:bidi="ar-SA"/>
    </w:rPr>
  </w:style>
  <w:style w:type="paragraph" w:customStyle="1" w:styleId="31">
    <w:name w:val="unnamed1"/>
    <w:basedOn w:val="1"/>
    <w:qFormat/>
    <w:uiPriority w:val="0"/>
    <w:pPr>
      <w:spacing w:before="60" w:after="60"/>
      <w:ind w:left="15" w:right="15"/>
    </w:pPr>
    <w:rPr>
      <w:rFonts w:hint="eastAsia" w:ascii="宋体" w:hAnsi="宋体"/>
      <w:color w:val="000000"/>
      <w:sz w:val="18"/>
      <w:szCs w:val="18"/>
    </w:rPr>
  </w:style>
  <w:style w:type="paragraph" w:customStyle="1" w:styleId="32">
    <w:name w:val="List_bullet"/>
    <w:basedOn w:val="1"/>
    <w:qFormat/>
    <w:uiPriority w:val="0"/>
    <w:pPr>
      <w:widowControl/>
      <w:numPr>
        <w:ilvl w:val="0"/>
        <w:numId w:val="1"/>
      </w:numPr>
      <w:jc w:val="left"/>
    </w:pPr>
    <w:rPr>
      <w:kern w:val="0"/>
      <w:sz w:val="24"/>
    </w:rPr>
  </w:style>
  <w:style w:type="paragraph" w:customStyle="1" w:styleId="33">
    <w:name w:val="Char"/>
    <w:basedOn w:val="1"/>
    <w:qFormat/>
    <w:uiPriority w:val="0"/>
  </w:style>
  <w:style w:type="paragraph" w:customStyle="1" w:styleId="34">
    <w:name w:val="Char Char Char Char"/>
    <w:basedOn w:val="1"/>
    <w:qFormat/>
    <w:uiPriority w:val="0"/>
    <w:pPr>
      <w:tabs>
        <w:tab w:val="left" w:pos="360"/>
      </w:tabs>
    </w:pPr>
  </w:style>
  <w:style w:type="paragraph" w:customStyle="1" w:styleId="35">
    <w:name w:val="正文正文"/>
    <w:basedOn w:val="1"/>
    <w:qFormat/>
    <w:uiPriority w:val="0"/>
    <w:pPr>
      <w:spacing w:after="78" w:afterLines="25" w:line="360" w:lineRule="auto"/>
      <w:ind w:firstLine="200" w:firstLineChars="200"/>
    </w:pPr>
    <w:rPr>
      <w:sz w:val="24"/>
    </w:rPr>
  </w:style>
  <w:style w:type="paragraph" w:customStyle="1" w:styleId="36">
    <w:name w:val="InfoBlue"/>
    <w:basedOn w:val="1"/>
    <w:next w:val="8"/>
    <w:qFormat/>
    <w:uiPriority w:val="0"/>
    <w:pPr>
      <w:tabs>
        <w:tab w:val="left" w:pos="420"/>
      </w:tabs>
      <w:spacing w:after="120" w:line="240" w:lineRule="atLeast"/>
      <w:ind w:left="420" w:hanging="420"/>
      <w:jc w:val="left"/>
    </w:pPr>
    <w:rPr>
      <w:rFonts w:ascii="宋体" w:hAnsi="宋体"/>
    </w:rPr>
  </w:style>
  <w:style w:type="paragraph" w:customStyle="1" w:styleId="37">
    <w:name w:val="Char1"/>
    <w:basedOn w:val="1"/>
    <w:qFormat/>
    <w:uiPriority w:val="0"/>
  </w:style>
  <w:style w:type="character" w:customStyle="1" w:styleId="38">
    <w:name w:val="标题 1 Char"/>
    <w:link w:val="2"/>
    <w:qFormat/>
    <w:uiPriority w:val="0"/>
    <w:rPr>
      <w:rFonts w:ascii="宋体"/>
      <w:b/>
      <w:color w:val="000000"/>
      <w:sz w:val="24"/>
    </w:rPr>
  </w:style>
  <w:style w:type="character" w:customStyle="1" w:styleId="39">
    <w:name w:val="页眉 Char"/>
    <w:link w:val="14"/>
    <w:qFormat/>
    <w:uiPriority w:val="0"/>
    <w:rPr>
      <w:rFonts w:eastAsia="宋体"/>
      <w:kern w:val="2"/>
      <w:sz w:val="18"/>
      <w:lang w:val="en-US" w:eastAsia="zh-CN"/>
    </w:rPr>
  </w:style>
  <w:style w:type="character" w:customStyle="1" w:styleId="40">
    <w:name w:val="标题 Char"/>
    <w:link w:val="18"/>
    <w:qFormat/>
    <w:uiPriority w:val="0"/>
    <w:rPr>
      <w:rFonts w:ascii="Cambria" w:hAnsi="Cambria"/>
      <w:b/>
      <w:kern w:val="2"/>
      <w:sz w:val="32"/>
    </w:rPr>
  </w:style>
  <w:style w:type="character" w:customStyle="1" w:styleId="41">
    <w:name w:val="正文文本 Char"/>
    <w:link w:val="8"/>
    <w:qFormat/>
    <w:uiPriority w:val="0"/>
    <w:rPr>
      <w:rFonts w:ascii="宋体"/>
      <w:kern w:val="0"/>
    </w:rPr>
  </w:style>
  <w:style w:type="character" w:customStyle="1" w:styleId="42">
    <w:name w:val="read"/>
    <w:basedOn w:val="21"/>
    <w:qFormat/>
    <w:uiPriority w:val="0"/>
  </w:style>
  <w:style w:type="character" w:customStyle="1" w:styleId="43">
    <w:name w:val="批注文字 Char"/>
    <w:link w:val="7"/>
    <w:qFormat/>
    <w:uiPriority w:val="0"/>
    <w:rPr>
      <w:kern w:val="2"/>
      <w:sz w:val="21"/>
    </w:rPr>
  </w:style>
  <w:style w:type="character" w:customStyle="1" w:styleId="44">
    <w:name w:val="unnamed11"/>
    <w:qFormat/>
    <w:uiPriority w:val="0"/>
    <w:rPr>
      <w:rFonts w:hint="eastAsia" w:ascii="宋体" w:hAnsi="宋体" w:eastAsia="宋体"/>
      <w:sz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101A9F-90E3-4FB2-A36C-2EE637B67C6C}">
  <ds:schemaRefs/>
</ds:datastoreItem>
</file>

<file path=docProps/app.xml><?xml version="1.0" encoding="utf-8"?>
<Properties xmlns="http://schemas.openxmlformats.org/officeDocument/2006/extended-properties" xmlns:vt="http://schemas.openxmlformats.org/officeDocument/2006/docPropsVTypes">
  <Template>Normal.dotm</Template>
  <Pages>102</Pages>
  <Words>10154</Words>
  <Characters>57879</Characters>
  <Lines>482</Lines>
  <Paragraphs>135</Paragraphs>
  <TotalTime>51</TotalTime>
  <ScaleCrop>false</ScaleCrop>
  <LinksUpToDate>false</LinksUpToDate>
  <CharactersWithSpaces>67898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2021-10-22T07:55:00Z</dcterms:created>
  <dc:creator>LiuYunpeng</dc:creator>
  <cp:lastModifiedBy>LiuYunpeng</cp:lastModifiedBy>
  <dcterms:modified xsi:type="dcterms:W3CDTF">2022-11-09T07:52:27Z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