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sz w:val="48"/>
          <w:szCs w:val="20"/>
        </w:rPr>
      </w:pPr>
      <w:bookmarkStart w:id="75" w:name="_GoBack"/>
      <w:bookmarkEnd w:id="75"/>
    </w:p>
    <w:p>
      <w:pPr>
        <w:adjustRightInd w:val="0"/>
        <w:snapToGrid w:val="0"/>
        <w:spacing w:line="360" w:lineRule="auto"/>
        <w:jc w:val="center"/>
        <w:rPr>
          <w:b/>
          <w:sz w:val="48"/>
          <w:szCs w:val="20"/>
        </w:rPr>
      </w:pPr>
    </w:p>
    <w:p>
      <w:pPr>
        <w:adjustRightInd w:val="0"/>
        <w:snapToGrid w:val="0"/>
        <w:spacing w:line="360" w:lineRule="auto"/>
        <w:jc w:val="center"/>
        <w:rPr>
          <w:b/>
          <w:sz w:val="48"/>
          <w:szCs w:val="20"/>
        </w:rPr>
      </w:pPr>
    </w:p>
    <w:p>
      <w:pPr>
        <w:adjustRightInd w:val="0"/>
        <w:snapToGrid w:val="0"/>
        <w:spacing w:line="360" w:lineRule="auto"/>
        <w:jc w:val="center"/>
        <w:rPr>
          <w:b/>
          <w:sz w:val="48"/>
          <w:szCs w:val="20"/>
        </w:rPr>
      </w:pPr>
    </w:p>
    <w:p>
      <w:pPr>
        <w:adjustRightInd w:val="0"/>
        <w:snapToGrid w:val="0"/>
        <w:spacing w:line="360" w:lineRule="auto"/>
        <w:jc w:val="center"/>
        <w:rPr>
          <w:b/>
          <w:sz w:val="48"/>
          <w:szCs w:val="20"/>
        </w:rPr>
      </w:pPr>
    </w:p>
    <w:p>
      <w:pPr>
        <w:adjustRightInd w:val="0"/>
        <w:snapToGrid w:val="0"/>
        <w:spacing w:line="360" w:lineRule="auto"/>
        <w:jc w:val="center"/>
        <w:rPr>
          <w:b/>
          <w:color w:val="000000" w:themeColor="text1"/>
          <w:sz w:val="48"/>
          <w:szCs w:val="20"/>
          <w14:textFill>
            <w14:solidFill>
              <w14:schemeClr w14:val="tx1"/>
            </w14:solidFill>
          </w14:textFill>
        </w:rPr>
      </w:pPr>
      <w:r>
        <w:rPr>
          <w:rFonts w:hint="eastAsia"/>
          <w:b/>
          <w:color w:val="000000" w:themeColor="text1"/>
          <w:sz w:val="48"/>
          <w:szCs w:val="20"/>
          <w:lang w:eastAsia="zh-CN"/>
          <w14:textFill>
            <w14:solidFill>
              <w14:schemeClr w14:val="tx1"/>
            </w14:solidFill>
          </w14:textFill>
        </w:rPr>
        <w:t>国新国证</w:t>
      </w:r>
      <w:r>
        <w:rPr>
          <w:rFonts w:hint="eastAsia"/>
          <w:b/>
          <w:color w:val="000000" w:themeColor="text1"/>
          <w:sz w:val="48"/>
          <w:szCs w:val="20"/>
          <w14:textFill>
            <w14:solidFill>
              <w14:schemeClr w14:val="tx1"/>
            </w14:solidFill>
          </w14:textFill>
        </w:rPr>
        <w:t>鑫裕央企债六个月定期开放债券型证券投资基金托管协议</w:t>
      </w:r>
    </w:p>
    <w:p>
      <w:pPr>
        <w:adjustRightInd w:val="0"/>
        <w:snapToGrid w:val="0"/>
        <w:spacing w:line="360" w:lineRule="auto"/>
        <w:jc w:val="center"/>
        <w:rPr>
          <w:b/>
          <w:color w:val="000000" w:themeColor="text1"/>
          <w:sz w:val="48"/>
          <w:szCs w:val="20"/>
          <w14:textFill>
            <w14:solidFill>
              <w14:schemeClr w14:val="tx1"/>
            </w14:solidFill>
          </w14:textFill>
        </w:rPr>
      </w:pPr>
    </w:p>
    <w:p>
      <w:pPr>
        <w:adjustRightInd w:val="0"/>
        <w:snapToGrid w:val="0"/>
        <w:spacing w:line="360" w:lineRule="auto"/>
        <w:jc w:val="center"/>
        <w:rPr>
          <w:b/>
          <w:color w:val="000000" w:themeColor="text1"/>
          <w:sz w:val="48"/>
          <w:szCs w:val="20"/>
          <w14:textFill>
            <w14:solidFill>
              <w14:schemeClr w14:val="tx1"/>
            </w14:solidFill>
          </w14:textFill>
        </w:rPr>
      </w:pPr>
    </w:p>
    <w:p>
      <w:pPr>
        <w:adjustRightInd w:val="0"/>
        <w:snapToGrid w:val="0"/>
        <w:spacing w:line="360" w:lineRule="auto"/>
        <w:jc w:val="center"/>
        <w:rPr>
          <w:b/>
          <w:color w:val="000000" w:themeColor="text1"/>
          <w:sz w:val="48"/>
          <w:szCs w:val="20"/>
          <w14:textFill>
            <w14:solidFill>
              <w14:schemeClr w14:val="tx1"/>
            </w14:solidFill>
          </w14:textFill>
        </w:rPr>
      </w:pPr>
    </w:p>
    <w:p>
      <w:pPr>
        <w:adjustRightInd w:val="0"/>
        <w:snapToGrid w:val="0"/>
        <w:spacing w:line="360" w:lineRule="auto"/>
        <w:jc w:val="center"/>
        <w:rPr>
          <w:b/>
          <w:color w:val="000000" w:themeColor="text1"/>
          <w:sz w:val="48"/>
          <w:szCs w:val="20"/>
          <w14:textFill>
            <w14:solidFill>
              <w14:schemeClr w14:val="tx1"/>
            </w14:solidFill>
          </w14:textFill>
        </w:rPr>
      </w:pPr>
    </w:p>
    <w:p>
      <w:pPr>
        <w:adjustRightInd w:val="0"/>
        <w:snapToGrid w:val="0"/>
        <w:spacing w:line="360" w:lineRule="auto"/>
        <w:ind w:firstLine="723" w:firstLineChars="200"/>
        <w:jc w:val="left"/>
        <w:rPr>
          <w:b/>
          <w:color w:val="000000" w:themeColor="text1"/>
          <w:sz w:val="36"/>
          <w:szCs w:val="20"/>
          <w14:textFill>
            <w14:solidFill>
              <w14:schemeClr w14:val="tx1"/>
            </w14:solidFill>
          </w14:textFill>
        </w:rPr>
      </w:pPr>
      <w:bookmarkStart w:id="0" w:name="_Toc382818591"/>
      <w:bookmarkStart w:id="1" w:name="_Toc382819065"/>
      <w:r>
        <w:rPr>
          <w:rFonts w:hint="eastAsia"/>
          <w:b/>
          <w:color w:val="000000" w:themeColor="text1"/>
          <w:sz w:val="36"/>
          <w:szCs w:val="20"/>
          <w14:textFill>
            <w14:solidFill>
              <w14:schemeClr w14:val="tx1"/>
            </w14:solidFill>
          </w14:textFill>
        </w:rPr>
        <w:t>基金管理人：</w:t>
      </w:r>
      <w:bookmarkEnd w:id="0"/>
      <w:bookmarkEnd w:id="1"/>
      <w:r>
        <w:rPr>
          <w:rFonts w:hint="eastAsia"/>
          <w:b/>
          <w:color w:val="000000" w:themeColor="text1"/>
          <w:sz w:val="36"/>
          <w:szCs w:val="20"/>
          <w:lang w:eastAsia="zh-CN"/>
          <w14:textFill>
            <w14:solidFill>
              <w14:schemeClr w14:val="tx1"/>
            </w14:solidFill>
          </w14:textFill>
        </w:rPr>
        <w:t>国新国证</w:t>
      </w:r>
      <w:r>
        <w:rPr>
          <w:rFonts w:hint="eastAsia"/>
          <w:b/>
          <w:color w:val="000000" w:themeColor="text1"/>
          <w:sz w:val="36"/>
          <w:szCs w:val="20"/>
          <w14:textFill>
            <w14:solidFill>
              <w14:schemeClr w14:val="tx1"/>
            </w14:solidFill>
          </w14:textFill>
        </w:rPr>
        <w:t>基金管理有限公司</w:t>
      </w:r>
    </w:p>
    <w:p>
      <w:pPr>
        <w:adjustRightInd w:val="0"/>
        <w:snapToGrid w:val="0"/>
        <w:spacing w:line="360" w:lineRule="auto"/>
        <w:ind w:firstLine="723" w:firstLineChars="200"/>
        <w:jc w:val="left"/>
        <w:rPr>
          <w:b/>
          <w:color w:val="000000" w:themeColor="text1"/>
          <w:sz w:val="36"/>
          <w:szCs w:val="20"/>
          <w14:textFill>
            <w14:solidFill>
              <w14:schemeClr w14:val="tx1"/>
            </w14:solidFill>
          </w14:textFill>
        </w:rPr>
      </w:pPr>
      <w:bookmarkStart w:id="2" w:name="_Toc382819066"/>
      <w:bookmarkStart w:id="3" w:name="_Toc382818592"/>
      <w:r>
        <w:rPr>
          <w:rFonts w:hint="eastAsia"/>
          <w:b/>
          <w:color w:val="000000" w:themeColor="text1"/>
          <w:sz w:val="36"/>
          <w:szCs w:val="20"/>
          <w14:textFill>
            <w14:solidFill>
              <w14:schemeClr w14:val="tx1"/>
            </w14:solidFill>
          </w14:textFill>
        </w:rPr>
        <w:t>基金托管人：上海浦东发展银行股份有限公</w:t>
      </w:r>
      <w:bookmarkEnd w:id="2"/>
      <w:bookmarkEnd w:id="3"/>
      <w:r>
        <w:rPr>
          <w:rFonts w:hint="eastAsia"/>
          <w:b/>
          <w:color w:val="000000" w:themeColor="text1"/>
          <w:sz w:val="36"/>
          <w:szCs w:val="20"/>
          <w14:textFill>
            <w14:solidFill>
              <w14:schemeClr w14:val="tx1"/>
            </w14:solidFill>
          </w14:textFill>
        </w:rPr>
        <w:t>司</w:t>
      </w:r>
    </w:p>
    <w:p>
      <w:pPr>
        <w:adjustRightInd w:val="0"/>
        <w:snapToGrid w:val="0"/>
        <w:spacing w:line="360" w:lineRule="auto"/>
        <w:ind w:firstLine="723" w:firstLineChars="200"/>
        <w:jc w:val="left"/>
        <w:rPr>
          <w:b/>
          <w:color w:val="000000" w:themeColor="text1"/>
          <w:sz w:val="36"/>
          <w:szCs w:val="20"/>
          <w14:textFill>
            <w14:solidFill>
              <w14:schemeClr w14:val="tx1"/>
            </w14:solidFill>
          </w14:textFill>
        </w:rPr>
      </w:pPr>
    </w:p>
    <w:p>
      <w:pPr>
        <w:adjustRightInd w:val="0"/>
        <w:snapToGrid w:val="0"/>
        <w:spacing w:line="360" w:lineRule="auto"/>
        <w:ind w:firstLine="723" w:firstLineChars="200"/>
        <w:jc w:val="left"/>
        <w:rPr>
          <w:b/>
          <w:color w:val="000000" w:themeColor="text1"/>
          <w:sz w:val="36"/>
          <w:szCs w:val="20"/>
          <w14:textFill>
            <w14:solidFill>
              <w14:schemeClr w14:val="tx1"/>
            </w14:solidFill>
          </w14:textFill>
        </w:rPr>
      </w:pPr>
    </w:p>
    <w:p>
      <w:pPr>
        <w:jc w:val="center"/>
        <w:rPr>
          <w:rFonts w:ascii="宋体"/>
          <w:b/>
          <w:bCs/>
          <w:color w:val="000000" w:themeColor="text1"/>
          <w:sz w:val="30"/>
          <w:szCs w:val="20"/>
          <w14:textFill>
            <w14:solidFill>
              <w14:schemeClr w14:val="tx1"/>
            </w14:solidFill>
          </w14:textFill>
        </w:rPr>
      </w:pPr>
      <w:bookmarkStart w:id="4" w:name="_Toc382819067"/>
      <w:bookmarkStart w:id="5" w:name="_Toc382818593"/>
      <w:r>
        <w:rPr>
          <w:rFonts w:hint="eastAsia" w:ascii="宋体"/>
          <w:b/>
          <w:bCs/>
          <w:color w:val="000000" w:themeColor="text1"/>
          <w:sz w:val="30"/>
          <w:szCs w:val="20"/>
          <w14:textFill>
            <w14:solidFill>
              <w14:schemeClr w14:val="tx1"/>
            </w14:solidFill>
          </w14:textFill>
        </w:rPr>
        <w:t>二〇二二年</w:t>
      </w:r>
      <w:r>
        <w:rPr>
          <w:rFonts w:hint="eastAsia" w:ascii="宋体"/>
          <w:b/>
          <w:bCs/>
          <w:color w:val="000000" w:themeColor="text1"/>
          <w:sz w:val="30"/>
          <w:szCs w:val="20"/>
          <w:lang w:val="en-US" w:eastAsia="zh-CN"/>
          <w14:textFill>
            <w14:solidFill>
              <w14:schemeClr w14:val="tx1"/>
            </w14:solidFill>
          </w14:textFill>
        </w:rPr>
        <w:t>十一</w:t>
      </w:r>
      <w:r>
        <w:rPr>
          <w:rFonts w:hint="eastAsia" w:ascii="宋体"/>
          <w:b/>
          <w:bCs/>
          <w:color w:val="000000" w:themeColor="text1"/>
          <w:sz w:val="30"/>
          <w:szCs w:val="20"/>
          <w14:textFill>
            <w14:solidFill>
              <w14:schemeClr w14:val="tx1"/>
            </w14:solidFill>
          </w14:textFill>
        </w:rPr>
        <w:t>月</w:t>
      </w:r>
    </w:p>
    <w:p>
      <w:pPr>
        <w:jc w:val="center"/>
        <w:rPr>
          <w:rFonts w:ascii="宋体"/>
          <w:b/>
          <w:bCs/>
          <w:color w:val="000000" w:themeColor="text1"/>
          <w:sz w:val="30"/>
          <w14:textFill>
            <w14:solidFill>
              <w14:schemeClr w14:val="tx1"/>
            </w14:solidFill>
          </w14:textFill>
        </w:rPr>
      </w:pPr>
    </w:p>
    <w:p>
      <w:pPr>
        <w:jc w:val="center"/>
        <w:rPr>
          <w:bCs/>
          <w:color w:val="000000" w:themeColor="text1"/>
          <w:sz w:val="28"/>
          <w14:textFill>
            <w14:solidFill>
              <w14:schemeClr w14:val="tx1"/>
            </w14:solidFill>
          </w14:textFill>
        </w:rPr>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pPr>
    </w:p>
    <w:p>
      <w:pPr>
        <w:spacing w:line="500" w:lineRule="atLeast"/>
        <w:jc w:val="center"/>
        <w:outlineLvl w:val="0"/>
        <w:rPr>
          <w:rFonts w:ascii="宋体" w:hAnsi="宋体"/>
          <w:b/>
          <w:color w:val="000000" w:themeColor="text1"/>
          <w:sz w:val="36"/>
          <w:szCs w:val="28"/>
          <w14:textFill>
            <w14:solidFill>
              <w14:schemeClr w14:val="tx1"/>
            </w14:solidFill>
          </w14:textFill>
        </w:rPr>
      </w:pPr>
      <w:r>
        <w:rPr>
          <w:rFonts w:hint="eastAsia" w:ascii="宋体" w:hAnsi="宋体"/>
          <w:b/>
          <w:color w:val="000000" w:themeColor="text1"/>
          <w:sz w:val="32"/>
          <w:szCs w:val="28"/>
          <w14:textFill>
            <w14:solidFill>
              <w14:schemeClr w14:val="tx1"/>
            </w14:solidFill>
          </w14:textFill>
        </w:rPr>
        <w:t>目  录</w:t>
      </w:r>
      <w:bookmarkEnd w:id="4"/>
      <w:bookmarkEnd w:id="5"/>
    </w:p>
    <w:p>
      <w:pPr>
        <w:pStyle w:val="16"/>
        <w:tabs>
          <w:tab w:val="left" w:pos="440"/>
          <w:tab w:val="right" w:leader="dot" w:pos="8296"/>
        </w:tabs>
        <w:spacing w:line="360" w:lineRule="auto"/>
        <w:rPr>
          <w:rFonts w:ascii="Calibri" w:hAnsi="Calibri"/>
          <w:color w:val="000000" w:themeColor="text1"/>
          <w:sz w:val="24"/>
          <w:szCs w:val="22"/>
          <w14:textFill>
            <w14:solidFill>
              <w14:schemeClr w14:val="tx1"/>
            </w14:solidFill>
          </w14:textFill>
        </w:rPr>
      </w:pPr>
      <w:r>
        <w:rPr>
          <w:rFonts w:ascii="宋体" w:hAnsi="宋体"/>
          <w:color w:val="000000" w:themeColor="text1"/>
          <w:sz w:val="20"/>
          <w:szCs w:val="21"/>
          <w14:textFill>
            <w14:solidFill>
              <w14:schemeClr w14:val="tx1"/>
            </w14:solidFill>
          </w14:textFill>
        </w:rPr>
        <w:fldChar w:fldCharType="begin"/>
      </w:r>
      <w:r>
        <w:rPr>
          <w:rFonts w:ascii="宋体" w:hAnsi="宋体"/>
          <w:color w:val="000000" w:themeColor="text1"/>
          <w:sz w:val="20"/>
          <w:szCs w:val="21"/>
          <w14:textFill>
            <w14:solidFill>
              <w14:schemeClr w14:val="tx1"/>
            </w14:solidFill>
          </w14:textFill>
        </w:rPr>
        <w:instrText xml:space="preserve"> </w:instrText>
      </w:r>
      <w:r>
        <w:rPr>
          <w:rFonts w:hint="eastAsia" w:ascii="宋体" w:hAnsi="宋体"/>
          <w:color w:val="000000" w:themeColor="text1"/>
          <w:sz w:val="20"/>
          <w:szCs w:val="21"/>
          <w14:textFill>
            <w14:solidFill>
              <w14:schemeClr w14:val="tx1"/>
            </w14:solidFill>
          </w14:textFill>
        </w:rPr>
        <w:instrText xml:space="preserve">TOC \o "1-3" \h \z \u</w:instrText>
      </w:r>
      <w:r>
        <w:rPr>
          <w:rFonts w:ascii="宋体" w:hAnsi="宋体"/>
          <w:color w:val="000000" w:themeColor="text1"/>
          <w:sz w:val="20"/>
          <w:szCs w:val="21"/>
          <w14:textFill>
            <w14:solidFill>
              <w14:schemeClr w14:val="tx1"/>
            </w14:solidFill>
          </w14:textFill>
        </w:rPr>
        <w:instrText xml:space="preserve"> </w:instrText>
      </w:r>
      <w:r>
        <w:rPr>
          <w:rFonts w:ascii="宋体" w:hAnsi="宋体"/>
          <w:color w:val="000000" w:themeColor="text1"/>
          <w:sz w:val="20"/>
          <w:szCs w:val="2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"_Toc382819071" </w:instrText>
      </w:r>
      <w:r>
        <w:rPr>
          <w:color w:val="000000" w:themeColor="text1"/>
          <w14:textFill>
            <w14:solidFill>
              <w14:schemeClr w14:val="tx1"/>
            </w14:solidFill>
          </w14:textFill>
        </w:rPr>
        <w:fldChar w:fldCharType="separate"/>
      </w:r>
      <w:r>
        <w:rPr>
          <w:rStyle w:val="23"/>
          <w:rFonts w:hint="eastAsia" w:ascii="宋体" w:hAnsi="宋体" w:cs="Arial"/>
          <w:color w:val="000000" w:themeColor="text1"/>
          <w:sz w:val="24"/>
          <w14:textFill>
            <w14:solidFill>
              <w14:schemeClr w14:val="tx1"/>
            </w14:solidFill>
          </w14:textFill>
        </w:rPr>
        <w:t>一、基金托管协议的依据、目的、原则和解释</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_Toc382819071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2</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16"/>
        <w:tabs>
          <w:tab w:val="right" w:leader="dot" w:pos="8296"/>
        </w:tabs>
        <w:spacing w:line="360" w:lineRule="auto"/>
        <w:rPr>
          <w:rFonts w:ascii="Calibri" w:hAnsi="Calibri"/>
          <w:color w:val="000000" w:themeColor="text1"/>
          <w:sz w:val="24"/>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"_Toc382819072" </w:instrText>
      </w:r>
      <w:r>
        <w:rPr>
          <w:color w:val="000000" w:themeColor="text1"/>
          <w14:textFill>
            <w14:solidFill>
              <w14:schemeClr w14:val="tx1"/>
            </w14:solidFill>
          </w14:textFill>
        </w:rPr>
        <w:fldChar w:fldCharType="separate"/>
      </w:r>
      <w:r>
        <w:rPr>
          <w:rStyle w:val="23"/>
          <w:rFonts w:hint="eastAsia" w:ascii="宋体" w:hAnsi="宋体" w:cs="Arial"/>
          <w:color w:val="000000" w:themeColor="text1"/>
          <w:sz w:val="24"/>
          <w14:textFill>
            <w14:solidFill>
              <w14:schemeClr w14:val="tx1"/>
            </w14:solidFill>
          </w14:textFill>
        </w:rPr>
        <w:t>二、基金托管人对基金管理人的业务监督和核查</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_Toc382819072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3</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16"/>
        <w:tabs>
          <w:tab w:val="right" w:leader="dot" w:pos="8296"/>
        </w:tabs>
        <w:spacing w:line="360" w:lineRule="auto"/>
        <w:rPr>
          <w:rFonts w:ascii="Calibri" w:hAnsi="Calibri"/>
          <w:color w:val="000000" w:themeColor="text1"/>
          <w:sz w:val="24"/>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"_Toc382819076" </w:instrText>
      </w:r>
      <w:r>
        <w:rPr>
          <w:color w:val="000000" w:themeColor="text1"/>
          <w14:textFill>
            <w14:solidFill>
              <w14:schemeClr w14:val="tx1"/>
            </w14:solidFill>
          </w14:textFill>
        </w:rPr>
        <w:fldChar w:fldCharType="separate"/>
      </w:r>
      <w:r>
        <w:rPr>
          <w:rStyle w:val="23"/>
          <w:rFonts w:hint="eastAsia" w:ascii="宋体" w:hAnsi="宋体" w:cs="Arial"/>
          <w:color w:val="000000" w:themeColor="text1"/>
          <w:sz w:val="24"/>
          <w14:textFill>
            <w14:solidFill>
              <w14:schemeClr w14:val="tx1"/>
            </w14:solidFill>
          </w14:textFill>
        </w:rPr>
        <w:t>三、基金管理人对基金托管人的业务核查</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_Toc382819076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8</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16"/>
        <w:tabs>
          <w:tab w:val="right" w:leader="dot" w:pos="8296"/>
        </w:tabs>
        <w:spacing w:line="360" w:lineRule="auto"/>
        <w:rPr>
          <w:rFonts w:ascii="Calibri" w:hAnsi="Calibri"/>
          <w:color w:val="000000" w:themeColor="text1"/>
          <w:sz w:val="24"/>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"_Toc382819078" </w:instrText>
      </w:r>
      <w:r>
        <w:rPr>
          <w:color w:val="000000" w:themeColor="text1"/>
          <w14:textFill>
            <w14:solidFill>
              <w14:schemeClr w14:val="tx1"/>
            </w14:solidFill>
          </w14:textFill>
        </w:rPr>
        <w:fldChar w:fldCharType="separate"/>
      </w:r>
      <w:r>
        <w:rPr>
          <w:rStyle w:val="23"/>
          <w:rFonts w:hint="eastAsia" w:ascii="宋体" w:hAnsi="宋体" w:cs="Arial"/>
          <w:color w:val="000000" w:themeColor="text1"/>
          <w:sz w:val="24"/>
          <w14:textFill>
            <w14:solidFill>
              <w14:schemeClr w14:val="tx1"/>
            </w14:solidFill>
          </w14:textFill>
        </w:rPr>
        <w:t>四、基金财产保管</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_Toc382819078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9</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16"/>
        <w:tabs>
          <w:tab w:val="right" w:leader="dot" w:pos="8296"/>
        </w:tabs>
        <w:spacing w:line="360" w:lineRule="auto"/>
        <w:rPr>
          <w:rFonts w:ascii="Calibri" w:hAnsi="Calibri"/>
          <w:color w:val="000000" w:themeColor="text1"/>
          <w:sz w:val="24"/>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"_Toc382819088" </w:instrText>
      </w:r>
      <w:r>
        <w:rPr>
          <w:color w:val="000000" w:themeColor="text1"/>
          <w14:textFill>
            <w14:solidFill>
              <w14:schemeClr w14:val="tx1"/>
            </w14:solidFill>
          </w14:textFill>
        </w:rPr>
        <w:fldChar w:fldCharType="separate"/>
      </w:r>
      <w:r>
        <w:rPr>
          <w:rStyle w:val="23"/>
          <w:rFonts w:hint="eastAsia" w:ascii="宋体" w:hAnsi="宋体" w:cs="Arial"/>
          <w:color w:val="000000" w:themeColor="text1"/>
          <w:sz w:val="24"/>
          <w14:textFill>
            <w14:solidFill>
              <w14:schemeClr w14:val="tx1"/>
            </w14:solidFill>
          </w14:textFill>
        </w:rPr>
        <w:t>五、指令的发送、确认和执行</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_Toc382819088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13</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16"/>
        <w:tabs>
          <w:tab w:val="right" w:leader="dot" w:pos="8296"/>
        </w:tabs>
        <w:spacing w:line="360" w:lineRule="auto"/>
        <w:rPr>
          <w:rFonts w:ascii="Calibri" w:hAnsi="Calibri"/>
          <w:color w:val="000000" w:themeColor="text1"/>
          <w:sz w:val="24"/>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"_Toc382819097" </w:instrText>
      </w:r>
      <w:r>
        <w:rPr>
          <w:color w:val="000000" w:themeColor="text1"/>
          <w14:textFill>
            <w14:solidFill>
              <w14:schemeClr w14:val="tx1"/>
            </w14:solidFill>
          </w14:textFill>
        </w:rPr>
        <w:fldChar w:fldCharType="separate"/>
      </w:r>
      <w:r>
        <w:rPr>
          <w:rStyle w:val="23"/>
          <w:rFonts w:hint="eastAsia" w:ascii="宋体" w:hAnsi="宋体" w:cs="Arial"/>
          <w:color w:val="000000" w:themeColor="text1"/>
          <w:sz w:val="24"/>
          <w14:textFill>
            <w14:solidFill>
              <w14:schemeClr w14:val="tx1"/>
            </w14:solidFill>
          </w14:textFill>
        </w:rPr>
        <w:t>六、交易及清算交收安排</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_Toc382819097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16</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16"/>
        <w:tabs>
          <w:tab w:val="right" w:leader="dot" w:pos="8296"/>
        </w:tabs>
        <w:spacing w:line="360" w:lineRule="auto"/>
        <w:rPr>
          <w:rFonts w:ascii="Calibri" w:hAnsi="Calibri"/>
          <w:color w:val="000000" w:themeColor="text1"/>
          <w:sz w:val="24"/>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"_Toc382819103" </w:instrText>
      </w:r>
      <w:r>
        <w:rPr>
          <w:color w:val="000000" w:themeColor="text1"/>
          <w14:textFill>
            <w14:solidFill>
              <w14:schemeClr w14:val="tx1"/>
            </w14:solidFill>
          </w14:textFill>
        </w:rPr>
        <w:fldChar w:fldCharType="separate"/>
      </w:r>
      <w:r>
        <w:rPr>
          <w:rStyle w:val="23"/>
          <w:rFonts w:hint="eastAsia" w:ascii="宋体" w:hAnsi="宋体" w:cs="Arial"/>
          <w:color w:val="000000" w:themeColor="text1"/>
          <w:sz w:val="24"/>
          <w14:textFill>
            <w14:solidFill>
              <w14:schemeClr w14:val="tx1"/>
            </w14:solidFill>
          </w14:textFill>
        </w:rPr>
        <w:t>七、基金资产净值计算和会计核算</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_Toc382819103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21</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16"/>
        <w:tabs>
          <w:tab w:val="right" w:leader="dot" w:pos="8296"/>
        </w:tabs>
        <w:spacing w:line="360" w:lineRule="auto"/>
        <w:rPr>
          <w:rFonts w:ascii="Calibri" w:hAnsi="Calibri"/>
          <w:color w:val="000000" w:themeColor="text1"/>
          <w:sz w:val="24"/>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"_Toc382819118" </w:instrText>
      </w:r>
      <w:r>
        <w:rPr>
          <w:color w:val="000000" w:themeColor="text1"/>
          <w14:textFill>
            <w14:solidFill>
              <w14:schemeClr w14:val="tx1"/>
            </w14:solidFill>
          </w14:textFill>
        </w:rPr>
        <w:fldChar w:fldCharType="separate"/>
      </w:r>
      <w:r>
        <w:rPr>
          <w:rStyle w:val="23"/>
          <w:rFonts w:hint="eastAsia" w:ascii="宋体" w:hAnsi="宋体" w:cs="Arial"/>
          <w:color w:val="000000" w:themeColor="text1"/>
          <w:sz w:val="24"/>
          <w14:textFill>
            <w14:solidFill>
              <w14:schemeClr w14:val="tx1"/>
            </w14:solidFill>
          </w14:textFill>
        </w:rPr>
        <w:t>八、基金收益分配</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_Toc382819118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27</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16"/>
        <w:tabs>
          <w:tab w:val="right" w:leader="dot" w:pos="8296"/>
        </w:tabs>
        <w:spacing w:line="360" w:lineRule="auto"/>
        <w:rPr>
          <w:rFonts w:ascii="Calibri" w:hAnsi="Calibri"/>
          <w:color w:val="000000" w:themeColor="text1"/>
          <w:sz w:val="24"/>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"_Toc382819121" </w:instrText>
      </w:r>
      <w:r>
        <w:rPr>
          <w:color w:val="000000" w:themeColor="text1"/>
          <w14:textFill>
            <w14:solidFill>
              <w14:schemeClr w14:val="tx1"/>
            </w14:solidFill>
          </w14:textFill>
        </w:rPr>
        <w:fldChar w:fldCharType="separate"/>
      </w:r>
      <w:r>
        <w:rPr>
          <w:rStyle w:val="23"/>
          <w:rFonts w:hint="eastAsia" w:ascii="宋体" w:hAnsi="宋体" w:cs="Arial"/>
          <w:color w:val="000000" w:themeColor="text1"/>
          <w:sz w:val="24"/>
          <w14:textFill>
            <w14:solidFill>
              <w14:schemeClr w14:val="tx1"/>
            </w14:solidFill>
          </w14:textFill>
        </w:rPr>
        <w:t>九、信息披露</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_Toc382819121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29</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16"/>
        <w:tabs>
          <w:tab w:val="right" w:leader="dot" w:pos="8296"/>
        </w:tabs>
        <w:spacing w:line="360" w:lineRule="auto"/>
        <w:rPr>
          <w:rFonts w:ascii="Calibri" w:hAnsi="Calibri"/>
          <w:color w:val="000000" w:themeColor="text1"/>
          <w:sz w:val="24"/>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"_Toc382819125" </w:instrText>
      </w:r>
      <w:r>
        <w:rPr>
          <w:color w:val="000000" w:themeColor="text1"/>
          <w14:textFill>
            <w14:solidFill>
              <w14:schemeClr w14:val="tx1"/>
            </w14:solidFill>
          </w14:textFill>
        </w:rPr>
        <w:fldChar w:fldCharType="separate"/>
      </w:r>
      <w:r>
        <w:rPr>
          <w:rStyle w:val="23"/>
          <w:rFonts w:hint="eastAsia" w:ascii="宋体" w:hAnsi="宋体" w:cs="Arial"/>
          <w:color w:val="000000" w:themeColor="text1"/>
          <w:sz w:val="24"/>
          <w14:textFill>
            <w14:solidFill>
              <w14:schemeClr w14:val="tx1"/>
            </w14:solidFill>
          </w14:textFill>
        </w:rPr>
        <w:t>十、托管费用</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_Toc382819125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31</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16"/>
        <w:tabs>
          <w:tab w:val="right" w:leader="dot" w:pos="8296"/>
        </w:tabs>
        <w:spacing w:line="360" w:lineRule="auto"/>
        <w:rPr>
          <w:rFonts w:ascii="Calibri" w:hAnsi="Calibri"/>
          <w:color w:val="000000" w:themeColor="text1"/>
          <w:sz w:val="24"/>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"_Toc382819126" </w:instrText>
      </w:r>
      <w:r>
        <w:rPr>
          <w:color w:val="000000" w:themeColor="text1"/>
          <w14:textFill>
            <w14:solidFill>
              <w14:schemeClr w14:val="tx1"/>
            </w14:solidFill>
          </w14:textFill>
        </w:rPr>
        <w:fldChar w:fldCharType="separate"/>
      </w:r>
      <w:r>
        <w:rPr>
          <w:rStyle w:val="23"/>
          <w:rFonts w:hint="eastAsia" w:ascii="宋体" w:hAnsi="宋体" w:cs="Arial"/>
          <w:color w:val="000000" w:themeColor="text1"/>
          <w:sz w:val="24"/>
          <w14:textFill>
            <w14:solidFill>
              <w14:schemeClr w14:val="tx1"/>
            </w14:solidFill>
          </w14:textFill>
        </w:rPr>
        <w:t>十一、基金份额持有人名册的保管</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_Toc382819126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33</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16"/>
        <w:tabs>
          <w:tab w:val="right" w:leader="dot" w:pos="8296"/>
        </w:tabs>
        <w:spacing w:line="360" w:lineRule="auto"/>
        <w:rPr>
          <w:rFonts w:ascii="Calibri" w:hAnsi="Calibri"/>
          <w:color w:val="000000" w:themeColor="text1"/>
          <w:sz w:val="24"/>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"_Toc382819127" </w:instrText>
      </w:r>
      <w:r>
        <w:rPr>
          <w:color w:val="000000" w:themeColor="text1"/>
          <w14:textFill>
            <w14:solidFill>
              <w14:schemeClr w14:val="tx1"/>
            </w14:solidFill>
          </w14:textFill>
        </w:rPr>
        <w:fldChar w:fldCharType="separate"/>
      </w:r>
      <w:r>
        <w:rPr>
          <w:rStyle w:val="23"/>
          <w:rFonts w:hint="eastAsia" w:ascii="宋体" w:hAnsi="宋体" w:cs="Arial"/>
          <w:color w:val="000000" w:themeColor="text1"/>
          <w:sz w:val="24"/>
          <w14:textFill>
            <w14:solidFill>
              <w14:schemeClr w14:val="tx1"/>
            </w14:solidFill>
          </w14:textFill>
        </w:rPr>
        <w:t>十二、基金有关文件和档案的保存</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_Toc382819127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34</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16"/>
        <w:tabs>
          <w:tab w:val="right" w:leader="dot" w:pos="8296"/>
        </w:tabs>
        <w:spacing w:line="360" w:lineRule="auto"/>
        <w:rPr>
          <w:rFonts w:ascii="Calibri" w:hAnsi="Calibri"/>
          <w:color w:val="000000" w:themeColor="text1"/>
          <w:sz w:val="24"/>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"_Toc382819128" </w:instrText>
      </w:r>
      <w:r>
        <w:rPr>
          <w:color w:val="000000" w:themeColor="text1"/>
          <w14:textFill>
            <w14:solidFill>
              <w14:schemeClr w14:val="tx1"/>
            </w14:solidFill>
          </w14:textFill>
        </w:rPr>
        <w:fldChar w:fldCharType="separate"/>
      </w:r>
      <w:r>
        <w:rPr>
          <w:rStyle w:val="23"/>
          <w:rFonts w:hint="eastAsia" w:ascii="宋体" w:hAnsi="宋体" w:cs="Arial"/>
          <w:color w:val="000000" w:themeColor="text1"/>
          <w:sz w:val="24"/>
          <w14:textFill>
            <w14:solidFill>
              <w14:schemeClr w14:val="tx1"/>
            </w14:solidFill>
          </w14:textFill>
        </w:rPr>
        <w:t>十三、基金管理人和基金托管人的更换</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_Toc382819128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35</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16"/>
        <w:tabs>
          <w:tab w:val="right" w:leader="dot" w:pos="8296"/>
        </w:tabs>
        <w:spacing w:line="360" w:lineRule="auto"/>
        <w:rPr>
          <w:rFonts w:ascii="Calibri" w:hAnsi="Calibri"/>
          <w:color w:val="000000" w:themeColor="text1"/>
          <w:sz w:val="24"/>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"_Toc382819131" </w:instrText>
      </w:r>
      <w:r>
        <w:rPr>
          <w:color w:val="000000" w:themeColor="text1"/>
          <w14:textFill>
            <w14:solidFill>
              <w14:schemeClr w14:val="tx1"/>
            </w14:solidFill>
          </w14:textFill>
        </w:rPr>
        <w:fldChar w:fldCharType="separate"/>
      </w:r>
      <w:r>
        <w:rPr>
          <w:rStyle w:val="23"/>
          <w:rFonts w:hint="eastAsia" w:ascii="宋体" w:hAnsi="宋体" w:cs="Arial"/>
          <w:color w:val="000000" w:themeColor="text1"/>
          <w:sz w:val="24"/>
          <w14:textFill>
            <w14:solidFill>
              <w14:schemeClr w14:val="tx1"/>
            </w14:solidFill>
          </w14:textFill>
        </w:rPr>
        <w:t>十四、禁止行为</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_Toc382819131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38</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16"/>
        <w:tabs>
          <w:tab w:val="right" w:leader="dot" w:pos="8296"/>
        </w:tabs>
        <w:spacing w:line="360" w:lineRule="auto"/>
        <w:rPr>
          <w:rFonts w:ascii="Calibri" w:hAnsi="Calibri"/>
          <w:color w:val="000000" w:themeColor="text1"/>
          <w:sz w:val="24"/>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"_Toc382819132" </w:instrText>
      </w:r>
      <w:r>
        <w:rPr>
          <w:color w:val="000000" w:themeColor="text1"/>
          <w14:textFill>
            <w14:solidFill>
              <w14:schemeClr w14:val="tx1"/>
            </w14:solidFill>
          </w14:textFill>
        </w:rPr>
        <w:fldChar w:fldCharType="separate"/>
      </w:r>
      <w:r>
        <w:rPr>
          <w:rStyle w:val="23"/>
          <w:rFonts w:hint="eastAsia" w:ascii="宋体" w:hAnsi="宋体" w:cs="Arial"/>
          <w:color w:val="000000" w:themeColor="text1"/>
          <w:sz w:val="24"/>
          <w14:textFill>
            <w14:solidFill>
              <w14:schemeClr w14:val="tx1"/>
            </w14:solidFill>
          </w14:textFill>
        </w:rPr>
        <w:t>十五、基金托管协议的变更、终止与基金财产的清算</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_Toc382819132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40</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16"/>
        <w:tabs>
          <w:tab w:val="right" w:leader="dot" w:pos="8296"/>
        </w:tabs>
        <w:spacing w:line="360" w:lineRule="auto"/>
        <w:rPr>
          <w:rFonts w:ascii="Calibri" w:hAnsi="Calibri"/>
          <w:color w:val="000000" w:themeColor="text1"/>
          <w:sz w:val="24"/>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"_Toc382819133" </w:instrText>
      </w:r>
      <w:r>
        <w:rPr>
          <w:color w:val="000000" w:themeColor="text1"/>
          <w14:textFill>
            <w14:solidFill>
              <w14:schemeClr w14:val="tx1"/>
            </w14:solidFill>
          </w14:textFill>
        </w:rPr>
        <w:fldChar w:fldCharType="separate"/>
      </w:r>
      <w:r>
        <w:rPr>
          <w:rStyle w:val="23"/>
          <w:rFonts w:hint="eastAsia" w:ascii="宋体" w:hAnsi="宋体" w:cs="Arial"/>
          <w:color w:val="000000" w:themeColor="text1"/>
          <w:sz w:val="24"/>
          <w14:textFill>
            <w14:solidFill>
              <w14:schemeClr w14:val="tx1"/>
            </w14:solidFill>
          </w14:textFill>
        </w:rPr>
        <w:t>十六、违约责任</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_Toc382819133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42</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16"/>
        <w:tabs>
          <w:tab w:val="right" w:leader="dot" w:pos="8296"/>
        </w:tabs>
        <w:spacing w:line="360" w:lineRule="auto"/>
        <w:rPr>
          <w:rFonts w:ascii="Calibri" w:hAnsi="Calibri"/>
          <w:color w:val="000000" w:themeColor="text1"/>
          <w:sz w:val="24"/>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"_Toc382819134" </w:instrText>
      </w:r>
      <w:r>
        <w:rPr>
          <w:color w:val="000000" w:themeColor="text1"/>
          <w14:textFill>
            <w14:solidFill>
              <w14:schemeClr w14:val="tx1"/>
            </w14:solidFill>
          </w14:textFill>
        </w:rPr>
        <w:fldChar w:fldCharType="separate"/>
      </w:r>
      <w:r>
        <w:rPr>
          <w:rStyle w:val="23"/>
          <w:rFonts w:hint="eastAsia" w:ascii="宋体" w:hAnsi="宋体" w:cs="Arial"/>
          <w:color w:val="000000" w:themeColor="text1"/>
          <w:sz w:val="24"/>
          <w14:textFill>
            <w14:solidFill>
              <w14:schemeClr w14:val="tx1"/>
            </w14:solidFill>
          </w14:textFill>
        </w:rPr>
        <w:t>十七、适用法律及争议解决方式</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_Toc382819134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43</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16"/>
        <w:tabs>
          <w:tab w:val="right" w:leader="dot" w:pos="8296"/>
        </w:tabs>
        <w:spacing w:line="360" w:lineRule="auto"/>
        <w:rPr>
          <w:rFonts w:ascii="Calibri" w:hAnsi="Calibri"/>
          <w:color w:val="000000" w:themeColor="text1"/>
          <w:sz w:val="24"/>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"_Toc382819135" </w:instrText>
      </w:r>
      <w:r>
        <w:rPr>
          <w:color w:val="000000" w:themeColor="text1"/>
          <w14:textFill>
            <w14:solidFill>
              <w14:schemeClr w14:val="tx1"/>
            </w14:solidFill>
          </w14:textFill>
        </w:rPr>
        <w:fldChar w:fldCharType="separate"/>
      </w:r>
      <w:r>
        <w:rPr>
          <w:rStyle w:val="23"/>
          <w:rFonts w:hint="eastAsia" w:ascii="宋体" w:hAnsi="宋体" w:cs="Arial"/>
          <w:color w:val="000000" w:themeColor="text1"/>
          <w:sz w:val="24"/>
          <w14:textFill>
            <w14:solidFill>
              <w14:schemeClr w14:val="tx1"/>
            </w14:solidFill>
          </w14:textFill>
        </w:rPr>
        <w:t>十八、基金托管协议的效力和文本</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_Toc382819135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44</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16"/>
        <w:tabs>
          <w:tab w:val="right" w:leader="dot" w:pos="8296"/>
        </w:tabs>
        <w:spacing w:line="360" w:lineRule="auto"/>
        <w:rPr>
          <w:rFonts w:ascii="Calibri" w:hAnsi="Calibri"/>
          <w:color w:val="000000" w:themeColor="text1"/>
          <w:sz w:val="24"/>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"_Toc382819136" </w:instrText>
      </w:r>
      <w:r>
        <w:rPr>
          <w:color w:val="000000" w:themeColor="text1"/>
          <w14:textFill>
            <w14:solidFill>
              <w14:schemeClr w14:val="tx1"/>
            </w14:solidFill>
          </w14:textFill>
        </w:rPr>
        <w:fldChar w:fldCharType="separate"/>
      </w:r>
      <w:r>
        <w:rPr>
          <w:rStyle w:val="23"/>
          <w:rFonts w:hint="eastAsia" w:ascii="宋体" w:hAnsi="宋体"/>
          <w:color w:val="000000" w:themeColor="text1"/>
          <w:sz w:val="24"/>
          <w14:textFill>
            <w14:solidFill>
              <w14:schemeClr w14:val="tx1"/>
            </w14:solidFill>
          </w14:textFill>
        </w:rPr>
        <w:t>十九、</w:t>
      </w:r>
      <w:r>
        <w:rPr>
          <w:rStyle w:val="23"/>
          <w:rFonts w:hint="eastAsia" w:ascii="宋体" w:hAnsi="宋体" w:cs="Arial"/>
          <w:color w:val="000000" w:themeColor="text1"/>
          <w:sz w:val="24"/>
          <w14:textFill>
            <w14:solidFill>
              <w14:schemeClr w14:val="tx1"/>
            </w14:solidFill>
          </w14:textFill>
        </w:rPr>
        <w:t>其他事项</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_Toc382819136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45</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spacing w:line="360" w:lineRule="auto"/>
        <w:rPr>
          <w:rFonts w:ascii="仿宋_GB2312" w:eastAsia="仿宋_GB2312"/>
          <w:color w:val="000000" w:themeColor="text1"/>
          <w:sz w:val="24"/>
          <w14:textFill>
            <w14:solidFill>
              <w14:schemeClr w14:val="tx1"/>
            </w14:solidFill>
          </w14:textFill>
        </w:rPr>
      </w:pPr>
      <w:r>
        <w:rPr>
          <w:rFonts w:ascii="宋体" w:hAnsi="宋体"/>
          <w:color w:val="000000" w:themeColor="text1"/>
          <w:sz w:val="20"/>
          <w:szCs w:val="21"/>
          <w14:textFill>
            <w14:solidFill>
              <w14:schemeClr w14:val="tx1"/>
            </w14:solidFill>
          </w14:textFill>
        </w:rPr>
        <w:fldChar w:fldCharType="end"/>
      </w:r>
    </w:p>
    <w:p>
      <w:pPr>
        <w:widowControl/>
        <w:jc w:val="left"/>
        <w:rPr>
          <w:rFonts w:ascii="仿宋_GB2312" w:eastAsia="仿宋_GB2312"/>
          <w:color w:val="000000" w:themeColor="text1"/>
          <w:sz w:val="24"/>
          <w14:textFill>
            <w14:solidFill>
              <w14:schemeClr w14:val="tx1"/>
            </w14:solidFill>
          </w14:textFill>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pPr>
        <w:rPr>
          <w:color w:val="000000" w:themeColor="text1"/>
          <w:lang w:val="zh-CN"/>
          <w14:textFill>
            <w14:solidFill>
              <w14:schemeClr w14:val="tx1"/>
            </w14:solidFill>
          </w14:textFill>
        </w:rPr>
      </w:pPr>
    </w:p>
    <w:p>
      <w:pPr>
        <w:spacing w:line="360" w:lineRule="auto"/>
        <w:ind w:firstLine="482" w:firstLineChars="200"/>
        <w:rPr>
          <w:rFonts w:ascii="宋体" w:hAnsi="宋体"/>
          <w:b/>
          <w:color w:val="000000" w:themeColor="text1"/>
          <w:sz w:val="24"/>
          <w14:textFill>
            <w14:solidFill>
              <w14:schemeClr w14:val="tx1"/>
            </w14:solidFill>
          </w14:textFill>
        </w:rPr>
      </w:pPr>
      <w:bookmarkStart w:id="6" w:name="_Toc382819069"/>
      <w:r>
        <w:rPr>
          <w:rFonts w:hint="eastAsia" w:ascii="宋体" w:hAnsi="宋体" w:cs="宋体"/>
          <w:b/>
          <w:color w:val="000000" w:themeColor="text1"/>
          <w:sz w:val="24"/>
          <w14:textFill>
            <w14:solidFill>
              <w14:schemeClr w14:val="tx1"/>
            </w14:solidFill>
          </w14:textFill>
        </w:rPr>
        <w:t>基金管理人：</w:t>
      </w:r>
      <w:bookmarkEnd w:id="6"/>
      <w:r>
        <w:rPr>
          <w:rFonts w:hint="eastAsia" w:ascii="宋体" w:hAnsi="宋体" w:cs="宋体"/>
          <w:b/>
          <w:color w:val="000000" w:themeColor="text1"/>
          <w:sz w:val="24"/>
          <w:lang w:eastAsia="zh-CN"/>
          <w14:textFill>
            <w14:solidFill>
              <w14:schemeClr w14:val="tx1"/>
            </w14:solidFill>
          </w14:textFill>
        </w:rPr>
        <w:t>国新国证</w:t>
      </w:r>
      <w:r>
        <w:rPr>
          <w:rFonts w:hint="eastAsia" w:ascii="宋体" w:hAnsi="宋体" w:cs="宋体"/>
          <w:b/>
          <w:color w:val="000000" w:themeColor="text1"/>
          <w:sz w:val="24"/>
          <w14:textFill>
            <w14:solidFill>
              <w14:schemeClr w14:val="tx1"/>
            </w14:solidFill>
          </w14:textFill>
        </w:rPr>
        <w:t>基金管理有限公司</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住所：</w:t>
      </w:r>
      <w:r>
        <w:rPr>
          <w:rFonts w:hint="eastAsia" w:ascii="宋体" w:hAnsi="宋体"/>
          <w:color w:val="000000" w:themeColor="text1"/>
          <w:sz w:val="24"/>
          <w14:textFill>
            <w14:solidFill>
              <w14:schemeClr w14:val="tx1"/>
            </w14:solidFill>
          </w14:textFill>
        </w:rPr>
        <w:t>中国（河北）自由贸易试验区雄安片区容城县雄安市民服务中心企业办公区</w:t>
      </w:r>
      <w:r>
        <w:rPr>
          <w:rFonts w:ascii="宋体" w:hAnsi="宋体"/>
          <w:color w:val="000000" w:themeColor="text1"/>
          <w:sz w:val="24"/>
          <w14:textFill>
            <w14:solidFill>
              <w14:schemeClr w14:val="tx1"/>
            </w14:solidFill>
          </w14:textFill>
        </w:rPr>
        <w:t>A</w:t>
      </w:r>
      <w:r>
        <w:rPr>
          <w:rFonts w:hint="eastAsia" w:ascii="宋体" w:hAnsi="宋体"/>
          <w:color w:val="000000" w:themeColor="text1"/>
          <w:sz w:val="24"/>
          <w14:textFill>
            <w14:solidFill>
              <w14:schemeClr w14:val="tx1"/>
            </w14:solidFill>
          </w14:textFill>
        </w:rPr>
        <w:t>栋一层</w:t>
      </w:r>
      <w:r>
        <w:rPr>
          <w:rFonts w:ascii="宋体" w:hAnsi="宋体"/>
          <w:color w:val="000000" w:themeColor="text1"/>
          <w:sz w:val="24"/>
          <w14:textFill>
            <w14:solidFill>
              <w14:schemeClr w14:val="tx1"/>
            </w14:solidFill>
          </w14:textFill>
        </w:rPr>
        <w:t>108</w:t>
      </w:r>
      <w:r>
        <w:rPr>
          <w:rFonts w:hint="eastAsia" w:ascii="宋体" w:hAnsi="宋体"/>
          <w:color w:val="000000" w:themeColor="text1"/>
          <w:sz w:val="24"/>
          <w14:textFill>
            <w14:solidFill>
              <w14:schemeClr w14:val="tx1"/>
            </w14:solidFill>
          </w14:textFill>
        </w:rPr>
        <w:t>单元</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法定代表人：</w:t>
      </w:r>
      <w:r>
        <w:rPr>
          <w:rFonts w:hint="eastAsia" w:ascii="宋体" w:hAnsi="宋体"/>
          <w:bCs/>
          <w:color w:val="000000" w:themeColor="text1"/>
          <w:sz w:val="24"/>
          <w14:textFill>
            <w14:solidFill>
              <w14:schemeClr w14:val="tx1"/>
            </w14:solidFill>
          </w14:textFill>
        </w:rPr>
        <w:t>杨铭海</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设立日期：</w:t>
      </w:r>
      <w:r>
        <w:rPr>
          <w:rFonts w:ascii="宋体" w:hAnsi="宋体"/>
          <w:bCs/>
          <w:color w:val="000000" w:themeColor="text1"/>
          <w:sz w:val="24"/>
          <w14:textFill>
            <w14:solidFill>
              <w14:schemeClr w14:val="tx1"/>
            </w14:solidFill>
          </w14:textFill>
        </w:rPr>
        <w:t>2019</w:t>
      </w:r>
      <w:r>
        <w:rPr>
          <w:rFonts w:hint="eastAsia" w:ascii="宋体" w:hAnsi="宋体"/>
          <w:bCs/>
          <w:color w:val="000000" w:themeColor="text1"/>
          <w:sz w:val="24"/>
          <w14:textFill>
            <w14:solidFill>
              <w14:schemeClr w14:val="tx1"/>
            </w14:solidFill>
          </w14:textFill>
        </w:rPr>
        <w:t>年</w:t>
      </w:r>
      <w:r>
        <w:rPr>
          <w:rFonts w:ascii="宋体" w:hAnsi="宋体"/>
          <w:bCs/>
          <w:color w:val="000000" w:themeColor="text1"/>
          <w:sz w:val="24"/>
          <w14:textFill>
            <w14:solidFill>
              <w14:schemeClr w14:val="tx1"/>
            </w14:solidFill>
          </w14:textFill>
        </w:rPr>
        <w:t>3</w:t>
      </w:r>
      <w:r>
        <w:rPr>
          <w:rFonts w:hint="eastAsia" w:ascii="宋体" w:hAnsi="宋体"/>
          <w:bCs/>
          <w:color w:val="000000" w:themeColor="text1"/>
          <w:sz w:val="24"/>
          <w14:textFill>
            <w14:solidFill>
              <w14:schemeClr w14:val="tx1"/>
            </w14:solidFill>
          </w14:textFill>
        </w:rPr>
        <w:t>月</w:t>
      </w:r>
      <w:r>
        <w:rPr>
          <w:rFonts w:ascii="宋体" w:hAnsi="宋体"/>
          <w:bCs/>
          <w:color w:val="000000" w:themeColor="text1"/>
          <w:sz w:val="24"/>
          <w14:textFill>
            <w14:solidFill>
              <w14:schemeClr w14:val="tx1"/>
            </w14:solidFill>
          </w14:textFill>
        </w:rPr>
        <w:t>1</w:t>
      </w:r>
      <w:r>
        <w:rPr>
          <w:rFonts w:hint="eastAsia" w:ascii="宋体" w:hAnsi="宋体"/>
          <w:bCs/>
          <w:color w:val="000000" w:themeColor="text1"/>
          <w:sz w:val="24"/>
          <w14:textFill>
            <w14:solidFill>
              <w14:schemeClr w14:val="tx1"/>
            </w14:solidFill>
          </w14:textFill>
        </w:rPr>
        <w:t>日</w:t>
      </w:r>
    </w:p>
    <w:p>
      <w:pPr>
        <w:spacing w:line="360" w:lineRule="auto"/>
        <w:ind w:firstLine="480" w:firstLineChars="200"/>
        <w:rPr>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批准设立机关及批准设立文号：</w:t>
      </w:r>
      <w:r>
        <w:rPr>
          <w:rFonts w:hint="eastAsia" w:ascii="宋体" w:hAnsi="宋体"/>
          <w:bCs/>
          <w:color w:val="000000" w:themeColor="text1"/>
          <w:sz w:val="24"/>
          <w14:textFill>
            <w14:solidFill>
              <w14:schemeClr w14:val="tx1"/>
            </w14:solidFill>
          </w14:textFill>
        </w:rPr>
        <w:t>中国证监会证监许可</w:t>
      </w:r>
      <w:r>
        <w:rPr>
          <w:rFonts w:ascii="宋体" w:hAnsi="宋体"/>
          <w:bCs/>
          <w:color w:val="000000" w:themeColor="text1"/>
          <w:sz w:val="24"/>
          <w14:textFill>
            <w14:solidFill>
              <w14:schemeClr w14:val="tx1"/>
            </w14:solidFill>
          </w14:textFill>
        </w:rPr>
        <w:t>[2018]2163</w:t>
      </w:r>
      <w:r>
        <w:rPr>
          <w:rFonts w:hint="eastAsia" w:ascii="宋体" w:hAnsi="宋体"/>
          <w:bCs/>
          <w:color w:val="000000" w:themeColor="text1"/>
          <w:sz w:val="24"/>
          <w14:textFill>
            <w14:solidFill>
              <w14:schemeClr w14:val="tx1"/>
            </w14:solidFill>
          </w14:textFill>
        </w:rPr>
        <w:t>号</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组织形式：</w:t>
      </w:r>
      <w:r>
        <w:rPr>
          <w:rFonts w:hint="eastAsia" w:ascii="宋体" w:hAnsi="宋体"/>
          <w:bCs/>
          <w:color w:val="000000" w:themeColor="text1"/>
          <w:sz w:val="24"/>
          <w14:textFill>
            <w14:solidFill>
              <w14:schemeClr w14:val="tx1"/>
            </w14:solidFill>
          </w14:textFill>
        </w:rPr>
        <w:t>有限责任公司</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注册资本：</w:t>
      </w:r>
      <w:r>
        <w:rPr>
          <w:rFonts w:hint="eastAsia" w:ascii="宋体" w:hAnsi="宋体"/>
          <w:bCs/>
          <w:color w:val="000000" w:themeColor="text1"/>
          <w:sz w:val="24"/>
          <w14:textFill>
            <w14:solidFill>
              <w14:schemeClr w14:val="tx1"/>
            </w14:solidFill>
          </w14:textFill>
        </w:rPr>
        <w:t>人民币</w:t>
      </w:r>
      <w:r>
        <w:rPr>
          <w:rFonts w:ascii="宋体" w:hAnsi="宋体"/>
          <w:bCs/>
          <w:color w:val="000000" w:themeColor="text1"/>
          <w:sz w:val="24"/>
          <w14:textFill>
            <w14:solidFill>
              <w14:schemeClr w14:val="tx1"/>
            </w14:solidFill>
          </w14:textFill>
        </w:rPr>
        <w:t>200,000,000</w:t>
      </w:r>
      <w:r>
        <w:rPr>
          <w:rFonts w:hint="eastAsia" w:ascii="宋体" w:hAnsi="宋体"/>
          <w:bCs/>
          <w:color w:val="000000" w:themeColor="text1"/>
          <w:sz w:val="24"/>
          <w14:textFill>
            <w14:solidFill>
              <w14:schemeClr w14:val="tx1"/>
            </w14:solidFill>
          </w14:textFill>
        </w:rPr>
        <w:t>元</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存续期限：</w:t>
      </w:r>
      <w:r>
        <w:rPr>
          <w:rFonts w:hint="eastAsia" w:ascii="宋体" w:hAnsi="宋体"/>
          <w:bCs/>
          <w:color w:val="000000" w:themeColor="text1"/>
          <w:sz w:val="24"/>
          <w14:textFill>
            <w14:solidFill>
              <w14:schemeClr w14:val="tx1"/>
            </w14:solidFill>
          </w14:textFill>
        </w:rPr>
        <w:t>永续经营</w:t>
      </w:r>
    </w:p>
    <w:p>
      <w:pPr>
        <w:tabs>
          <w:tab w:val="left" w:pos="132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联系电话：400-819-0789</w:t>
      </w:r>
    </w:p>
    <w:p>
      <w:pPr>
        <w:ind w:firstLine="630"/>
        <w:rPr>
          <w:color w:val="000000" w:themeColor="text1"/>
          <w14:textFill>
            <w14:solidFill>
              <w14:schemeClr w14:val="tx1"/>
            </w14:solidFill>
          </w14:textFill>
        </w:rPr>
      </w:pPr>
    </w:p>
    <w:p>
      <w:pPr>
        <w:ind w:firstLine="630"/>
        <w:rPr>
          <w:color w:val="000000" w:themeColor="text1"/>
          <w14:textFill>
            <w14:solidFill>
              <w14:schemeClr w14:val="tx1"/>
            </w14:solidFill>
          </w14:textFill>
        </w:rPr>
      </w:pPr>
    </w:p>
    <w:p>
      <w:pPr>
        <w:ind w:firstLine="630"/>
        <w:rPr>
          <w:color w:val="000000" w:themeColor="text1"/>
          <w14:textFill>
            <w14:solidFill>
              <w14:schemeClr w14:val="tx1"/>
            </w14:solidFill>
          </w14:textFill>
        </w:rPr>
      </w:pPr>
    </w:p>
    <w:p>
      <w:pPr>
        <w:spacing w:line="360" w:lineRule="auto"/>
        <w:ind w:firstLine="482" w:firstLineChars="200"/>
        <w:rPr>
          <w:rFonts w:ascii="宋体" w:hAnsi="宋体"/>
          <w:b/>
          <w:color w:val="000000" w:themeColor="text1"/>
          <w:sz w:val="24"/>
          <w14:textFill>
            <w14:solidFill>
              <w14:schemeClr w14:val="tx1"/>
            </w14:solidFill>
          </w14:textFill>
        </w:rPr>
      </w:pPr>
    </w:p>
    <w:p>
      <w:pPr>
        <w:pStyle w:val="3"/>
        <w:keepNext w:val="0"/>
        <w:keepLines w:val="0"/>
        <w:autoSpaceDE w:val="0"/>
        <w:autoSpaceDN w:val="0"/>
        <w:adjustRightInd w:val="0"/>
        <w:spacing w:before="0" w:after="0" w:line="360" w:lineRule="auto"/>
        <w:ind w:firstLine="472" w:firstLineChars="196"/>
        <w:textAlignment w:val="baseline"/>
        <w:rPr>
          <w:rFonts w:ascii="宋体" w:hAnsi="宋体" w:eastAsia="宋体"/>
          <w:bCs w:val="0"/>
          <w:color w:val="000000" w:themeColor="text1"/>
          <w:sz w:val="24"/>
          <w:szCs w:val="24"/>
          <w14:textFill>
            <w14:solidFill>
              <w14:schemeClr w14:val="tx1"/>
            </w14:solidFill>
          </w14:textFill>
        </w:rPr>
      </w:pPr>
      <w:bookmarkStart w:id="7" w:name="_Toc382819070"/>
      <w:r>
        <w:rPr>
          <w:rFonts w:hint="eastAsia" w:ascii="宋体" w:hAnsi="宋体" w:eastAsia="宋体" w:cs="Arial"/>
          <w:color w:val="000000" w:themeColor="text1"/>
          <w:kern w:val="0"/>
          <w:sz w:val="24"/>
          <w:szCs w:val="24"/>
          <w14:textFill>
            <w14:solidFill>
              <w14:schemeClr w14:val="tx1"/>
            </w14:solidFill>
          </w14:textFill>
        </w:rPr>
        <w:t>基金托管人：</w:t>
      </w:r>
      <w:r>
        <w:rPr>
          <w:rFonts w:hint="eastAsia" w:ascii="宋体" w:hAnsi="宋体" w:eastAsia="宋体"/>
          <w:bCs w:val="0"/>
          <w:color w:val="000000" w:themeColor="text1"/>
          <w:sz w:val="24"/>
          <w:szCs w:val="24"/>
          <w14:textFill>
            <w14:solidFill>
              <w14:schemeClr w14:val="tx1"/>
            </w14:solidFill>
          </w14:textFill>
        </w:rPr>
        <w:t>上海浦东发展银行股份有限公司</w:t>
      </w:r>
      <w:bookmarkEnd w:id="7"/>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办公地址：上海市中山东一路12号</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法定代表人：郑杨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成立日期：1992年10月19日</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批准设立机关和批准设立文号：中国人民银行，银复1992（601）号</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基金托管业务资格批准机关：中国证监会</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基金托管业务资格文号：证监基金字[2003]105号</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组织形式：股份有限公司（上市）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注册资本：人民币293.52亿元</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经营期限：永久存续</w:t>
      </w:r>
    </w:p>
    <w:p>
      <w:pPr>
        <w:widowControl/>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br w:type="page"/>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color w:val="000000" w:themeColor="text1"/>
          <w:sz w:val="30"/>
          <w:szCs w:val="30"/>
          <w14:textFill>
            <w14:solidFill>
              <w14:schemeClr w14:val="tx1"/>
            </w14:solidFill>
          </w14:textFill>
        </w:rPr>
      </w:pPr>
      <w:bookmarkStart w:id="8" w:name="_Toc382819071"/>
      <w:r>
        <w:rPr>
          <w:rFonts w:hint="eastAsia" w:ascii="宋体" w:hAnsi="宋体" w:eastAsia="宋体" w:cs="Arial"/>
          <w:color w:val="000000" w:themeColor="text1"/>
          <w:sz w:val="30"/>
          <w:szCs w:val="30"/>
          <w14:textFill>
            <w14:solidFill>
              <w14:schemeClr w14:val="tx1"/>
            </w14:solidFill>
          </w14:textFill>
        </w:rPr>
        <w:t>基金托管协议的依据、目的、原则和解释</w:t>
      </w:r>
      <w:bookmarkEnd w:id="8"/>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（一）依据</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协议依据《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证券投资基金托管业务管理办法》、《证券投资基金信息披露内容与格式准则第7号〈托管协议的内容与格式〉》、《</w:t>
      </w:r>
      <w:r>
        <w:rPr>
          <w:rFonts w:hint="eastAsia" w:ascii="宋体" w:hAnsi="宋体"/>
          <w:color w:val="000000" w:themeColor="text1"/>
          <w:sz w:val="24"/>
          <w:lang w:eastAsia="zh-CN"/>
          <w14:textFill>
            <w14:solidFill>
              <w14:schemeClr w14:val="tx1"/>
            </w14:solidFill>
          </w14:textFill>
        </w:rPr>
        <w:t>国新国证</w:t>
      </w:r>
      <w:r>
        <w:rPr>
          <w:rFonts w:hint="eastAsia" w:ascii="宋体" w:hAnsi="宋体"/>
          <w:color w:val="000000" w:themeColor="text1"/>
          <w:sz w:val="24"/>
          <w14:textFill>
            <w14:solidFill>
              <w14:schemeClr w14:val="tx1"/>
            </w14:solidFill>
          </w14:textFill>
        </w:rPr>
        <w:t>鑫裕央企债六个月定期开放债券型证券投资基金基金合同》（以下简称《基金合同》）及其他有关法律、法规制定。</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（二）目的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（三）原则</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基金管理人和基金托管人本着平等自愿、诚实信用、充分保护基金份额持有人合法权益的原则，经协商一致，签订本协议。</w:t>
      </w:r>
    </w:p>
    <w:p>
      <w:pPr>
        <w:spacing w:after="12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（四）解释</w:t>
      </w:r>
    </w:p>
    <w:p>
      <w:pPr>
        <w:spacing w:after="12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除非本协议另有约定，本协议所有术语与《基金合同》的相应术语具有相同含义。</w:t>
      </w:r>
    </w:p>
    <w:p>
      <w:pPr>
        <w:widowControl/>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color w:val="000000" w:themeColor="text1"/>
          <w:sz w:val="30"/>
          <w:szCs w:val="30"/>
          <w14:textFill>
            <w14:solidFill>
              <w14:schemeClr w14:val="tx1"/>
            </w14:solidFill>
          </w14:textFill>
        </w:rPr>
      </w:pPr>
      <w:bookmarkStart w:id="9" w:name="_Toc382819072"/>
      <w:r>
        <w:rPr>
          <w:rFonts w:hint="eastAsia" w:ascii="宋体" w:hAnsi="宋体" w:eastAsia="宋体" w:cs="Arial"/>
          <w:color w:val="000000" w:themeColor="text1"/>
          <w:sz w:val="30"/>
          <w:szCs w:val="30"/>
          <w14:textFill>
            <w14:solidFill>
              <w14:schemeClr w14:val="tx1"/>
            </w14:solidFill>
          </w14:textFill>
        </w:rPr>
        <w:t>基金托管人对基金管理人的业务监督和核查</w:t>
      </w:r>
      <w:bookmarkEnd w:id="9"/>
    </w:p>
    <w:p>
      <w:pPr>
        <w:pStyle w:val="3"/>
        <w:keepNext w:val="0"/>
        <w:keepLines w:val="0"/>
        <w:autoSpaceDE w:val="0"/>
        <w:autoSpaceDN w:val="0"/>
        <w:adjustRightInd w:val="0"/>
        <w:snapToGrid w:val="0"/>
        <w:spacing w:before="156" w:beforeLines="50" w:after="156" w:afterLines="50" w:line="360" w:lineRule="auto"/>
        <w:ind w:firstLine="480" w:firstLineChars="200"/>
        <w:textAlignment w:val="baseline"/>
        <w:rPr>
          <w:rFonts w:ascii="宋体" w:hAnsi="宋体" w:eastAsia="宋体"/>
          <w:b w:val="0"/>
          <w:color w:val="000000" w:themeColor="text1"/>
          <w:sz w:val="24"/>
          <w:szCs w:val="24"/>
          <w14:textFill>
            <w14:solidFill>
              <w14:schemeClr w14:val="tx1"/>
            </w14:solidFill>
          </w14:textFill>
        </w:rPr>
      </w:pPr>
      <w:bookmarkStart w:id="10" w:name="_Toc382819073"/>
      <w:r>
        <w:rPr>
          <w:rFonts w:hint="eastAsia" w:ascii="宋体" w:hAnsi="宋体" w:eastAsia="宋体"/>
          <w:b w:val="0"/>
          <w:color w:val="000000" w:themeColor="text1"/>
          <w:sz w:val="24"/>
          <w:szCs w:val="24"/>
          <w14:textFill>
            <w14:solidFill>
              <w14:schemeClr w14:val="tx1"/>
            </w14:solidFill>
          </w14:textFill>
        </w:rPr>
        <w:t>（一）基金托管人对基金管理人的投资行为行使监督权</w:t>
      </w:r>
      <w:bookmarkEnd w:id="10"/>
    </w:p>
    <w:p>
      <w:pPr>
        <w:widowControl/>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1、基金托管人根据有关法律法规的规定和《基金合同》的约定，对下述基金投资范围、投资对象进行监督。</w:t>
      </w:r>
    </w:p>
    <w:p>
      <w:pPr>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基金的投资范围主要为具有良好流动性的金融工具，包括债券（包括国债、地方政府债、金融债、央行票据、公司债、企业债、中期票据、短期融资券、超短期融资券、政府支持机构债、政府支持债券、次级债、</w:t>
      </w:r>
      <w:r>
        <w:rPr>
          <w:bCs/>
          <w:color w:val="000000" w:themeColor="text1"/>
          <w:sz w:val="24"/>
          <w14:textFill>
            <w14:solidFill>
              <w14:schemeClr w14:val="tx1"/>
            </w14:solidFill>
          </w14:textFill>
        </w:rPr>
        <w:t>可分离交易可转债的纯债部分</w:t>
      </w:r>
      <w:r>
        <w:rPr>
          <w:rFonts w:hint="eastAsia"/>
          <w:bCs/>
          <w:color w:val="000000" w:themeColor="text1"/>
          <w:sz w:val="24"/>
          <w14:textFill>
            <w14:solidFill>
              <w14:schemeClr w14:val="tx1"/>
            </w14:solidFill>
          </w14:textFill>
        </w:rPr>
        <w:t>）、债券回购、银行存款（包括协议存款、通知存款、定期存款及其他银行存款）、同业存单、货币市场工具以及法律法规或中国证监会允许基金投资的其他金融工具，但须符合中国证监会相关规定。</w:t>
      </w:r>
    </w:p>
    <w:p>
      <w:pPr>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本基金不投资于股票资产，也不投资于可转换债券（可分离交易可转债的纯债部分除外）、可交换债券。</w:t>
      </w:r>
    </w:p>
    <w:p>
      <w:pPr>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如法律法规或监管机构以后允许基金投资其他品种，基金管理人在履行适当程序后，可以将其纳入投资范围，其投资比例遵循届时有效的法律法规和相关规定。</w:t>
      </w:r>
    </w:p>
    <w:p>
      <w:pPr>
        <w:widowControl/>
        <w:adjustRightInd w:val="0"/>
        <w:snapToGrid w:val="0"/>
        <w:spacing w:line="360" w:lineRule="auto"/>
        <w:ind w:firstLine="480" w:firstLineChars="200"/>
        <w:jc w:val="lef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pPr>
        <w:widowControl/>
        <w:spacing w:line="324"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本基金不得投资于相关法律、法规、部门规章及《基金合同》禁止投资的投资工具。</w:t>
      </w:r>
    </w:p>
    <w:p>
      <w:pPr>
        <w:spacing w:after="120" w:line="324"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2、基金托管人根据有关法律法规的规定及《基金合同》的约定对下述基金投资比例进行监督：</w:t>
      </w:r>
    </w:p>
    <w:p>
      <w:pPr>
        <w:widowControl/>
        <w:adjustRightInd w:val="0"/>
        <w:snapToGrid w:val="0"/>
        <w:spacing w:line="360" w:lineRule="auto"/>
        <w:ind w:firstLine="480" w:firstLineChars="200"/>
        <w:jc w:val="left"/>
        <w:rPr>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（1）按法律法规的规定及《基金合同》的约定，本基金的投资组合比例为：</w:t>
      </w:r>
      <w:r>
        <w:rPr>
          <w:bCs/>
          <w:color w:val="000000" w:themeColor="text1"/>
          <w:sz w:val="24"/>
          <w14:textFill>
            <w14:solidFill>
              <w14:schemeClr w14:val="tx1"/>
            </w14:solidFill>
          </w14:textFill>
        </w:rPr>
        <w:t>本基金对债券的投资比例不低于基金资产的80%，其中投资于本基金界定的央企债的比例不低于非现金基金资产的80%；但应开放期流动性需要，为保护基金份额持有人利益，在每次开放期前</w:t>
      </w:r>
      <w:r>
        <w:rPr>
          <w:rFonts w:hint="eastAsia"/>
          <w:bCs/>
          <w:color w:val="000000" w:themeColor="text1"/>
          <w:sz w:val="24"/>
          <w:lang w:val="en-US" w:eastAsia="zh-CN"/>
          <w14:textFill>
            <w14:solidFill>
              <w14:schemeClr w14:val="tx1"/>
            </w14:solidFill>
          </w14:textFill>
        </w:rPr>
        <w:t>15个工作日</w:t>
      </w:r>
      <w:r>
        <w:rPr>
          <w:bCs/>
          <w:color w:val="000000" w:themeColor="text1"/>
          <w:sz w:val="24"/>
          <w14:textFill>
            <w14:solidFill>
              <w14:schemeClr w14:val="tx1"/>
            </w14:solidFill>
          </w14:textFill>
        </w:rPr>
        <w:t>、开放期及开放期结束后</w:t>
      </w:r>
      <w:r>
        <w:rPr>
          <w:rFonts w:hint="eastAsia"/>
          <w:bCs/>
          <w:color w:val="000000" w:themeColor="text1"/>
          <w:sz w:val="24"/>
          <w:lang w:val="en-US" w:eastAsia="zh-CN"/>
          <w14:textFill>
            <w14:solidFill>
              <w14:schemeClr w14:val="tx1"/>
            </w14:solidFill>
          </w14:textFill>
        </w:rPr>
        <w:t>15个工作日</w:t>
      </w:r>
      <w:r>
        <w:rPr>
          <w:bCs/>
          <w:color w:val="000000" w:themeColor="text1"/>
          <w:sz w:val="24"/>
          <w14:textFill>
            <w14:solidFill>
              <w14:schemeClr w14:val="tx1"/>
            </w14:solidFill>
          </w14:textFill>
        </w:rPr>
        <w:t>的期间内，基金投资不受上述比例限制。开放期内，本基金持有的现金或者到期日在一年以内的政府债券不低于基金资产净值的5％，其中现金不包括结算备付金、存出保证金、应收申购款等；在封闭期内，本基金不受上述5%的限制。</w:t>
      </w:r>
    </w:p>
    <w:p>
      <w:pPr>
        <w:widowControl/>
        <w:adjustRightInd w:val="0"/>
        <w:snapToGrid w:val="0"/>
        <w:spacing w:line="360" w:lineRule="auto"/>
        <w:ind w:firstLine="480" w:firstLineChars="200"/>
        <w:jc w:val="lef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如法律法规或中国证监会变更投资品种的投资比例限制，基金管理人、基金托管人协商一致并履行适当程序后，可以调整上述投资品种的投资比例。</w:t>
      </w:r>
    </w:p>
    <w:p>
      <w:pPr>
        <w:spacing w:line="360" w:lineRule="auto"/>
        <w:ind w:firstLine="480" w:firstLineChars="200"/>
        <w:rPr>
          <w:bCs/>
          <w:color w:val="000000" w:themeColor="text1"/>
          <w:sz w:val="24"/>
          <w:szCs w:val="20"/>
          <w14:textFill>
            <w14:solidFill>
              <w14:schemeClr w14:val="tx1"/>
            </w14:solidFill>
          </w14:textFill>
        </w:rPr>
      </w:pPr>
      <w:r>
        <w:rPr>
          <w:rFonts w:hint="eastAsia"/>
          <w:bCs/>
          <w:color w:val="000000" w:themeColor="text1"/>
          <w:sz w:val="24"/>
          <w:szCs w:val="20"/>
          <w14:textFill>
            <w14:solidFill>
              <w14:schemeClr w14:val="tx1"/>
            </w14:solidFill>
          </w14:textFill>
        </w:rPr>
        <w:t>本基金所界定的央企债，</w:t>
      </w:r>
      <w:r>
        <w:rPr>
          <w:rFonts w:hint="eastAsia"/>
          <w:bCs/>
          <w:color w:val="000000" w:themeColor="text1"/>
          <w:sz w:val="24"/>
          <w14:textFill>
            <w14:solidFill>
              <w14:schemeClr w14:val="tx1"/>
            </w14:solidFill>
          </w14:textFill>
        </w:rPr>
        <w:t>将根据国务院国有资产监督管理委员会和财政部等国务院各部委发布的央企名录明确央企发行人。本基金所界定的央企债，</w:t>
      </w:r>
      <w:r>
        <w:rPr>
          <w:bCs/>
          <w:color w:val="000000" w:themeColor="text1"/>
          <w:sz w:val="24"/>
          <w14:textFill>
            <w14:solidFill>
              <w14:schemeClr w14:val="tx1"/>
            </w14:solidFill>
          </w14:textFill>
        </w:rPr>
        <w:t>为以上央企发行人及其控股的</w:t>
      </w:r>
      <w:r>
        <w:rPr>
          <w:rFonts w:hint="eastAsia"/>
          <w:bCs/>
          <w:color w:val="000000" w:themeColor="text1"/>
          <w:sz w:val="24"/>
          <w14:textFill>
            <w14:solidFill>
              <w14:schemeClr w14:val="tx1"/>
            </w14:solidFill>
          </w14:textFill>
        </w:rPr>
        <w:t>1级和2级企业</w:t>
      </w:r>
      <w:r>
        <w:rPr>
          <w:bCs/>
          <w:color w:val="000000" w:themeColor="text1"/>
          <w:sz w:val="24"/>
          <w14:textFill>
            <w14:solidFill>
              <w14:schemeClr w14:val="tx1"/>
            </w14:solidFill>
          </w14:textFill>
        </w:rPr>
        <w:t>发行的债券</w:t>
      </w:r>
      <w:r>
        <w:rPr>
          <w:rFonts w:hint="eastAsia"/>
          <w:bCs/>
          <w:color w:val="000000" w:themeColor="text1"/>
          <w:sz w:val="24"/>
          <w14:textFill>
            <w14:solidFill>
              <w14:schemeClr w14:val="tx1"/>
            </w14:solidFill>
          </w14:textFill>
        </w:rPr>
        <w:t>，包括</w:t>
      </w:r>
      <w:r>
        <w:rPr>
          <w:bCs/>
          <w:color w:val="000000" w:themeColor="text1"/>
          <w:sz w:val="24"/>
          <w14:textFill>
            <w14:solidFill>
              <w14:schemeClr w14:val="tx1"/>
            </w14:solidFill>
          </w14:textFill>
        </w:rPr>
        <w:t>这类企业所发行的金融债、公司债、企业债、中期票据、短期融资券、超短期融资券、政府支持机构债券、政府支持债券、</w:t>
      </w:r>
      <w:r>
        <w:rPr>
          <w:rFonts w:hint="eastAsia"/>
          <w:bCs/>
          <w:color w:val="000000" w:themeColor="text1"/>
          <w:sz w:val="24"/>
          <w14:textFill>
            <w14:solidFill>
              <w14:schemeClr w14:val="tx1"/>
            </w14:solidFill>
          </w14:textFill>
        </w:rPr>
        <w:t>次级债、</w:t>
      </w:r>
      <w:r>
        <w:rPr>
          <w:bCs/>
          <w:color w:val="000000" w:themeColor="text1"/>
          <w:sz w:val="24"/>
          <w14:textFill>
            <w14:solidFill>
              <w14:schemeClr w14:val="tx1"/>
            </w14:solidFill>
          </w14:textFill>
        </w:rPr>
        <w:t>可分离交易可转债的纯债部分等。</w:t>
      </w:r>
    </w:p>
    <w:p>
      <w:pPr>
        <w:spacing w:line="360" w:lineRule="auto"/>
        <w:ind w:firstLine="480" w:firstLineChars="200"/>
        <w:rPr>
          <w:bCs/>
          <w:color w:val="000000" w:themeColor="text1"/>
          <w:sz w:val="24"/>
          <w:szCs w:val="20"/>
          <w14:textFill>
            <w14:solidFill>
              <w14:schemeClr w14:val="tx1"/>
            </w14:solidFill>
          </w14:textFill>
        </w:rPr>
      </w:pPr>
      <w:r>
        <w:rPr>
          <w:rFonts w:hint="eastAsia"/>
          <w:bCs/>
          <w:color w:val="000000" w:themeColor="text1"/>
          <w:sz w:val="24"/>
          <w:szCs w:val="20"/>
          <w14:textFill>
            <w14:solidFill>
              <w14:schemeClr w14:val="tx1"/>
            </w14:solidFill>
          </w14:textFill>
        </w:rPr>
        <w:t>对于信用债券，本基金仅投资于央企债，其中，主动投资的信用债为信用评级在AA+级（含）以上的信用债，对信用评级的认定参照基金管理人选定的评级机构出具的信用评级，其中，信用债的信用评级依照评级机构出具的债项信用评级，若无债项信用评级的，依照其主体信用评级。</w:t>
      </w:r>
    </w:p>
    <w:p>
      <w:pPr>
        <w:spacing w:line="360" w:lineRule="auto"/>
        <w:ind w:firstLine="480" w:firstLineChars="200"/>
        <w:rPr>
          <w:bCs/>
          <w:color w:val="000000" w:themeColor="text1"/>
          <w:sz w:val="24"/>
          <w:szCs w:val="20"/>
          <w14:textFill>
            <w14:solidFill>
              <w14:schemeClr w14:val="tx1"/>
            </w14:solidFill>
          </w14:textFill>
        </w:rPr>
      </w:pPr>
      <w:r>
        <w:rPr>
          <w:rFonts w:hint="eastAsia"/>
          <w:bCs/>
          <w:color w:val="000000" w:themeColor="text1"/>
          <w:sz w:val="24"/>
          <w:szCs w:val="20"/>
          <w14:textFill>
            <w14:solidFill>
              <w14:schemeClr w14:val="tx1"/>
            </w14:solidFill>
          </w14:textFill>
        </w:rPr>
        <w:t>本基金投资于评级AA+的信用债比例不高于信用债资产的50%，投资于评级AAA的信用债比例不低于信用债资产的50%。因信用评级下降、证券市场波动、基金规模变动等基金管理人之外的因素致使基金投资比例不符合上述规定的，基金管理人应当在评级报告发布之日或不符合上述规定之日起3个月内</w:t>
      </w:r>
      <w:r>
        <w:rPr>
          <w:rFonts w:hint="eastAsia"/>
          <w:bCs/>
          <w:color w:val="000000" w:themeColor="text1"/>
          <w:sz w:val="24"/>
          <w14:textFill>
            <w14:solidFill>
              <w14:schemeClr w14:val="tx1"/>
            </w14:solidFill>
          </w14:textFill>
        </w:rPr>
        <w:t>予以全部卖出或完成调整</w:t>
      </w:r>
      <w:r>
        <w:rPr>
          <w:rFonts w:hint="eastAsia"/>
          <w:bCs/>
          <w:color w:val="000000" w:themeColor="text1"/>
          <w:sz w:val="24"/>
          <w:szCs w:val="20"/>
          <w14:textFill>
            <w14:solidFill>
              <w14:schemeClr w14:val="tx1"/>
            </w14:solidFill>
          </w14:textFill>
        </w:rPr>
        <w:t>。</w:t>
      </w:r>
    </w:p>
    <w:p>
      <w:pPr>
        <w:spacing w:line="324"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因基金规模或市场变化等因素导致投资组合不符合上述规定的，基金管理人应在合理的期限内调整基金的投资组合，以符合上述比例限定。法律法规另有规定时，从其规定。</w:t>
      </w:r>
    </w:p>
    <w:p>
      <w:pPr>
        <w:spacing w:line="324"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（2）根据法律法规的规定及《基金合同》的约定，本基金投资组合遵循以下投资限制：</w:t>
      </w:r>
    </w:p>
    <w:p>
      <w:pPr>
        <w:spacing w:line="360" w:lineRule="auto"/>
        <w:ind w:firstLine="720" w:firstLineChars="300"/>
        <w:rPr>
          <w:rFonts w:ascii="宋体" w:hAnsi="宋体"/>
          <w:bCs/>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ascii="宋体" w:hAnsi="宋体"/>
          <w:bCs/>
          <w:color w:val="000000" w:themeColor="text1"/>
          <w:sz w:val="24"/>
          <w14:textFill>
            <w14:solidFill>
              <w14:schemeClr w14:val="tx1"/>
            </w14:solidFill>
          </w14:textFill>
        </w:rPr>
        <w:t>本基金对债券的投资比例不低于基金资产的80%，其中投资于本基金界定的央企债的比例不低于非现金基金资产的80%；但应开放期流动性需要，为保护基金份额持有人利益，在每次开放期前</w:t>
      </w:r>
      <w:r>
        <w:rPr>
          <w:rFonts w:hint="eastAsia"/>
          <w:bCs/>
          <w:color w:val="000000" w:themeColor="text1"/>
          <w:sz w:val="24"/>
          <w:lang w:val="en-US" w:eastAsia="zh-CN"/>
          <w14:textFill>
            <w14:solidFill>
              <w14:schemeClr w14:val="tx1"/>
            </w14:solidFill>
          </w14:textFill>
        </w:rPr>
        <w:t>15个工作日</w:t>
      </w:r>
      <w:r>
        <w:rPr>
          <w:rFonts w:ascii="宋体" w:hAnsi="宋体"/>
          <w:bCs/>
          <w:color w:val="000000" w:themeColor="text1"/>
          <w:sz w:val="24"/>
          <w14:textFill>
            <w14:solidFill>
              <w14:schemeClr w14:val="tx1"/>
            </w14:solidFill>
          </w14:textFill>
        </w:rPr>
        <w:t>、开放期及开放期结束后</w:t>
      </w:r>
      <w:r>
        <w:rPr>
          <w:rFonts w:hint="eastAsia"/>
          <w:bCs/>
          <w:color w:val="000000" w:themeColor="text1"/>
          <w:sz w:val="24"/>
          <w:lang w:val="en-US" w:eastAsia="zh-CN"/>
          <w14:textFill>
            <w14:solidFill>
              <w14:schemeClr w14:val="tx1"/>
            </w14:solidFill>
          </w14:textFill>
        </w:rPr>
        <w:t>15个工作日</w:t>
      </w:r>
      <w:r>
        <w:rPr>
          <w:rFonts w:ascii="宋体" w:hAnsi="宋体"/>
          <w:bCs/>
          <w:color w:val="000000" w:themeColor="text1"/>
          <w:sz w:val="24"/>
          <w14:textFill>
            <w14:solidFill>
              <w14:schemeClr w14:val="tx1"/>
            </w14:solidFill>
          </w14:textFill>
        </w:rPr>
        <w:t>的期间内，基金投资不受上述比例限制；</w:t>
      </w:r>
    </w:p>
    <w:p>
      <w:pPr>
        <w:spacing w:line="360" w:lineRule="auto"/>
        <w:ind w:firstLine="720" w:firstLineChars="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2）开放期内，本基金持有的现金或者到期日在一年以内的政府债券不低于基金资产净值的5％，其中现金不包括结算备付金、存出保证金、应收申购款等；在封闭期内，本基金不受上述5%的限制；</w:t>
      </w:r>
    </w:p>
    <w:p>
      <w:pPr>
        <w:spacing w:line="360" w:lineRule="auto"/>
        <w:ind w:firstLine="720" w:firstLineChars="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3）本基金持有一家公司发行的证券，其市值不超过基金资产净值的10％；</w:t>
      </w:r>
    </w:p>
    <w:p>
      <w:pPr>
        <w:spacing w:line="360" w:lineRule="auto"/>
        <w:ind w:firstLine="720" w:firstLineChars="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4）本基金管理人管理的全部基金持有一家公司发行的证券，不超过该证券的10％；</w:t>
      </w:r>
    </w:p>
    <w:p>
      <w:pPr>
        <w:spacing w:line="360" w:lineRule="auto"/>
        <w:ind w:firstLine="720" w:firstLineChars="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5）本基金进入全国银行间同业市场进行债券回购的最长期限为1年，债券回购到期后不得展期；</w:t>
      </w:r>
    </w:p>
    <w:p>
      <w:pPr>
        <w:spacing w:line="360" w:lineRule="auto"/>
        <w:ind w:firstLine="720" w:firstLineChars="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6）封闭期内，本基金资产总值不得超过基金资产净值的200%；开放期内，本基金资产总值不超过基金资产净值的140%；</w:t>
      </w:r>
    </w:p>
    <w:p>
      <w:pPr>
        <w:spacing w:line="360" w:lineRule="auto"/>
        <w:ind w:firstLine="720" w:firstLineChars="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开放期内，本基金主动投资于流动性受限资产的市值合计不得超过该基金资产净值的15%；因证券市场波动、基金规模变动等基金管理人之外的因素致使基金不符合该比例限制的，基金管理人不得主动新增流动性受限资产的投资；</w:t>
      </w:r>
    </w:p>
    <w:p>
      <w:pPr>
        <w:spacing w:line="360" w:lineRule="auto"/>
        <w:ind w:firstLine="720" w:firstLineChars="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8）本基金与私募类证券资管产品及中国证监会认定的其他主体为交易对手开展逆回购交易的，可接受质押品的资质要求应当与基金合同约定的投资范围保持一致；</w:t>
      </w:r>
    </w:p>
    <w:p>
      <w:pPr>
        <w:spacing w:line="360" w:lineRule="auto"/>
        <w:ind w:firstLine="720" w:firstLineChars="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9）法律法规及中国证监会规定的和《基金合同》约定的其他投资限制。</w:t>
      </w:r>
    </w:p>
    <w:p>
      <w:pPr>
        <w:spacing w:line="360" w:lineRule="auto"/>
        <w:ind w:firstLine="720" w:firstLineChars="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基金托管人对上述指标的监督义务，仅限于监督由基金管理人管理且由基金托管人托管的全部公募基金是否符合上述比例限制。《基金法》及其他有关法律法规或监管部门取消上述限制的，履行适当程序后，基金不受上述限制。</w:t>
      </w:r>
    </w:p>
    <w:p>
      <w:pPr>
        <w:spacing w:line="440" w:lineRule="atLeas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（3）法律法规允许的基金投资比例调整期限</w:t>
      </w:r>
    </w:p>
    <w:p>
      <w:pPr>
        <w:spacing w:line="440" w:lineRule="atLeas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除上述第（</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）项的2）、</w:t>
      </w: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8）情形之外，因证券市场波动、证券发行人合并、基金规模变动等基金管理人之外的因素致使基金投资比例不符合上述规定投资比例的，基金管理人应当在10个交易日内进行调整，但中国证监会规定的特殊情形除外。</w:t>
      </w:r>
    </w:p>
    <w:p>
      <w:pPr>
        <w:spacing w:line="440" w:lineRule="atLeast"/>
        <w:ind w:right="28"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pPr>
        <w:spacing w:line="440" w:lineRule="atLeast"/>
        <w:ind w:right="28"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果法律法规或监管部门对上述投资组合比例限制进行变更的，则本基金投资以变更后的规定为准。法律法规或监管部门取消上述限制，如适用于本基金，基金管理人在履行适当程序后，则本基金投资不再受相关限制。</w:t>
      </w:r>
    </w:p>
    <w:p>
      <w:pPr>
        <w:spacing w:after="120"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3、基金托管人根据有关法律法规的规定及《基金合同》的约定对下述基金投资禁止行为进行监督：</w:t>
      </w:r>
    </w:p>
    <w:p>
      <w:pPr>
        <w:spacing w:line="360" w:lineRule="auto"/>
        <w:ind w:left="1"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根据法律法规的规定及《基金合同》的约定，本基金禁止从事下列行为：</w:t>
      </w:r>
    </w:p>
    <w:p>
      <w:pPr>
        <w:spacing w:line="360" w:lineRule="auto"/>
        <w:ind w:left="1"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（1）承销证券；</w:t>
      </w:r>
    </w:p>
    <w:p>
      <w:pPr>
        <w:spacing w:line="360" w:lineRule="auto"/>
        <w:ind w:left="1"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（2）违反规定向他人贷款或者提供担保；</w:t>
      </w:r>
    </w:p>
    <w:p>
      <w:pPr>
        <w:spacing w:line="360" w:lineRule="auto"/>
        <w:ind w:left="1"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（3）从事承担无限责任的投资；</w:t>
      </w:r>
    </w:p>
    <w:p>
      <w:pPr>
        <w:spacing w:line="360" w:lineRule="auto"/>
        <w:ind w:left="1"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（4）买卖其他基金份额，但是中国证监会另有规定的除外；</w:t>
      </w:r>
    </w:p>
    <w:p>
      <w:pPr>
        <w:spacing w:line="360" w:lineRule="auto"/>
        <w:ind w:left="1"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（5）向其基金管理人、基金托管人出资；</w:t>
      </w:r>
    </w:p>
    <w:p>
      <w:pPr>
        <w:spacing w:line="360" w:lineRule="auto"/>
        <w:ind w:left="1"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（6）从事内幕交易、操纵证券交易价格及其他不正当的证券交易活动；</w:t>
      </w:r>
    </w:p>
    <w:p>
      <w:pPr>
        <w:spacing w:line="360" w:lineRule="auto"/>
        <w:ind w:left="1"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（7）法律、行政法规和中国证监会规定禁止的其他活动。</w:t>
      </w:r>
    </w:p>
    <w:p>
      <w:pPr>
        <w:spacing w:line="360" w:lineRule="auto"/>
        <w:ind w:left="1"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left="1"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法律、行政法规或监管部门取消或变更上述禁止性或限制性规定，如适用于本基金，则基金管理人在履行适当程序后，本基金可不受上述规定的限制</w:t>
      </w:r>
      <w:r>
        <w:rPr>
          <w:rFonts w:hint="eastAsia" w:ascii="宋体" w:hAnsi="宋体"/>
          <w:bCs/>
          <w:color w:val="000000" w:themeColor="text1"/>
          <w:sz w:val="24"/>
          <w14:textFill>
            <w14:solidFill>
              <w14:schemeClr w14:val="tx1"/>
            </w14:solidFill>
          </w14:textFill>
        </w:rPr>
        <w:t>或以变更后的规定为准</w:t>
      </w:r>
      <w:r>
        <w:rPr>
          <w:rFonts w:hint="eastAsia" w:ascii="宋体" w:hAnsi="宋体"/>
          <w:color w:val="000000" w:themeColor="text1"/>
          <w:sz w:val="24"/>
          <w14:textFill>
            <w14:solidFill>
              <w14:schemeClr w14:val="tx1"/>
            </w14:solidFill>
          </w14:textFill>
        </w:rPr>
        <w:t>。</w:t>
      </w:r>
    </w:p>
    <w:p>
      <w:pPr>
        <w:spacing w:line="440" w:lineRule="exact"/>
        <w:ind w:firstLine="397"/>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4、基金托管人依据有关法律法规的规定和《基金合同》的约定对于基金关联投资限制进行监督。</w:t>
      </w:r>
    </w:p>
    <w:p>
      <w:pPr>
        <w:spacing w:after="120"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如法律法规或《基金合同》有关于基金从事关联交易的规定，基金管理人和基金托管人事先相互提供与本机构有控股关系的股东、与本机构有其他重大利害关系的公司名单及有关关联方发行的证券清单,</w:t>
      </w:r>
      <w:r>
        <w:rPr>
          <w:rFonts w:hint="eastAsia"/>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加盖公章并书面提交。双方有责任确保关联交易名单的真实性、准确性、完整性，并及时发送更新后的名单。名单变更后各方应及时发送对方，经对方确认后，新的关联交易名单开始生效。基金托管人仅按基金管理人提供的基金关联方名单为限,进行监督。基金管理人或基金托管人隐瞒其关联方及关联方发行的证券，导致基金违规进行关联交易，并造成基金资产损失的，由隐瞒方承担责任。</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5、基金托管人</w:t>
      </w:r>
      <w:r>
        <w:rPr>
          <w:rFonts w:hint="eastAsia" w:ascii="宋体" w:hAnsi="宋体" w:cs="宋体"/>
          <w:color w:val="000000" w:themeColor="text1"/>
          <w:kern w:val="0"/>
          <w:sz w:val="24"/>
          <w14:textFill>
            <w14:solidFill>
              <w14:schemeClr w14:val="tx1"/>
            </w14:solidFill>
          </w14:textFill>
        </w:rPr>
        <w:t>依据有关法律法规的规定和《基金合同》的约定</w:t>
      </w:r>
      <w:r>
        <w:rPr>
          <w:rFonts w:hint="eastAsia" w:ascii="宋体" w:hAnsi="宋体"/>
          <w:color w:val="000000" w:themeColor="text1"/>
          <w:sz w:val="24"/>
          <w14:textFill>
            <w14:solidFill>
              <w14:schemeClr w14:val="tx1"/>
            </w14:solidFill>
          </w14:textFill>
        </w:rPr>
        <w:t>对基金管理人参与银行间债券市场进行监督。</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托管人根据基金管理人提供的银行间债券市场交易对手名单进行监督。基金管理人有责任控制交易对手的资信风险，由于交易对手的资信风险引起的损失，基金管理人应当负责向相关责任人追偿。如基金管理人在基金首次投资银行间债券市场之前仍未向基金托管人提供银行间债券市场交易对手名单的，视为基金管理人认可全市场交易对手。</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6、基金托管人依据有关法律法规的规定和《基金合同》的约定，对基金银行存款业务进行监督。</w:t>
      </w:r>
    </w:p>
    <w:p>
      <w:pPr>
        <w:spacing w:line="440" w:lineRule="exact"/>
        <w:ind w:firstLine="516" w:firstLineChars="215"/>
        <w:rPr>
          <w:rFonts w:ascii="宋体" w:hAnsi="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基金管理人应当加强对基金投资银行存款风险的评估与研究，严格测算与控制投资银行存款的风险敞口，针对不同类型存款银行建立相关投资限制制度。</w:t>
      </w:r>
      <w:r>
        <w:rPr>
          <w:rFonts w:hint="eastAsia" w:ascii="宋体" w:hAnsi="宋体"/>
          <w:color w:val="000000" w:themeColor="text1"/>
          <w:kern w:val="0"/>
          <w:sz w:val="24"/>
          <w14:textFill>
            <w14:solidFill>
              <w14:schemeClr w14:val="tx1"/>
            </w14:solidFill>
          </w14:textFill>
        </w:rPr>
        <w:t>如果基金托管人在运作过程中遵循</w:t>
      </w:r>
      <w:r>
        <w:rPr>
          <w:rFonts w:hint="eastAsia" w:ascii="宋体" w:hAnsi="宋体" w:cs="宋体"/>
          <w:color w:val="000000" w:themeColor="text1"/>
          <w:kern w:val="0"/>
          <w:sz w:val="24"/>
          <w14:textFill>
            <w14:solidFill>
              <w14:schemeClr w14:val="tx1"/>
            </w14:solidFill>
          </w14:textFill>
        </w:rPr>
        <w:t>有关法律法规的规定和《基金合同》的约定</w:t>
      </w:r>
      <w:r>
        <w:rPr>
          <w:rFonts w:hint="eastAsia" w:ascii="宋体" w:hAnsi="宋体"/>
          <w:color w:val="000000" w:themeColor="text1"/>
          <w:kern w:val="0"/>
          <w:sz w:val="24"/>
          <w14:textFill>
            <w14:solidFill>
              <w14:schemeClr w14:val="tx1"/>
            </w14:solidFill>
          </w14:textFill>
        </w:rPr>
        <w:t>监督流程，则对于由于存款银行信用风险引起的损失，不承担赔偿责任。</w:t>
      </w:r>
    </w:p>
    <w:p>
      <w:pPr>
        <w:pStyle w:val="3"/>
        <w:keepNext w:val="0"/>
        <w:keepLines w:val="0"/>
        <w:autoSpaceDE w:val="0"/>
        <w:autoSpaceDN w:val="0"/>
        <w:adjustRightInd w:val="0"/>
        <w:spacing w:before="0" w:after="0" w:line="360" w:lineRule="auto"/>
        <w:ind w:firstLine="360" w:firstLineChars="150"/>
        <w:textAlignment w:val="baseline"/>
        <w:rPr>
          <w:rFonts w:ascii="宋体" w:hAnsi="宋体" w:eastAsia="宋体"/>
          <w:b w:val="0"/>
          <w:color w:val="000000" w:themeColor="text1"/>
          <w:sz w:val="24"/>
          <w:szCs w:val="24"/>
          <w14:textFill>
            <w14:solidFill>
              <w14:schemeClr w14:val="tx1"/>
            </w14:solidFill>
          </w14:textFill>
        </w:rPr>
      </w:pPr>
      <w:bookmarkStart w:id="11" w:name="_Toc382819074"/>
      <w:r>
        <w:rPr>
          <w:rFonts w:hint="eastAsia" w:ascii="宋体" w:hAnsi="宋体" w:eastAsia="宋体"/>
          <w:b w:val="0"/>
          <w:color w:val="000000" w:themeColor="text1"/>
          <w:sz w:val="24"/>
          <w:szCs w:val="24"/>
          <w14:textFill>
            <w14:solidFill>
              <w14:schemeClr w14:val="tx1"/>
            </w14:solidFill>
          </w14:textFill>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bookmarkEnd w:id="11"/>
    </w:p>
    <w:p>
      <w:pPr>
        <w:pStyle w:val="3"/>
        <w:keepNext w:val="0"/>
        <w:keepLines w:val="0"/>
        <w:autoSpaceDE w:val="0"/>
        <w:autoSpaceDN w:val="0"/>
        <w:adjustRightInd w:val="0"/>
        <w:spacing w:before="0" w:after="0" w:line="360" w:lineRule="auto"/>
        <w:ind w:firstLine="360" w:firstLineChars="150"/>
        <w:textAlignment w:val="baseline"/>
        <w:rPr>
          <w:rFonts w:ascii="宋体" w:hAnsi="宋体" w:eastAsia="宋体"/>
          <w:b w:val="0"/>
          <w:color w:val="000000" w:themeColor="text1"/>
          <w:sz w:val="24"/>
          <w:szCs w:val="24"/>
          <w14:textFill>
            <w14:solidFill>
              <w14:schemeClr w14:val="tx1"/>
            </w14:solidFill>
          </w14:textFill>
        </w:rPr>
      </w:pPr>
      <w:bookmarkStart w:id="12" w:name="_Toc382819075"/>
      <w:r>
        <w:rPr>
          <w:rFonts w:hint="eastAsia" w:ascii="宋体" w:hAnsi="宋体" w:eastAsia="宋体"/>
          <w:b w:val="0"/>
          <w:color w:val="000000" w:themeColor="text1"/>
          <w:sz w:val="24"/>
          <w:szCs w:val="24"/>
          <w14:textFill>
            <w14:solidFill>
              <w14:schemeClr w14:val="tx1"/>
            </w14:solidFill>
          </w14:textFill>
        </w:rPr>
        <w:t>（三）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bookmarkEnd w:id="12"/>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在限期内，基金托管人有权随时对通知事项进行复查，督促基金管理人改正。基金管理人对基金托管人通知的违规事项未能在限期内纠正的，基金托管人应报告中国证监会。</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管理人有义务配合和协助基金托管人依照法律法规、《基金合同》和本托管协议对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基金托管人应当依照法律法规和基金合同约定，加强对侧袋机制启用、特定资产处置和信息披露方面的复核和监督。</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若基金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对于必须于估值完成后方可获知的监控指标或依据交易程序已经成交的投资指令，基金托管人发现该投资指令违反法律法规或者违反《基金合同》约定的，应当立即通知基金管理人，并报告中国证监会。</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基金托管人发现基金管理人有重大违规行为，应立即报告中国证监会，同时通知基金管理人限期纠正。</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pPr>
        <w:widowControl/>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color w:val="000000" w:themeColor="text1"/>
          <w:sz w:val="30"/>
          <w:szCs w:val="30"/>
          <w14:textFill>
            <w14:solidFill>
              <w14:schemeClr w14:val="tx1"/>
            </w14:solidFill>
          </w14:textFill>
        </w:rPr>
      </w:pPr>
      <w:bookmarkStart w:id="13" w:name="_Toc382819076"/>
      <w:r>
        <w:rPr>
          <w:rFonts w:hint="eastAsia" w:ascii="宋体" w:hAnsi="宋体" w:eastAsia="宋体" w:cs="Arial"/>
          <w:color w:val="000000" w:themeColor="text1"/>
          <w:sz w:val="30"/>
          <w:szCs w:val="30"/>
          <w14:textFill>
            <w14:solidFill>
              <w14:schemeClr w14:val="tx1"/>
            </w14:solidFill>
          </w14:textFill>
        </w:rPr>
        <w:t>基金管理人对基金托管人的业务核查</w:t>
      </w:r>
      <w:bookmarkEnd w:id="13"/>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管理人对基金托管人履行托管职责情况进行核查，核查事项包括但不限于基金托管人是否安全保管基金财产、是否分别开设基金财产的资金账户和证券账户及投资所需其他账户、是否复核基金管理人计算的基金资产净值和基金份额净值、是否根据基金管理人指令办理清算交收、进行相关信息披露和监督基金投资运作等行为。</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基金托管人应积极配合基金管理人的核查行为，包括但不限于：提交相关资料以供基金管理人核查托管财产的完整性和真实性，在规定时间内答复基金管理人并改正。</w:t>
      </w:r>
    </w:p>
    <w:p>
      <w:pPr>
        <w:spacing w:line="360" w:lineRule="auto"/>
        <w:ind w:firstLine="480" w:firstLineChars="200"/>
        <w:rPr>
          <w:rFonts w:ascii="宋体" w:hAnsi="宋体"/>
          <w:color w:val="000000" w:themeColor="text1"/>
          <w:sz w:val="24"/>
          <w14:textFill>
            <w14:solidFill>
              <w14:schemeClr w14:val="tx1"/>
            </w14:solidFill>
          </w14:textFill>
        </w:rPr>
      </w:pPr>
      <w:bookmarkStart w:id="14" w:name="_Toc382819077"/>
      <w:bookmarkStart w:id="15" w:name="_Toc382818598"/>
      <w:r>
        <w:rPr>
          <w:rFonts w:hint="eastAsia" w:ascii="宋体" w:hAnsi="宋体"/>
          <w:color w:val="000000" w:themeColor="text1"/>
          <w:sz w:val="24"/>
          <w14:textFill>
            <w14:solidFill>
              <w14:schemeClr w14:val="tx1"/>
            </w14:solidFill>
          </w14:textFill>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14"/>
      <w:bookmarkEnd w:id="15"/>
    </w:p>
    <w:p>
      <w:pPr>
        <w:widowControl/>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color w:val="000000" w:themeColor="text1"/>
          <w:sz w:val="30"/>
          <w:szCs w:val="30"/>
          <w14:textFill>
            <w14:solidFill>
              <w14:schemeClr w14:val="tx1"/>
            </w14:solidFill>
          </w14:textFill>
        </w:rPr>
      </w:pPr>
      <w:bookmarkStart w:id="16" w:name="_Toc382819078"/>
      <w:r>
        <w:rPr>
          <w:rFonts w:hint="eastAsia" w:ascii="宋体" w:hAnsi="宋体" w:eastAsia="宋体" w:cs="Arial"/>
          <w:color w:val="000000" w:themeColor="text1"/>
          <w:sz w:val="30"/>
          <w:szCs w:val="30"/>
          <w14:textFill>
            <w14:solidFill>
              <w14:schemeClr w14:val="tx1"/>
            </w14:solidFill>
          </w14:textFill>
        </w:rPr>
        <w:t>基金财产保管</w:t>
      </w:r>
      <w:bookmarkEnd w:id="16"/>
    </w:p>
    <w:p>
      <w:pPr>
        <w:pStyle w:val="3"/>
        <w:keepNext w:val="0"/>
        <w:keepLines w:val="0"/>
        <w:autoSpaceDE w:val="0"/>
        <w:autoSpaceDN w:val="0"/>
        <w:adjustRightInd w:val="0"/>
        <w:spacing w:before="0" w:after="0" w:line="360" w:lineRule="auto"/>
        <w:ind w:firstLine="360" w:firstLineChars="150"/>
        <w:textAlignment w:val="baseline"/>
        <w:rPr>
          <w:rFonts w:ascii="宋体" w:hAnsi="宋体" w:eastAsia="宋体"/>
          <w:b w:val="0"/>
          <w:bCs w:val="0"/>
          <w:color w:val="000000" w:themeColor="text1"/>
          <w:sz w:val="24"/>
          <w:szCs w:val="24"/>
          <w14:textFill>
            <w14:solidFill>
              <w14:schemeClr w14:val="tx1"/>
            </w14:solidFill>
          </w14:textFill>
        </w:rPr>
      </w:pPr>
      <w:bookmarkStart w:id="17" w:name="_Toc382819079"/>
      <w:r>
        <w:rPr>
          <w:rFonts w:hint="eastAsia" w:ascii="宋体" w:hAnsi="宋体" w:eastAsia="宋体"/>
          <w:b w:val="0"/>
          <w:bCs w:val="0"/>
          <w:color w:val="000000" w:themeColor="text1"/>
          <w:sz w:val="24"/>
          <w:szCs w:val="24"/>
          <w14:textFill>
            <w14:solidFill>
              <w14:schemeClr w14:val="tx1"/>
            </w14:solidFill>
          </w14:textFill>
        </w:rPr>
        <w:t>（一）基金财产保管的原则</w:t>
      </w:r>
      <w:bookmarkEnd w:id="17"/>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1、基金财产应独立于基金管理人、基金托管人的固有财产。</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基金托管人应按本协议规定安全保管托管财产。未经基金管理人的指令，不得自行运用、处分、分配基金的任何财产（基金托管人主动扣收的汇划费除外）。基金托管人不对处于自身实际控制之外的账户及财产承担责任。</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3、基金托管人按照规定为托管的基金财产开设资金账户和证券账户及投资所需其他账户。</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4、基金托管人对所托管的不同基金财产分别设置账户，与基金托管人的其他业务和其他基金的托管业务实行严格的分账管理，独立核算，确保基金财产的完整与独立。</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基金管理人的追偿行为应予以必要的协助与配合，但对基金财产的损失不承担责任。</w:t>
      </w:r>
    </w:p>
    <w:p>
      <w:pPr>
        <w:pStyle w:val="3"/>
        <w:keepNext w:val="0"/>
        <w:keepLines w:val="0"/>
        <w:autoSpaceDE w:val="0"/>
        <w:autoSpaceDN w:val="0"/>
        <w:adjustRightInd w:val="0"/>
        <w:spacing w:before="0" w:after="0" w:line="360" w:lineRule="auto"/>
        <w:ind w:firstLine="480" w:firstLineChars="200"/>
        <w:textAlignment w:val="baseline"/>
        <w:rPr>
          <w:rFonts w:ascii="宋体" w:hAnsi="宋体" w:eastAsia="宋体"/>
          <w:b w:val="0"/>
          <w:bCs w:val="0"/>
          <w:color w:val="000000" w:themeColor="text1"/>
          <w:sz w:val="24"/>
          <w:szCs w:val="24"/>
          <w14:textFill>
            <w14:solidFill>
              <w14:schemeClr w14:val="tx1"/>
            </w14:solidFill>
          </w14:textFill>
        </w:rPr>
      </w:pPr>
      <w:bookmarkStart w:id="18" w:name="_Toc382819080"/>
      <w:r>
        <w:rPr>
          <w:rFonts w:hint="eastAsia" w:ascii="宋体" w:hAnsi="宋体" w:eastAsia="宋体"/>
          <w:b w:val="0"/>
          <w:bCs w:val="0"/>
          <w:color w:val="000000" w:themeColor="text1"/>
          <w:sz w:val="24"/>
          <w:szCs w:val="24"/>
          <w14:textFill>
            <w14:solidFill>
              <w14:schemeClr w14:val="tx1"/>
            </w14:solidFill>
          </w14:textFill>
        </w:rPr>
        <w:t>（二）募集资金的验证</w:t>
      </w:r>
      <w:bookmarkEnd w:id="18"/>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募集期内销售机构按销售与服务代理协议的约定，将认购资金划入基金管理人在具有托管资格的商业银行开设的“</w:t>
      </w:r>
      <w:r>
        <w:rPr>
          <w:rFonts w:hint="eastAsia" w:ascii="宋体" w:hAnsi="宋体"/>
          <w:color w:val="000000" w:themeColor="text1"/>
          <w:sz w:val="24"/>
          <w:lang w:eastAsia="zh-CN"/>
          <w14:textFill>
            <w14:solidFill>
              <w14:schemeClr w14:val="tx1"/>
            </w14:solidFill>
          </w14:textFill>
        </w:rPr>
        <w:t>国新国证</w:t>
      </w:r>
      <w:r>
        <w:rPr>
          <w:rFonts w:hint="eastAsia" w:ascii="宋体" w:hAnsi="宋体"/>
          <w:color w:val="000000" w:themeColor="text1"/>
          <w:sz w:val="24"/>
          <w14:textFill>
            <w14:solidFill>
              <w14:schemeClr w14:val="tx1"/>
            </w14:solidFill>
          </w14:textFill>
        </w:rPr>
        <w:t>基金管理有限公司基金认购专户”。该账户由基金管理人开立并管理。基金募集期满，募集的基金份额总额、基金募集金额、基金份额持有人人数符合《基金法》、《运作办法》等有关规定后，由基金管理人聘请符合《中华人民共和国证券法》规定的会计师事务所进行验资，出具验资报告，出具的验资报告应由参加验资的2名以上（含2名）中国注册会计师签字方为有效。验资完成，基金管理人应将募集的属于本基金财产的全部资金划入基金托管人为基金开立的资产托管专户中，并确保划入的资金与验资金额相一致。基金托管人收到有效认购资金当日以书面形式确认资金到账情况，并及时将资金到账凭证传真给基金管理人，双方进行账务处理。</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若基金募集期限届满，未能达到《基金合同》备案的条件，由基金管理人按规定办理退款事宜，基金托管人应提供充分协助。</w:t>
      </w:r>
    </w:p>
    <w:p>
      <w:pPr>
        <w:pStyle w:val="3"/>
        <w:keepNext w:val="0"/>
        <w:keepLines w:val="0"/>
        <w:autoSpaceDE w:val="0"/>
        <w:autoSpaceDN w:val="0"/>
        <w:adjustRightInd w:val="0"/>
        <w:spacing w:before="0" w:after="0" w:line="360" w:lineRule="auto"/>
        <w:ind w:firstLine="480" w:firstLineChars="200"/>
        <w:textAlignment w:val="baseline"/>
        <w:rPr>
          <w:rFonts w:ascii="宋体" w:hAnsi="宋体" w:eastAsia="宋体"/>
          <w:b w:val="0"/>
          <w:bCs w:val="0"/>
          <w:color w:val="000000" w:themeColor="text1"/>
          <w:sz w:val="24"/>
          <w:szCs w:val="24"/>
          <w14:textFill>
            <w14:solidFill>
              <w14:schemeClr w14:val="tx1"/>
            </w14:solidFill>
          </w14:textFill>
        </w:rPr>
      </w:pPr>
      <w:bookmarkStart w:id="19" w:name="_Toc382819081"/>
      <w:r>
        <w:rPr>
          <w:rFonts w:hint="eastAsia" w:ascii="宋体" w:hAnsi="宋体" w:eastAsia="宋体"/>
          <w:b w:val="0"/>
          <w:bCs w:val="0"/>
          <w:color w:val="000000" w:themeColor="text1"/>
          <w:sz w:val="24"/>
          <w:szCs w:val="24"/>
          <w14:textFill>
            <w14:solidFill>
              <w14:schemeClr w14:val="tx1"/>
            </w14:solidFill>
          </w14:textFill>
        </w:rPr>
        <w:t>（三）基金资产托管专户的开立和管理</w:t>
      </w:r>
      <w:bookmarkEnd w:id="19"/>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托管人以基金的名义在其营业机构开设资产托管专户，并根据基金管理人合法合规的有效指令办理资金收付。基金管理人应根据法律法规及基金托管人的相关要求，提供开户所需的资料并提供其他必要协助。本基金的资产托管专户的预留印鉴的印章由基金托管人刻制、保管和使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基金的一切货币收支活动，均需通过基金托管人或基金的资产托管专户进行。基金的资产托管专户的开立和使用，限于满足开展本基金业务的需要。除因本基金业务需要，基金托管人和基金管理人不得假借本基金的名义开立其他任何银行账户；亦不得使用以基金名义开立的银行账户进行本基金业务以外的活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资产托管专户的管理应符合《人民币银行结算账户管理办法》、《现金管理暂行条例》、《人民币利率管理规定》、《利率管理暂行规定》、《支付结算办法》以及银行业监督管理机构的其他有关规定。</w:t>
      </w:r>
    </w:p>
    <w:p>
      <w:pPr>
        <w:pStyle w:val="3"/>
        <w:keepNext w:val="0"/>
        <w:keepLines w:val="0"/>
        <w:autoSpaceDE w:val="0"/>
        <w:autoSpaceDN w:val="0"/>
        <w:adjustRightInd w:val="0"/>
        <w:spacing w:before="0" w:after="0" w:line="360" w:lineRule="auto"/>
        <w:ind w:firstLine="480" w:firstLineChars="200"/>
        <w:textAlignment w:val="baseline"/>
        <w:rPr>
          <w:rFonts w:ascii="宋体" w:hAnsi="宋体" w:eastAsia="宋体"/>
          <w:b w:val="0"/>
          <w:bCs w:val="0"/>
          <w:color w:val="000000" w:themeColor="text1"/>
          <w:sz w:val="24"/>
          <w:szCs w:val="24"/>
          <w14:textFill>
            <w14:solidFill>
              <w14:schemeClr w14:val="tx1"/>
            </w14:solidFill>
          </w14:textFill>
        </w:rPr>
      </w:pPr>
      <w:bookmarkStart w:id="20" w:name="_Toc382819082"/>
      <w:r>
        <w:rPr>
          <w:rFonts w:hint="eastAsia" w:ascii="宋体" w:hAnsi="宋体" w:eastAsia="宋体"/>
          <w:b w:val="0"/>
          <w:bCs w:val="0"/>
          <w:color w:val="000000" w:themeColor="text1"/>
          <w:sz w:val="24"/>
          <w:szCs w:val="24"/>
          <w14:textFill>
            <w14:solidFill>
              <w14:schemeClr w14:val="tx1"/>
            </w14:solidFill>
          </w14:textFill>
        </w:rPr>
        <w:t>（四）基金证券账户与证券交易资金账户的开设和管理</w:t>
      </w:r>
      <w:bookmarkEnd w:id="20"/>
    </w:p>
    <w:p>
      <w:pPr>
        <w:tabs>
          <w:tab w:val="left" w:pos="468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基金托管人以基金托管人和本基金联名的方式在中国证券登记结算有限责任公司上海分公司/深圳分公司开立专门的证券账户。</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证券账户的开立和原始开户材料的保管由基金托管人负责，账户资产的管理和运用由基金管理人负责。基金托管人以基金托管人的名义在中国证券登记结算有限责任公司上海分公司/深圳分公司开立结算备付金账户，基金托管人代表所托管的基金完成与中国证券登记结算有限责任公司的一级法人清算工作，基金管理人应予以积极协助。结算备付金、证券结算保证金等的收取按照中国证券登记结算有限责任公司的规定和基金托管人为履行结算参与人的义务所制定的业务规则执行。</w:t>
      </w:r>
    </w:p>
    <w:p>
      <w:pPr>
        <w:pStyle w:val="3"/>
        <w:keepNext w:val="0"/>
        <w:keepLines w:val="0"/>
        <w:autoSpaceDE w:val="0"/>
        <w:autoSpaceDN w:val="0"/>
        <w:adjustRightInd w:val="0"/>
        <w:spacing w:before="0" w:after="0" w:line="360" w:lineRule="auto"/>
        <w:ind w:firstLine="480" w:firstLineChars="200"/>
        <w:textAlignment w:val="baseline"/>
        <w:rPr>
          <w:rFonts w:ascii="宋体" w:hAnsi="宋体" w:eastAsia="宋体"/>
          <w:b w:val="0"/>
          <w:bCs w:val="0"/>
          <w:color w:val="000000" w:themeColor="text1"/>
          <w:sz w:val="24"/>
          <w:szCs w:val="24"/>
          <w14:textFill>
            <w14:solidFill>
              <w14:schemeClr w14:val="tx1"/>
            </w14:solidFill>
          </w14:textFill>
        </w:rPr>
      </w:pPr>
      <w:bookmarkStart w:id="21" w:name="_Toc382819083"/>
      <w:r>
        <w:rPr>
          <w:rFonts w:hint="eastAsia" w:ascii="宋体" w:hAnsi="宋体" w:eastAsia="宋体"/>
          <w:b w:val="0"/>
          <w:bCs w:val="0"/>
          <w:color w:val="000000" w:themeColor="text1"/>
          <w:sz w:val="24"/>
          <w:szCs w:val="24"/>
          <w14:textFill>
            <w14:solidFill>
              <w14:schemeClr w14:val="tx1"/>
            </w14:solidFill>
          </w14:textFill>
        </w:rPr>
        <w:t>（五）银行间市场债券托管和资金结算专户的开立和管理及市场准入备案</w:t>
      </w:r>
      <w:bookmarkEnd w:id="21"/>
    </w:p>
    <w:p>
      <w:pPr>
        <w:spacing w:line="360" w:lineRule="auto"/>
        <w:ind w:firstLine="480" w:firstLineChars="200"/>
        <w:rPr>
          <w:rFonts w:ascii="宋体" w:hAnsi="宋体"/>
          <w:color w:val="000000" w:themeColor="text1"/>
          <w:sz w:val="24"/>
          <w14:textFill>
            <w14:solidFill>
              <w14:schemeClr w14:val="tx1"/>
            </w14:solidFill>
          </w14:textFill>
        </w:rPr>
      </w:pPr>
      <w:bookmarkStart w:id="22" w:name="_Toc382819084"/>
      <w:r>
        <w:rPr>
          <w:rFonts w:hint="eastAsia" w:ascii="宋体" w:hAnsi="宋体"/>
          <w:color w:val="000000" w:themeColor="text1"/>
          <w:sz w:val="24"/>
          <w14:textFill>
            <w14:solidFill>
              <w14:schemeClr w14:val="tx1"/>
            </w14:solidFill>
          </w14:textFill>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管人协助基金管理人完成银行间债券市场准入备案。</w:t>
      </w:r>
      <w:bookmarkEnd w:id="22"/>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（六）其他账户的开设和管理</w:t>
      </w:r>
    </w:p>
    <w:p>
      <w:pPr>
        <w:tabs>
          <w:tab w:val="left" w:pos="468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1、因业务发展而需要开立的其它账户，可以根据《基金合同》或有关法律法规的规定，经基金管理人和基金托管人协商一致后，由基金托管人负责为基金开立。新账户按有关规则使用并管理。</w:t>
      </w:r>
    </w:p>
    <w:p>
      <w:pPr>
        <w:tabs>
          <w:tab w:val="left" w:pos="468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2、法律、法规等有关规定对相关账户的开立和管理另有规定的，从其规定办理。</w:t>
      </w:r>
    </w:p>
    <w:p>
      <w:pPr>
        <w:pStyle w:val="3"/>
        <w:keepNext w:val="0"/>
        <w:keepLines w:val="0"/>
        <w:autoSpaceDE w:val="0"/>
        <w:autoSpaceDN w:val="0"/>
        <w:adjustRightInd w:val="0"/>
        <w:spacing w:before="0" w:after="0" w:line="360" w:lineRule="auto"/>
        <w:ind w:firstLine="480" w:firstLineChars="200"/>
        <w:textAlignment w:val="baseline"/>
        <w:rPr>
          <w:rFonts w:ascii="宋体" w:hAnsi="宋体" w:eastAsia="宋体"/>
          <w:b w:val="0"/>
          <w:bCs w:val="0"/>
          <w:color w:val="000000" w:themeColor="text1"/>
          <w:sz w:val="24"/>
          <w:szCs w:val="24"/>
          <w14:textFill>
            <w14:solidFill>
              <w14:schemeClr w14:val="tx1"/>
            </w14:solidFill>
          </w14:textFill>
        </w:rPr>
      </w:pPr>
      <w:bookmarkStart w:id="23" w:name="_Toc382819085"/>
      <w:r>
        <w:rPr>
          <w:rFonts w:hint="eastAsia" w:ascii="宋体" w:hAnsi="宋体" w:eastAsia="宋体"/>
          <w:b w:val="0"/>
          <w:bCs w:val="0"/>
          <w:color w:val="000000" w:themeColor="text1"/>
          <w:sz w:val="24"/>
          <w:szCs w:val="24"/>
          <w14:textFill>
            <w14:solidFill>
              <w14:schemeClr w14:val="tx1"/>
            </w14:solidFill>
          </w14:textFill>
        </w:rPr>
        <w:t>（七）基金投资银行存款账户的开立和管理</w:t>
      </w:r>
      <w:bookmarkEnd w:id="23"/>
    </w:p>
    <w:p>
      <w:pPr>
        <w:tabs>
          <w:tab w:val="left" w:pos="468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基金投资银行定期存款，基金管理人与基金托管人应比照相关规定，就本基金投资银行存款业务签订书面协议。</w:t>
      </w:r>
    </w:p>
    <w:p>
      <w:pPr>
        <w:tabs>
          <w:tab w:val="left" w:pos="468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基金投资银行定期存款应由基金管理人与存款银行总行或其授权分行签订总体合作协议，并将资金存放于存款银行总行或其授权分行指定的分支机构。</w:t>
      </w:r>
    </w:p>
    <w:p>
      <w:pPr>
        <w:tabs>
          <w:tab w:val="left" w:pos="468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存款账户必须以基金名义开立，账户名称为基金名称，存款账户开户文件上加盖预留印鉴及基金管理人公章。</w:t>
      </w:r>
    </w:p>
    <w:p>
      <w:pPr>
        <w:tabs>
          <w:tab w:val="left" w:pos="468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本基金投资银行存款时，基金管理人应当与存款银行签订具体存款协议，明确存款的类型、期限、利率、金额、账号、对账方式、支取方式、账户管理等细则。</w:t>
      </w:r>
    </w:p>
    <w:p>
      <w:pPr>
        <w:tabs>
          <w:tab w:val="left" w:pos="468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为防范特殊情况下的流动性风险，定期存款协议中应当约定提前支取条款。</w:t>
      </w:r>
    </w:p>
    <w:p>
      <w:pPr>
        <w:pStyle w:val="3"/>
        <w:keepNext w:val="0"/>
        <w:keepLines w:val="0"/>
        <w:autoSpaceDE w:val="0"/>
        <w:autoSpaceDN w:val="0"/>
        <w:adjustRightInd w:val="0"/>
        <w:spacing w:before="0" w:after="0" w:line="360" w:lineRule="auto"/>
        <w:ind w:firstLine="480" w:firstLineChars="200"/>
        <w:textAlignment w:val="baseline"/>
        <w:rPr>
          <w:rFonts w:ascii="宋体" w:hAnsi="宋体" w:eastAsia="宋体"/>
          <w:b w:val="0"/>
          <w:bCs w:val="0"/>
          <w:color w:val="000000" w:themeColor="text1"/>
          <w:sz w:val="24"/>
          <w:szCs w:val="24"/>
          <w14:textFill>
            <w14:solidFill>
              <w14:schemeClr w14:val="tx1"/>
            </w14:solidFill>
          </w14:textFill>
        </w:rPr>
      </w:pPr>
      <w:bookmarkStart w:id="24" w:name="_Toc382819086"/>
      <w:r>
        <w:rPr>
          <w:rFonts w:hint="eastAsia" w:ascii="宋体" w:hAnsi="宋体" w:eastAsia="宋体"/>
          <w:b w:val="0"/>
          <w:bCs w:val="0"/>
          <w:color w:val="000000" w:themeColor="text1"/>
          <w:sz w:val="24"/>
          <w:szCs w:val="24"/>
          <w14:textFill>
            <w14:solidFill>
              <w14:schemeClr w14:val="tx1"/>
            </w14:solidFill>
          </w14:textFill>
        </w:rPr>
        <w:t>基金所投资定期存款存续期间，基金管理人、基金托管人应当与存款银行建立定期对账机制，确保基金银行存款业务账目及核对的真实、准确。</w:t>
      </w:r>
      <w:bookmarkEnd w:id="24"/>
    </w:p>
    <w:p>
      <w:pPr>
        <w:pStyle w:val="3"/>
        <w:keepNext w:val="0"/>
        <w:keepLines w:val="0"/>
        <w:autoSpaceDE w:val="0"/>
        <w:autoSpaceDN w:val="0"/>
        <w:adjustRightInd w:val="0"/>
        <w:spacing w:before="0" w:after="0" w:line="360" w:lineRule="auto"/>
        <w:ind w:firstLine="480" w:firstLineChars="200"/>
        <w:textAlignment w:val="baseline"/>
        <w:rPr>
          <w:rFonts w:ascii="宋体" w:hAnsi="宋体" w:eastAsia="宋体"/>
          <w:b w:val="0"/>
          <w:bCs w:val="0"/>
          <w:color w:val="000000" w:themeColor="text1"/>
          <w:sz w:val="24"/>
          <w:szCs w:val="24"/>
          <w14:textFill>
            <w14:solidFill>
              <w14:schemeClr w14:val="tx1"/>
            </w14:solidFill>
          </w14:textFill>
        </w:rPr>
      </w:pPr>
      <w:bookmarkStart w:id="25" w:name="_Toc382819087"/>
      <w:r>
        <w:rPr>
          <w:rFonts w:hint="eastAsia" w:ascii="宋体" w:hAnsi="宋体" w:eastAsia="宋体"/>
          <w:b w:val="0"/>
          <w:bCs w:val="0"/>
          <w:color w:val="000000" w:themeColor="text1"/>
          <w:sz w:val="24"/>
          <w:szCs w:val="24"/>
          <w14:textFill>
            <w14:solidFill>
              <w14:schemeClr w14:val="tx1"/>
            </w14:solidFill>
          </w14:textFill>
        </w:rPr>
        <w:t>（八）基金财产投资的有关实物证券、银行定期存款存单等有价凭证的保管</w:t>
      </w:r>
      <w:bookmarkEnd w:id="25"/>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财产投资的有关实物证券由基金托管人存放于基金托管人的保管库；其中实物证券也可存入中央国债登记结算有限责任公司、中国证券登记结算有限责任公司上海分公司/深圳分公司、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pPr>
        <w:pStyle w:val="3"/>
        <w:keepNext w:val="0"/>
        <w:keepLines w:val="0"/>
        <w:autoSpaceDE w:val="0"/>
        <w:autoSpaceDN w:val="0"/>
        <w:adjustRightInd w:val="0"/>
        <w:spacing w:before="0" w:after="0" w:line="360" w:lineRule="auto"/>
        <w:ind w:firstLine="480" w:firstLineChars="200"/>
        <w:textAlignment w:val="baseline"/>
        <w:rPr>
          <w:rFonts w:ascii="宋体" w:hAnsi="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（九）与基金财产有关的重大合同的保管</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保存期限不低于法律法规规定的最低期限。</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对于无法取得二份以上的正本的，基金管理人应向基金托管人提供与合同原件核对一致的并加盖基金管理人公章的合同传真件或复印件，未经双方协商一致，合同原件不得转移。</w:t>
      </w:r>
    </w:p>
    <w:p>
      <w:pPr>
        <w:widowControl/>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color w:val="000000" w:themeColor="text1"/>
          <w:sz w:val="30"/>
          <w:szCs w:val="30"/>
          <w14:textFill>
            <w14:solidFill>
              <w14:schemeClr w14:val="tx1"/>
            </w14:solidFill>
          </w14:textFill>
        </w:rPr>
      </w:pPr>
      <w:bookmarkStart w:id="26" w:name="_Toc382819088"/>
      <w:r>
        <w:rPr>
          <w:rFonts w:hint="eastAsia" w:ascii="宋体" w:hAnsi="宋体" w:eastAsia="宋体" w:cs="Arial"/>
          <w:color w:val="000000" w:themeColor="text1"/>
          <w:sz w:val="30"/>
          <w:szCs w:val="30"/>
          <w14:textFill>
            <w14:solidFill>
              <w14:schemeClr w14:val="tx1"/>
            </w14:solidFill>
          </w14:textFill>
        </w:rPr>
        <w:t>指令的发送、确认和执行</w:t>
      </w:r>
      <w:bookmarkEnd w:id="26"/>
    </w:p>
    <w:p>
      <w:pPr>
        <w:autoSpaceDE w:val="0"/>
        <w:autoSpaceDN w:val="0"/>
        <w:adjustRightInd w:val="0"/>
        <w:spacing w:line="360" w:lineRule="auto"/>
        <w:ind w:firstLine="480" w:firstLineChars="200"/>
        <w:textAlignment w:val="baseline"/>
        <w:rPr>
          <w:rFonts w:ascii="宋体" w:hAnsi="宋体"/>
          <w:color w:val="000000" w:themeColor="text1"/>
          <w:sz w:val="24"/>
          <w14:textFill>
            <w14:solidFill>
              <w14:schemeClr w14:val="tx1"/>
            </w14:solidFill>
          </w14:textFill>
        </w:rPr>
      </w:pPr>
      <w:bookmarkStart w:id="27" w:name="_Toc382819089"/>
      <w:r>
        <w:rPr>
          <w:rFonts w:hint="eastAsia" w:ascii="宋体" w:hAnsi="宋体"/>
          <w:color w:val="000000" w:themeColor="text1"/>
          <w:sz w:val="24"/>
          <w14:textFill>
            <w14:solidFill>
              <w14:schemeClr w14:val="tx1"/>
            </w14:solidFill>
          </w14:textFill>
        </w:rPr>
        <w:t>基金管理人在运用基金财产时向基金托管人发送资金划拨及其他款项付款指令，基金托管人执行基金管理人合法合规且符合本协议相关约定的指令、办理基金名下的资金往来等有关事项。</w:t>
      </w:r>
      <w:bookmarkEnd w:id="27"/>
    </w:p>
    <w:p>
      <w:pPr>
        <w:pStyle w:val="3"/>
        <w:keepNext w:val="0"/>
        <w:keepLines w:val="0"/>
        <w:autoSpaceDE w:val="0"/>
        <w:autoSpaceDN w:val="0"/>
        <w:adjustRightInd w:val="0"/>
        <w:spacing w:before="0" w:after="0" w:line="360" w:lineRule="auto"/>
        <w:ind w:firstLine="480" w:firstLineChars="200"/>
        <w:textAlignment w:val="baseline"/>
        <w:rPr>
          <w:rFonts w:ascii="宋体" w:hAnsi="宋体" w:eastAsia="宋体"/>
          <w:b w:val="0"/>
          <w:bCs w:val="0"/>
          <w:color w:val="000000" w:themeColor="text1"/>
          <w:sz w:val="24"/>
          <w:szCs w:val="24"/>
          <w14:textFill>
            <w14:solidFill>
              <w14:schemeClr w14:val="tx1"/>
            </w14:solidFill>
          </w14:textFill>
        </w:rPr>
      </w:pPr>
      <w:bookmarkStart w:id="28" w:name="_Toc382819090"/>
      <w:r>
        <w:rPr>
          <w:rFonts w:hint="eastAsia" w:ascii="宋体" w:hAnsi="宋体" w:eastAsia="宋体"/>
          <w:b w:val="0"/>
          <w:bCs w:val="0"/>
          <w:color w:val="000000" w:themeColor="text1"/>
          <w:sz w:val="24"/>
          <w:szCs w:val="24"/>
          <w14:textFill>
            <w14:solidFill>
              <w14:schemeClr w14:val="tx1"/>
            </w14:solidFill>
          </w14:textFill>
        </w:rPr>
        <w:t>（一）基金管理人对发送指令人员的书面授权</w:t>
      </w:r>
      <w:bookmarkEnd w:id="28"/>
    </w:p>
    <w:p>
      <w:pPr>
        <w:spacing w:line="360" w:lineRule="auto"/>
        <w:ind w:firstLine="480" w:firstLineChars="200"/>
        <w:rPr>
          <w:rFonts w:ascii="宋体" w:hAnsi="宋体"/>
          <w:color w:val="000000" w:themeColor="text1"/>
          <w:sz w:val="24"/>
          <w14:textFill>
            <w14:solidFill>
              <w14:schemeClr w14:val="tx1"/>
            </w14:solidFill>
          </w14:textFill>
        </w:rPr>
      </w:pPr>
      <w:bookmarkStart w:id="29" w:name="_Toc382819091"/>
      <w:bookmarkStart w:id="30" w:name="_Toc382818601"/>
      <w:r>
        <w:rPr>
          <w:rFonts w:hint="eastAsia" w:ascii="宋体" w:hAnsi="宋体"/>
          <w:color w:val="000000" w:themeColor="text1"/>
          <w:sz w:val="24"/>
          <w14:textFill>
            <w14:solidFill>
              <w14:schemeClr w14:val="tx1"/>
            </w14:solidFill>
          </w14:textFill>
        </w:rPr>
        <w:t>基金管理人应向基金托管人提供预留印鉴和被授权人签字样本，事先书面通知（以下简称“授权通知”）基金托管人有权发送指令的人员名单，注明相应的交易权限，并规定基金管理人向基金托管人发送指令时基金托管人确认有权发送人员身份的方法。基金管理人的划款指令授权通知书由基金管理人的法定代表人或其授权代理人签署并加盖公章，若由授权代理人签署的，还应附上授权文件。基金托管人在收到授权通知当日回函或回电向基金管理人确认。划款指令授权书无论基金成立时或后续更新，必须提前至少一个交易日，发送扫描件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通过电话向基金管理人确认。授权变更于变更通知载明的生效时间起生效。若变更通知载明的生效时间早于基金托管人收到变更通知时间，则授权变更于基金托管人收到变更通知时生效。基金管理人在此后三日内将划款指令授权书变更通知的正本送交基金托管人。划款指令授权书原件未按时送达基金托管人的，基金托管人有权拒绝执行该授权书对应的划款指令，基金托管人不承担由此造成的损失。基金管理人和基金托管人对授权文件负有保密义务，其内容不得向授权人及相关操作人员以外的任何人泄露</w:t>
      </w:r>
      <w:bookmarkEnd w:id="29"/>
      <w:bookmarkEnd w:id="30"/>
      <w:r>
        <w:rPr>
          <w:rFonts w:hint="eastAsia" w:ascii="宋体" w:hAnsi="宋体"/>
          <w:color w:val="000000" w:themeColor="text1"/>
          <w:sz w:val="24"/>
          <w14:textFill>
            <w14:solidFill>
              <w14:schemeClr w14:val="tx1"/>
            </w14:solidFill>
          </w14:textFill>
        </w:rPr>
        <w:t>，但法律法规或有权机关另有要求的除外。</w:t>
      </w:r>
    </w:p>
    <w:p>
      <w:pPr>
        <w:pStyle w:val="3"/>
        <w:keepNext w:val="0"/>
        <w:keepLines w:val="0"/>
        <w:autoSpaceDE w:val="0"/>
        <w:autoSpaceDN w:val="0"/>
        <w:adjustRightInd w:val="0"/>
        <w:spacing w:before="0" w:after="0" w:line="360" w:lineRule="auto"/>
        <w:ind w:firstLine="480" w:firstLineChars="200"/>
        <w:textAlignment w:val="baseline"/>
        <w:rPr>
          <w:rFonts w:ascii="宋体" w:hAnsi="宋体" w:eastAsia="宋体"/>
          <w:b w:val="0"/>
          <w:bCs w:val="0"/>
          <w:color w:val="000000" w:themeColor="text1"/>
          <w:sz w:val="24"/>
          <w:szCs w:val="24"/>
          <w14:textFill>
            <w14:solidFill>
              <w14:schemeClr w14:val="tx1"/>
            </w14:solidFill>
          </w14:textFill>
        </w:rPr>
      </w:pPr>
      <w:bookmarkStart w:id="31" w:name="_Toc382819092"/>
      <w:r>
        <w:rPr>
          <w:rFonts w:hint="eastAsia" w:ascii="宋体" w:hAnsi="宋体" w:eastAsia="宋体"/>
          <w:b w:val="0"/>
          <w:bCs w:val="0"/>
          <w:color w:val="000000" w:themeColor="text1"/>
          <w:sz w:val="24"/>
          <w:szCs w:val="24"/>
          <w14:textFill>
            <w14:solidFill>
              <w14:schemeClr w14:val="tx1"/>
            </w14:solidFill>
          </w14:textFill>
        </w:rPr>
        <w:t>（二）指令的内容</w:t>
      </w:r>
      <w:bookmarkEnd w:id="31"/>
    </w:p>
    <w:p>
      <w:pPr>
        <w:tabs>
          <w:tab w:val="left" w:pos="468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指令是指基金管理人在运用基金财产时向基金托管人发送的付款指令（含赎回、分红付款、回购到期付款指令等）以及其它资金划拨的指令等，证券交易所证券投资的资金结算不需要基金管理人发送指令，基金托管人根据相关登记结算公司向基金托管人发送的结算数据进行资金结算。</w:t>
      </w:r>
    </w:p>
    <w:p>
      <w:pPr>
        <w:tabs>
          <w:tab w:val="left" w:pos="468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2、基金管理人发给基金托管人的指令应写明付款账号、付款户名、开户行、收款账号、收款户名、开户行、款项事由、支付时间、到账时间、金额、账户等，加盖预留印鉴并有被授权人签字。</w:t>
      </w:r>
    </w:p>
    <w:p>
      <w:pPr>
        <w:pStyle w:val="3"/>
        <w:keepNext w:val="0"/>
        <w:keepLines w:val="0"/>
        <w:autoSpaceDE w:val="0"/>
        <w:autoSpaceDN w:val="0"/>
        <w:adjustRightInd w:val="0"/>
        <w:spacing w:before="0" w:after="0" w:line="360" w:lineRule="auto"/>
        <w:ind w:firstLine="480" w:firstLineChars="200"/>
        <w:textAlignment w:val="baseline"/>
        <w:rPr>
          <w:rFonts w:ascii="宋体" w:hAnsi="宋体" w:eastAsia="宋体"/>
          <w:b w:val="0"/>
          <w:bCs w:val="0"/>
          <w:color w:val="000000" w:themeColor="text1"/>
          <w:sz w:val="24"/>
          <w:szCs w:val="24"/>
          <w14:textFill>
            <w14:solidFill>
              <w14:schemeClr w14:val="tx1"/>
            </w14:solidFill>
          </w14:textFill>
        </w:rPr>
      </w:pPr>
      <w:bookmarkStart w:id="32" w:name="_Toc382819093"/>
      <w:r>
        <w:rPr>
          <w:rFonts w:hint="eastAsia" w:ascii="宋体" w:hAnsi="宋体" w:eastAsia="宋体"/>
          <w:b w:val="0"/>
          <w:bCs w:val="0"/>
          <w:color w:val="000000" w:themeColor="text1"/>
          <w:sz w:val="24"/>
          <w:szCs w:val="24"/>
          <w14:textFill>
            <w14:solidFill>
              <w14:schemeClr w14:val="tx1"/>
            </w14:solidFill>
          </w14:textFill>
        </w:rPr>
        <w:t>（三）指令的发送、确认和执行的时间和程序</w:t>
      </w:r>
      <w:bookmarkEnd w:id="32"/>
    </w:p>
    <w:p>
      <w:pPr>
        <w:spacing w:after="12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指令由“授权通知”确定的有权发送人（下称“被授权人”）代表基金管理人用传真的方式或其他基金托管人和基金管理人书面确认过的方式向基金托管人发送。基金管理人有义务在发送指令后及时与基金托管人进行确认，因基金管理人未能及时与基金托管人进行指令确认,致使资金未能及时到账所造成的损失，基金托管人不承担任何责任。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由一般划款指令（不含非担保交收指令、新债等申购指令）应在15点（指令截至时间）前提交基金托管人，如基金管理人要求当天某一时点到账，则指令需提前2个工作小时(工作时间9点至11点30分,13点至17点)提交托管人。</w:t>
      </w:r>
    </w:p>
    <w:p>
      <w:pPr>
        <w:spacing w:after="12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新债等申购指令，基金管理人须在申购前1个工作日向基金托管人发送指令，如需在申购当日下达指令，基金管理人应为基金托管人留出执行指令所必需的时间，指令最迟不得晚于上午11：00点（指令截至时间）提交基金托管人。</w:t>
      </w:r>
    </w:p>
    <w:p>
      <w:pPr>
        <w:spacing w:after="12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如划款指令中给予基金托管人的划拨时间小于2个工作小时或晚于前述指令截至时间的，基金托管人应尽力在指定时间内完成资金划拨,但不承担因时间不足导致执行失败的责任。</w:t>
      </w:r>
    </w:p>
    <w:p>
      <w:pPr>
        <w:spacing w:after="12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管理人应在交易结束后将同业市场债券交易成交单加盖预留印鉴后及时传真给基金托管人并电话通知基金托管人。基金管理人原因造成的指令传输不及时、未能留出足够划款所需时间，致使资金未能及时到账所造成的损失由基金管理人承担。</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指令到达基金托管人后，基金托管人应指定专人及时对指令的要素是否齐全、印鉴与被授权人是否与预留的授权文件内容相符进行检查，如发现问题或有疑问应及时通知基金管理人，并有权立即将指令退还给基金管理人，要求其重新下达有效指令。</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管理人向基金托管人下达指令时，应确保相关托管账户有足够的资金余额，对基金管理人在没有充足资金的情况下向基金托管人发出的指令，基金托管人有权不予执行，并立即通知基金管理人，基金托管人不承担因为不执行该指令而造成损失的任何责任。</w:t>
      </w:r>
    </w:p>
    <w:p>
      <w:pPr>
        <w:pStyle w:val="3"/>
        <w:keepNext w:val="0"/>
        <w:keepLines w:val="0"/>
        <w:autoSpaceDE w:val="0"/>
        <w:autoSpaceDN w:val="0"/>
        <w:adjustRightInd w:val="0"/>
        <w:spacing w:before="0" w:after="0" w:line="360" w:lineRule="auto"/>
        <w:ind w:firstLine="480" w:firstLineChars="200"/>
        <w:textAlignment w:val="baseline"/>
        <w:rPr>
          <w:rFonts w:ascii="宋体" w:hAnsi="宋体" w:eastAsia="宋体"/>
          <w:b w:val="0"/>
          <w:bCs w:val="0"/>
          <w:color w:val="000000" w:themeColor="text1"/>
          <w:sz w:val="24"/>
          <w:szCs w:val="24"/>
          <w14:textFill>
            <w14:solidFill>
              <w14:schemeClr w14:val="tx1"/>
            </w14:solidFill>
          </w14:textFill>
        </w:rPr>
      </w:pPr>
      <w:bookmarkStart w:id="33" w:name="_Toc382819094"/>
      <w:r>
        <w:rPr>
          <w:rFonts w:hint="eastAsia" w:ascii="宋体" w:hAnsi="宋体" w:eastAsia="宋体"/>
          <w:b w:val="0"/>
          <w:bCs w:val="0"/>
          <w:color w:val="000000" w:themeColor="text1"/>
          <w:sz w:val="24"/>
          <w:szCs w:val="24"/>
          <w14:textFill>
            <w14:solidFill>
              <w14:schemeClr w14:val="tx1"/>
            </w14:solidFill>
          </w14:textFill>
        </w:rPr>
        <w:t>（四）基金管理人发送错误指令的情形和处理程序</w:t>
      </w:r>
      <w:bookmarkEnd w:id="33"/>
    </w:p>
    <w:p>
      <w:pPr>
        <w:spacing w:after="12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基金管理人发送错误指令的情形包括但不限于指令发送人员无权或超越权限发送指令及交割信息错误，指令中重要信息模糊不清或不全,指令违反法律法规和《基金合同》及本协议约定等。</w:t>
      </w:r>
    </w:p>
    <w:p>
      <w:pPr>
        <w:spacing w:line="360" w:lineRule="auto"/>
        <w:ind w:firstLine="480" w:firstLineChars="200"/>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基金托管人在履行监督职能时，如发现基金管理人的指令错误，有权拒绝执行，并及时以书面形式通知基金管理人改正，基金管理人收到通知后应及时核对，并以书面形式对基金托管人发出回函确认。如需撤销指令，基金管理人应出具书面说明，并加盖预留印鉴。</w:t>
      </w:r>
    </w:p>
    <w:p>
      <w:pPr>
        <w:pStyle w:val="3"/>
        <w:keepNext w:val="0"/>
        <w:keepLines w:val="0"/>
        <w:autoSpaceDE w:val="0"/>
        <w:autoSpaceDN w:val="0"/>
        <w:adjustRightInd w:val="0"/>
        <w:spacing w:before="0" w:after="0" w:line="360" w:lineRule="auto"/>
        <w:ind w:firstLine="480" w:firstLineChars="200"/>
        <w:textAlignment w:val="baseline"/>
        <w:rPr>
          <w:rFonts w:ascii="宋体" w:hAnsi="宋体" w:eastAsia="宋体"/>
          <w:b w:val="0"/>
          <w:bCs w:val="0"/>
          <w:color w:val="000000" w:themeColor="text1"/>
          <w:sz w:val="24"/>
          <w:szCs w:val="24"/>
          <w14:textFill>
            <w14:solidFill>
              <w14:schemeClr w14:val="tx1"/>
            </w14:solidFill>
          </w14:textFill>
        </w:rPr>
      </w:pPr>
      <w:bookmarkStart w:id="34" w:name="_Toc382819095"/>
      <w:r>
        <w:rPr>
          <w:rFonts w:hint="eastAsia" w:ascii="宋体" w:hAnsi="宋体" w:eastAsia="宋体"/>
          <w:b w:val="0"/>
          <w:bCs w:val="0"/>
          <w:color w:val="000000" w:themeColor="text1"/>
          <w:sz w:val="24"/>
          <w:szCs w:val="24"/>
          <w14:textFill>
            <w14:solidFill>
              <w14:schemeClr w14:val="tx1"/>
            </w14:solidFill>
          </w14:textFill>
        </w:rPr>
        <w:t>（五）基金托管人未按照基金管理人指令执行的处理方法</w:t>
      </w:r>
      <w:bookmarkEnd w:id="34"/>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除本协议另有约定外，基金托管人由于自身原因造成未按照或者未及时按照基金管理人发送的符合本协议约定的、按照正常交易程序已经生效的指令执行，给基金份额持有人造成损失的，应负责赔偿相应的直接损失。</w:t>
      </w:r>
    </w:p>
    <w:p>
      <w:pPr>
        <w:pStyle w:val="3"/>
        <w:keepNext w:val="0"/>
        <w:keepLines w:val="0"/>
        <w:autoSpaceDE w:val="0"/>
        <w:autoSpaceDN w:val="0"/>
        <w:adjustRightInd w:val="0"/>
        <w:spacing w:before="0" w:after="0" w:line="360" w:lineRule="auto"/>
        <w:ind w:firstLine="480" w:firstLineChars="200"/>
        <w:textAlignment w:val="baseline"/>
        <w:rPr>
          <w:rFonts w:ascii="宋体" w:hAnsi="宋体" w:eastAsia="宋体"/>
          <w:b w:val="0"/>
          <w:bCs w:val="0"/>
          <w:color w:val="000000" w:themeColor="text1"/>
          <w:sz w:val="24"/>
          <w:szCs w:val="24"/>
          <w14:textFill>
            <w14:solidFill>
              <w14:schemeClr w14:val="tx1"/>
            </w14:solidFill>
          </w14:textFill>
        </w:rPr>
      </w:pPr>
      <w:bookmarkStart w:id="35" w:name="_Toc382819096"/>
      <w:r>
        <w:rPr>
          <w:rFonts w:hint="eastAsia" w:ascii="宋体" w:hAnsi="宋体" w:eastAsia="宋体"/>
          <w:b w:val="0"/>
          <w:bCs w:val="0"/>
          <w:color w:val="000000" w:themeColor="text1"/>
          <w:sz w:val="24"/>
          <w:szCs w:val="24"/>
          <w14:textFill>
            <w14:solidFill>
              <w14:schemeClr w14:val="tx1"/>
            </w14:solidFill>
          </w14:textFill>
        </w:rPr>
        <w:t>（六）更换被授权人的程序</w:t>
      </w:r>
      <w:bookmarkEnd w:id="35"/>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管理人更换被授权人、更改或终止对被授权人的授权范围的，必须提前至少一个交易日，发送扫描件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将通过电话向基金管理人确认。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基金管理人在此后三日内将被授权人变更通知的正本送交基金托管人。如果基金管理人授权人员名单、权限有变化时，未能按本协议约定及时通知基金托管人并预留新的印鉴和签字样本而导致基金份额持有人受损的，基金托管人不承担任何形式的责任。基金托管人更换接收基金管理人指令的人员，应提前通过邮件、传真或录音电话等方式通知基金管理人。</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（七）其它事项</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基金管理人承担下达违法、违规或违反《基金合同》和本协议约定的指令所导致的责任。基金托管人对执行基金管理人的按照正常交易程序已经生效的指令对基金财产造成的损失不承担赔偿责任。</w:t>
      </w:r>
    </w:p>
    <w:p>
      <w:pPr>
        <w:widowControl/>
        <w:jc w:val="left"/>
        <w:rPr>
          <w:rFonts w:ascii="宋体" w:hAnsi="宋体" w:cs="Arial"/>
          <w:b/>
          <w:color w:val="000000" w:themeColor="text1"/>
          <w:kern w:val="44"/>
          <w:sz w:val="30"/>
          <w:szCs w:val="30"/>
          <w:lang w:val="zh-CN"/>
          <w14:textFill>
            <w14:solidFill>
              <w14:schemeClr w14:val="tx1"/>
            </w14:solidFill>
          </w14:textFill>
        </w:rPr>
      </w:pPr>
      <w:bookmarkStart w:id="36" w:name="_Toc382819097"/>
      <w:r>
        <w:rPr>
          <w:rFonts w:ascii="宋体" w:hAnsi="宋体" w:cs="Arial"/>
          <w:color w:val="000000" w:themeColor="text1"/>
          <w:sz w:val="30"/>
          <w:szCs w:val="30"/>
          <w14:textFill>
            <w14:solidFill>
              <w14:schemeClr w14:val="tx1"/>
            </w14:solidFill>
          </w14:textFill>
        </w:rPr>
        <w:br w:type="page"/>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color w:val="000000" w:themeColor="text1"/>
          <w:sz w:val="30"/>
          <w:szCs w:val="30"/>
          <w14:textFill>
            <w14:solidFill>
              <w14:schemeClr w14:val="tx1"/>
            </w14:solidFill>
          </w14:textFill>
        </w:rPr>
      </w:pPr>
      <w:r>
        <w:rPr>
          <w:rFonts w:hint="eastAsia" w:ascii="宋体" w:hAnsi="宋体" w:eastAsia="宋体" w:cs="Arial"/>
          <w:color w:val="000000" w:themeColor="text1"/>
          <w:sz w:val="30"/>
          <w:szCs w:val="30"/>
          <w14:textFill>
            <w14:solidFill>
              <w14:schemeClr w14:val="tx1"/>
            </w14:solidFill>
          </w14:textFill>
        </w:rPr>
        <w:t>交易及清算交收安排</w:t>
      </w:r>
      <w:bookmarkEnd w:id="36"/>
    </w:p>
    <w:p>
      <w:pPr>
        <w:pStyle w:val="3"/>
        <w:keepNext w:val="0"/>
        <w:keepLines w:val="0"/>
        <w:spacing w:before="0" w:after="0"/>
        <w:ind w:firstLine="480" w:firstLineChars="200"/>
        <w:jc w:val="left"/>
        <w:rPr>
          <w:rFonts w:ascii="宋体" w:hAnsi="宋体" w:eastAsia="宋体"/>
          <w:b w:val="0"/>
          <w:color w:val="000000" w:themeColor="text1"/>
          <w:sz w:val="24"/>
          <w:szCs w:val="24"/>
          <w14:textFill>
            <w14:solidFill>
              <w14:schemeClr w14:val="tx1"/>
            </w14:solidFill>
          </w14:textFill>
        </w:rPr>
      </w:pPr>
      <w:bookmarkStart w:id="37" w:name="_Toc382819098"/>
      <w:r>
        <w:rPr>
          <w:rFonts w:hint="eastAsia" w:ascii="宋体" w:hAnsi="宋体" w:eastAsia="宋体"/>
          <w:b w:val="0"/>
          <w:color w:val="000000" w:themeColor="text1"/>
          <w:sz w:val="24"/>
          <w:szCs w:val="24"/>
          <w14:textFill>
            <w14:solidFill>
              <w14:schemeClr w14:val="tx1"/>
            </w14:solidFill>
          </w14:textFill>
        </w:rPr>
        <w:t>（一）选择代理证券买卖的证券经营机构的标准和程序</w:t>
      </w:r>
      <w:bookmarkEnd w:id="37"/>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基金管理人负责选择代理本基金证券买卖的证券经营机构。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管理人负责根据相关标准以及内部管理制度对有关证券经营机构进行考察后确定代理本基金证券买卖证券经营机构，并承担相应责任。基金管理人和被选择的证券经营机构签订交易单元租用协议，由基金管理人通知基金托管人，并在法定信息披露公告中披露有关内容。</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管理人应在基金起始运作前将基金专用交易单元号、佣金费率等基本信息以及变更情况及时以书面形式通知基金托管人,并将被选中证券经营机构提供的《交易单元租用协议》及时送达基金托管人，确保基金托管人申请接收结算数据。</w:t>
      </w:r>
    </w:p>
    <w:p>
      <w:pPr>
        <w:pStyle w:val="3"/>
        <w:keepNext w:val="0"/>
        <w:keepLines w:val="0"/>
        <w:spacing w:before="0" w:after="0"/>
        <w:ind w:firstLine="480" w:firstLineChars="200"/>
        <w:jc w:val="left"/>
        <w:rPr>
          <w:rFonts w:ascii="宋体" w:hAnsi="宋体" w:eastAsia="宋体"/>
          <w:b w:val="0"/>
          <w:color w:val="000000" w:themeColor="text1"/>
          <w:sz w:val="24"/>
          <w:szCs w:val="24"/>
          <w14:textFill>
            <w14:solidFill>
              <w14:schemeClr w14:val="tx1"/>
            </w14:solidFill>
          </w14:textFill>
        </w:rPr>
      </w:pPr>
      <w:bookmarkStart w:id="38" w:name="_Toc382819099"/>
      <w:r>
        <w:rPr>
          <w:rFonts w:hint="eastAsia" w:ascii="宋体" w:hAnsi="宋体" w:eastAsia="宋体"/>
          <w:b w:val="0"/>
          <w:color w:val="000000" w:themeColor="text1"/>
          <w:sz w:val="24"/>
          <w:szCs w:val="24"/>
          <w14:textFill>
            <w14:solidFill>
              <w14:schemeClr w14:val="tx1"/>
            </w14:solidFill>
          </w14:textFill>
        </w:rPr>
        <w:t>（二）基金投资证券后的清算交收安排</w:t>
      </w:r>
      <w:bookmarkEnd w:id="38"/>
      <w:bookmarkStart w:id="39" w:name="_Toc382819100"/>
    </w:p>
    <w:p>
      <w:pPr>
        <w:pStyle w:val="3"/>
        <w:keepNext w:val="0"/>
        <w:keepLines w:val="0"/>
        <w:autoSpaceDE w:val="0"/>
        <w:autoSpaceDN w:val="0"/>
        <w:adjustRightInd w:val="0"/>
        <w:spacing w:before="0" w:after="0" w:line="360" w:lineRule="auto"/>
        <w:ind w:firstLine="480" w:firstLineChars="200"/>
        <w:textAlignment w:val="baseline"/>
        <w:rPr>
          <w:rFonts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1、本基金投资于证券发生的所有场内、场外交易的资金清算交割，全部由基金托管人负责办理。</w:t>
      </w:r>
      <w:bookmarkEnd w:id="39"/>
      <w:bookmarkStart w:id="40" w:name="_Toc382819101"/>
    </w:p>
    <w:p>
      <w:pPr>
        <w:pStyle w:val="3"/>
        <w:keepNext w:val="0"/>
        <w:keepLines w:val="0"/>
        <w:autoSpaceDE w:val="0"/>
        <w:autoSpaceDN w:val="0"/>
        <w:adjustRightInd w:val="0"/>
        <w:spacing w:before="0" w:after="0" w:line="360" w:lineRule="auto"/>
        <w:ind w:firstLine="480" w:firstLineChars="200"/>
        <w:textAlignment w:val="baseline"/>
        <w:rPr>
          <w:rFonts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2、本基金投资于场内交易的投资品种前，基金管理人和基金托管人应当另行签署托管银行证券资金结算协议。</w:t>
      </w:r>
      <w:bookmarkEnd w:id="40"/>
    </w:p>
    <w:p>
      <w:pPr>
        <w:pStyle w:val="9"/>
        <w:spacing w:line="360" w:lineRule="auto"/>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3、本基金投资于非担保交收的投资品种时，基金管理人应遵守基金托管人提前以告客户书形式提供的书面通知。</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4、银行间债券券款对付结算</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基金管理人应及时将银行间上清所、中债登划款指令按相关规定提交基金托管人，基金管理人应为基金托管人留出执行指令所必需的时间。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基金管理人应根据中债登、上清所提供的查询功能，实时跟踪交易结算情况、证券与资金到账与余额变动情况，便于监控结算过程，做好资金与交易匹配的前端控制。</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5、定期投资基金管理人与存款行签订的存款协议条款格式应在定期存款起息日及</w:t>
      </w:r>
      <w:r>
        <w:rPr>
          <w:rFonts w:ascii="宋体" w:hAnsi="宋体"/>
          <w:color w:val="000000" w:themeColor="text1"/>
          <w:sz w:val="24"/>
          <w14:textFill>
            <w14:solidFill>
              <w14:schemeClr w14:val="tx1"/>
            </w14:solidFill>
          </w14:textFill>
        </w:rPr>
        <w:t>之</w:t>
      </w:r>
      <w:r>
        <w:rPr>
          <w:rFonts w:hint="eastAsia" w:ascii="宋体" w:hAnsi="宋体"/>
          <w:color w:val="000000" w:themeColor="text1"/>
          <w:sz w:val="24"/>
          <w14:textFill>
            <w14:solidFill>
              <w14:schemeClr w14:val="tx1"/>
            </w14:solidFill>
          </w14:textFill>
        </w:rPr>
        <w:t>前发送给基金托管人，</w:t>
      </w:r>
      <w:r>
        <w:rPr>
          <w:rFonts w:hint="eastAsia" w:ascii="宋体" w:hAnsi="宋体" w:cs="Arial"/>
          <w:color w:val="000000" w:themeColor="text1"/>
          <w:sz w:val="24"/>
          <w14:textFill>
            <w14:solidFill>
              <w14:schemeClr w14:val="tx1"/>
            </w14:solidFill>
          </w14:textFill>
        </w:rPr>
        <w:t>基金管理人应将</w:t>
      </w:r>
      <w:r>
        <w:rPr>
          <w:rFonts w:hint="eastAsia" w:ascii="宋体" w:hAnsi="宋体"/>
          <w:color w:val="000000" w:themeColor="text1"/>
          <w:sz w:val="24"/>
          <w14:textFill>
            <w14:solidFill>
              <w14:schemeClr w14:val="tx1"/>
            </w14:solidFill>
          </w14:textFill>
        </w:rPr>
        <w:t>定期存款的划款指令及存款协议盖章版（传真件或扫描件）按法律法规、基金合同及托管协议的规定提交基金托管人，指令发出后，基金管理人应及时向基金托管人确认。对于基金管理人依约定程序发出的指令，基金管理人不得否认其效力。</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基金管理人在发送投资指令时，应为基金托管人执行投资指令留出执行指令所必需的时间。投资指令传输不及时、未能留出足够的划款时间，导致资金未能及时到账所造成的损失由基金管理人承担。</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存款银行无法在存入当日17点前向托管人送达存款证实书的，基金管理人应敦促存款银行将存款证实扫描件发送至基金托管人。存款证实书送达基金托管人后，基金托管人负责保管存款证实书原件。基金托管人仅对存款证实书进行形式审核，形式审核内容为账户名称、起息日、到期日、金额、利率。基金托管人不对存款证实书真实性承担审核职责。</w:t>
      </w:r>
    </w:p>
    <w:p>
      <w:pPr>
        <w:pStyle w:val="3"/>
        <w:keepNext w:val="0"/>
        <w:keepLines w:val="0"/>
        <w:spacing w:before="0" w:after="0"/>
        <w:ind w:firstLine="480" w:firstLineChars="200"/>
        <w:jc w:val="left"/>
        <w:rPr>
          <w:rFonts w:ascii="宋体" w:hAnsi="宋体" w:eastAsia="宋体"/>
          <w:b w:val="0"/>
          <w:color w:val="000000" w:themeColor="text1"/>
          <w:sz w:val="24"/>
          <w:szCs w:val="24"/>
          <w14:textFill>
            <w14:solidFill>
              <w14:schemeClr w14:val="tx1"/>
            </w14:solidFill>
          </w14:textFill>
        </w:rPr>
      </w:pPr>
      <w:bookmarkStart w:id="41" w:name="_Toc382819102"/>
      <w:r>
        <w:rPr>
          <w:rFonts w:hint="eastAsia" w:ascii="宋体" w:hAnsi="宋体" w:eastAsia="宋体"/>
          <w:b w:val="0"/>
          <w:color w:val="000000" w:themeColor="text1"/>
          <w:sz w:val="24"/>
          <w:szCs w:val="24"/>
          <w14:textFill>
            <w14:solidFill>
              <w14:schemeClr w14:val="tx1"/>
            </w14:solidFill>
          </w14:textFill>
        </w:rPr>
        <w:t>（三）可用资金余额的确认</w:t>
      </w:r>
      <w:bookmarkEnd w:id="41"/>
    </w:p>
    <w:p>
      <w:pPr>
        <w:spacing w:line="360" w:lineRule="auto"/>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基金托管人应于每个工作日上午9：30 前将托管账户的可用资金余额以双方认可的方式提供给基金管理人。</w:t>
      </w:r>
    </w:p>
    <w:p>
      <w:pPr>
        <w:tabs>
          <w:tab w:val="left" w:pos="4680"/>
        </w:tabs>
        <w:spacing w:line="360" w:lineRule="auto"/>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（四）交易记录、资金、证券账目的核对</w:t>
      </w:r>
    </w:p>
    <w:p>
      <w:pPr>
        <w:tabs>
          <w:tab w:val="left" w:pos="4680"/>
        </w:tabs>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1、交易记录的核对</w:t>
      </w:r>
    </w:p>
    <w:p>
      <w:pPr>
        <w:tabs>
          <w:tab w:val="left" w:pos="4680"/>
        </w:tabs>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管理人和基金托管人按日进行交易记录的核对。每日对外披露净值之前，必须保证当天所有实际交易记录与基金会计账簿上的交易记录一致。如果实际交易记录与会计账簿记录不一致，造成基金会计核算不完整或不真实，由此导致的损失由基金的会计责任方承担。</w:t>
      </w:r>
    </w:p>
    <w:p>
      <w:pPr>
        <w:tabs>
          <w:tab w:val="left" w:pos="4680"/>
        </w:tabs>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2、资金账目的核对</w:t>
      </w:r>
    </w:p>
    <w:p>
      <w:pPr>
        <w:tabs>
          <w:tab w:val="left" w:pos="4680"/>
        </w:tabs>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资金账目包括基金的银行存款等会计资料。资金账目由基金托管人每日进行账实核对，基金管理人复核托管人提供的可用头寸表核对资金余额。银行存款账户每日核对，做到账账相符、账实相符。</w:t>
      </w:r>
    </w:p>
    <w:p>
      <w:pPr>
        <w:tabs>
          <w:tab w:val="left" w:pos="4680"/>
        </w:tabs>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3、证券账目的核对</w:t>
      </w:r>
    </w:p>
    <w:p>
      <w:pPr>
        <w:tabs>
          <w:tab w:val="left" w:pos="4680"/>
        </w:tabs>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券账目是指以基金名义开立的证券交易账户和实物托管账户中的证券种类、数量和金额。基金管理人和基金托管人每日核对证券账目余额。证券交易所证券账目每交易日结束后核对一次，银行间市场证券账目每月末核对一次，确保账实相符。</w:t>
      </w:r>
    </w:p>
    <w:p>
      <w:pPr>
        <w:tabs>
          <w:tab w:val="left" w:pos="4680"/>
        </w:tabs>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（五）基金申购、赎回、转换业务处理的基本规定</w:t>
      </w:r>
    </w:p>
    <w:p>
      <w:pPr>
        <w:tabs>
          <w:tab w:val="left" w:pos="4680"/>
        </w:tabs>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bCs/>
          <w:color w:val="000000" w:themeColor="text1"/>
          <w:sz w:val="24"/>
          <w14:textFill>
            <w14:solidFill>
              <w14:schemeClr w14:val="tx1"/>
            </w14:solidFill>
          </w14:textFill>
        </w:rPr>
        <w:t>投资人在</w:t>
      </w:r>
      <w:r>
        <w:rPr>
          <w:rFonts w:hint="eastAsia" w:ascii="宋体" w:hAnsi="宋体"/>
          <w:bCs/>
          <w:color w:val="000000" w:themeColor="text1"/>
          <w:sz w:val="24"/>
          <w14:textFill>
            <w14:solidFill>
              <w14:schemeClr w14:val="tx1"/>
            </w14:solidFill>
          </w14:textFill>
        </w:rPr>
        <w:t>本基金开放期内的</w:t>
      </w:r>
      <w:r>
        <w:rPr>
          <w:rFonts w:ascii="宋体" w:hAnsi="宋体"/>
          <w:bCs/>
          <w:color w:val="000000" w:themeColor="text1"/>
          <w:sz w:val="24"/>
          <w14:textFill>
            <w14:solidFill>
              <w14:schemeClr w14:val="tx1"/>
            </w14:solidFill>
          </w14:textFill>
        </w:rPr>
        <w:t>开放日办理基金份额的申购和赎回，具体办理时间为上海证券交易所、深圳证券交易所的正常交易日的交易时间，但基金管理人根据法律法规、中国证监会的要求或基金合同的规定公告暂停申购、赎回时除外。</w:t>
      </w:r>
      <w:r>
        <w:rPr>
          <w:rFonts w:hint="eastAsia" w:ascii="宋体" w:hAnsi="宋体"/>
          <w:bCs/>
          <w:color w:val="000000" w:themeColor="text1"/>
          <w:sz w:val="24"/>
          <w14:textFill>
            <w14:solidFill>
              <w14:schemeClr w14:val="tx1"/>
            </w14:solidFill>
          </w14:textFill>
        </w:rPr>
        <w:t>在封闭期内，本基金不办理申购、赎回业务，也不上市交易。</w:t>
      </w:r>
      <w:r>
        <w:rPr>
          <w:rFonts w:hint="eastAsia" w:ascii="宋体" w:hAnsi="宋体"/>
          <w:color w:val="000000" w:themeColor="text1"/>
          <w:sz w:val="24"/>
          <w14:textFill>
            <w14:solidFill>
              <w14:schemeClr w14:val="tx1"/>
            </w14:solidFill>
          </w14:textFill>
        </w:rPr>
        <w:t>基金份额申购、赎回的确认、清算由基金管理人或其委托的登记机构负责。</w:t>
      </w:r>
    </w:p>
    <w:p>
      <w:pPr>
        <w:tabs>
          <w:tab w:val="left" w:pos="4680"/>
        </w:tabs>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基金管理人应在每个交易日按本协议第七条相关规定向基金托管人发送基金管理人确认的申购、赎回和转换开放式基金的有关数据，并对上述数据的真实、准确、完整性负责。基金托管人应及时查收申购及转入资金的到账情况并根据基金管理人指令及时划付赎回及转出款项。基金管理人应保证本基金（或本基金管理人委托）的登记机构每个工作日15:00前向基金托管人发送前一开放日的上述有关数据，并保证相关数据的准确、完整。</w:t>
      </w:r>
    </w:p>
    <w:p>
      <w:pPr>
        <w:tabs>
          <w:tab w:val="left" w:pos="4680"/>
        </w:tabs>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基金管理人通过与基金托管人建立的共同约定的数据传送系统发送申购赎回等有关数据，如因各种原因，该系统无法正常发送，双方可协商解决处理方式。由此引起基金或本协议一方损失的，由系统无法正常传送数据的一方承担赔偿责任，但不可抗力导致的情形除外；若由双方共同引起，根据各自过错程度承担相应责任。基金管理人向基金托管人发送的数据，双方各自按有关规定保存。</w:t>
      </w:r>
    </w:p>
    <w:p>
      <w:pPr>
        <w:tabs>
          <w:tab w:val="left" w:pos="4680"/>
        </w:tabs>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4、基金管理人应保证其发送的注册登记数据的接口规范与基金托管人的接口规范保持一致。</w:t>
      </w:r>
    </w:p>
    <w:p>
      <w:pPr>
        <w:tabs>
          <w:tab w:val="left" w:pos="4680"/>
        </w:tabs>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5、基金注册登记清算专用账户的开立和管理</w:t>
      </w:r>
    </w:p>
    <w:p>
      <w:pPr>
        <w:tabs>
          <w:tab w:val="left" w:pos="4680"/>
        </w:tabs>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为满足申购、赎回等资金汇划的需要，基金管理人应开立用于基金申购、赎回等资金清算的基金注册登记清算专用账户。</w:t>
      </w:r>
    </w:p>
    <w:p>
      <w:pPr>
        <w:tabs>
          <w:tab w:val="left" w:pos="4680"/>
        </w:tabs>
        <w:spacing w:line="360" w:lineRule="auto"/>
        <w:ind w:firstLine="480" w:firstLineChars="200"/>
        <w:jc w:val="left"/>
        <w:rPr>
          <w:rFonts w:ascii="宋体" w:hAnsi="宋体"/>
          <w:color w:val="000000" w:themeColor="text1"/>
          <w:kern w:val="2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r>
        <w:rPr>
          <w:rFonts w:hint="eastAsia" w:ascii="宋体" w:hAnsi="宋体"/>
          <w:color w:val="000000" w:themeColor="text1"/>
          <w:kern w:val="21"/>
          <w:sz w:val="24"/>
          <w14:textFill>
            <w14:solidFill>
              <w14:schemeClr w14:val="tx1"/>
            </w14:solidFill>
          </w14:textFill>
        </w:rPr>
        <w:t>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基金管理人应负责向有关当事人追偿基金的损失，</w:t>
      </w:r>
      <w:r>
        <w:rPr>
          <w:rFonts w:hint="eastAsia" w:ascii="宋体" w:hAnsi="宋体"/>
          <w:color w:val="000000" w:themeColor="text1"/>
          <w:sz w:val="24"/>
          <w14:textFill>
            <w14:solidFill>
              <w14:schemeClr w14:val="tx1"/>
            </w14:solidFill>
          </w14:textFill>
        </w:rPr>
        <w:t>基金托管人不承担任何责任</w:t>
      </w:r>
      <w:r>
        <w:rPr>
          <w:rFonts w:hint="eastAsia" w:ascii="宋体" w:hAnsi="宋体"/>
          <w:color w:val="000000" w:themeColor="text1"/>
          <w:kern w:val="21"/>
          <w:sz w:val="24"/>
          <w14:textFill>
            <w14:solidFill>
              <w14:schemeClr w14:val="tx1"/>
            </w14:solidFill>
          </w14:textFill>
        </w:rPr>
        <w:t>。</w:t>
      </w:r>
    </w:p>
    <w:p>
      <w:pPr>
        <w:tabs>
          <w:tab w:val="left" w:pos="4680"/>
        </w:tabs>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7、赎回资金的支付</w:t>
      </w:r>
    </w:p>
    <w:p>
      <w:pPr>
        <w:tabs>
          <w:tab w:val="left" w:pos="4680"/>
        </w:tabs>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托管人在根据基金管理人指令支付赎回款时，如托管专户中本基金有足够的资金，基金托管人应按《基金合同》和本协议的规定支付；如托管专户中本基金有足额的资金且基金托管人有足够合理的时间进行划款，基金托管人应按时拨付；而基金托管人未及时执行合法合规的指令的，责任由基金托管人承担，但不可抗力导致的情形除外。因托管专户中本基金没有足够的资金，导致基金托管人不能按时支付，如是基金管理人的原因造成，责任由基金管理人承担，基金托管人不承担垫款义务；如是除基金管理人、基金托管人外的第三方原因造成的，责任由第三方承担，基金托管人不承担垫款义务，若给基金份额持有人造成损失的，基金托管人负有配合基金管理人向第三方追偿的义务。</w:t>
      </w:r>
    </w:p>
    <w:p>
      <w:pPr>
        <w:tabs>
          <w:tab w:val="left" w:pos="4680"/>
        </w:tabs>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8、资金支付执行和责任界定</w:t>
      </w:r>
    </w:p>
    <w:p>
      <w:pPr>
        <w:tabs>
          <w:tab w:val="left" w:pos="4680"/>
        </w:tabs>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除申购款项到达基金托管人处的基金账户需双方按约定方式对账外，净额划出、赎回资金支付时，应按照本协议相关规定执行。若本协议没有规定的按双方协商一致内容执行。</w:t>
      </w:r>
    </w:p>
    <w:p>
      <w:pPr>
        <w:tabs>
          <w:tab w:val="left" w:pos="4680"/>
        </w:tabs>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管理人和基金托管人应采取所有必要措施确保申购和赎回等资金在本协议相关规定的时间内划到指定账户。但由于基金管理人和基金托管人之外的第三方原因、不可抗力原因导致资金不能按时到账的，基金管理人和基金托管人不承担由此产生的责任。如因此给基金造成损失的，基金管理人应负责向第三方追偿，基金托管人有义务协助追偿。</w:t>
      </w:r>
    </w:p>
    <w:p>
      <w:pPr>
        <w:tabs>
          <w:tab w:val="left" w:pos="4680"/>
        </w:tabs>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9、暂停赎回和巨额赎回处理</w:t>
      </w:r>
    </w:p>
    <w:p>
      <w:pPr>
        <w:tabs>
          <w:tab w:val="left" w:pos="4680"/>
        </w:tabs>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管理人应严格按照相关法律法规以及《基金合同》的规定，对暂停赎回的情形进行相应处理，并在发生暂停赎回的当日及时以双方认可的形式通知基金托管人。基金管理人应严格按照相关法律法规以及《基金合同》的规定，对巨额赎回的情形进行相应处理，并在决定部分延期赎回的当日及时以双方认可的形式通知基金托管人。</w:t>
      </w:r>
    </w:p>
    <w:p>
      <w:pPr>
        <w:tabs>
          <w:tab w:val="left" w:pos="4680"/>
        </w:tabs>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（六）申购赎回资金结算</w:t>
      </w:r>
    </w:p>
    <w:p>
      <w:pPr>
        <w:tabs>
          <w:tab w:val="left" w:pos="4680"/>
        </w:tabs>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1、T+1日前（含T＋1日，T日为申请日），基金管理人负责根据T日投资人申购、赎回基金的确认数据汇总传输给基金托管人。基金管理人和基金托管人据此进行申购的基金会计处理。</w:t>
      </w:r>
    </w:p>
    <w:p>
      <w:pPr>
        <w:tabs>
          <w:tab w:val="left" w:pos="4680"/>
        </w:tabs>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T日申购、赎回申请的对应款项均在T＋2日进行交收。基金托管账户与“基金清算账户”间的资金结算遵循“全额清算、净额交收”的原则，每日按照托管账户应收资金与应付资金的差额来确定当日托管账户净应收额或净应付额，以此确定资金交收额。如存在托管账户净应收额时，基金管理人应在T+2日 15:00 之前从基金清算账户划到基金托管账户，基金托管人在资金到账后应立即通知基金管理人，并将有关书面凭证传真给基金管理人进行账务管理；如存在托管账户净应付额时，基金管理人应在前一工作日将划款指令发送给基金托管人，基金托管人按基金管理人的划款指令将托管账户净应付额在T+2日12:00 之前划往基金清算账户，基金托管人在资金划出后立即通知基金管理人，并将有关书面凭证交给基金管理人进行账务管理。</w:t>
      </w:r>
    </w:p>
    <w:p>
      <w:pPr>
        <w:tabs>
          <w:tab w:val="left" w:pos="4680"/>
        </w:tabs>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当存在托管账户净应付额时，如基金银行账户有足够的资金，基金托管人应按时拨付；因基金银行账户没有足够的资金，导致基金托管人不能按时拨付，基金托管人应及时通知基金管理人，如系基金管理人的原因造成，责任由基金管理人承担，基金托管人不承担垫款义务。</w:t>
      </w:r>
    </w:p>
    <w:p>
      <w:pPr>
        <w:tabs>
          <w:tab w:val="left" w:pos="4680"/>
        </w:tabs>
        <w:spacing w:line="360" w:lineRule="auto"/>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（七）基金转换</w:t>
      </w:r>
    </w:p>
    <w:p>
      <w:pPr>
        <w:tabs>
          <w:tab w:val="left" w:pos="4680"/>
        </w:tabs>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基金管理人与基金托管人按照相关法律法规、《基金合同》、以及本协议的规定办理基金转换。</w:t>
      </w:r>
    </w:p>
    <w:p>
      <w:pPr>
        <w:tabs>
          <w:tab w:val="left" w:pos="4680"/>
        </w:tabs>
        <w:spacing w:line="360" w:lineRule="auto"/>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(八)基金出现超买或超卖的责任认定及处理程序</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托管人在履行监督职能时，如果发现基金投资证券过程中出现超买或超卖现象，应立即提醒基金管理人，由基金管理人负责解决，如因基金管理人过错给基金及基金托管人造成的损失由基金管理人承担。如果非因基金托管人原因发生超买行为，基金管理人必须于T+1日上午12时之前划拨资金，用以完成清算交收。</w:t>
      </w:r>
    </w:p>
    <w:p>
      <w:pPr>
        <w:widowControl/>
        <w:jc w:val="left"/>
        <w:rPr>
          <w:rFonts w:ascii="宋体" w:hAnsi="宋体" w:cs="Arial"/>
          <w:b/>
          <w:color w:val="000000" w:themeColor="text1"/>
          <w:kern w:val="44"/>
          <w:sz w:val="30"/>
          <w:szCs w:val="30"/>
          <w:lang w:val="zh-CN"/>
          <w14:textFill>
            <w14:solidFill>
              <w14:schemeClr w14:val="tx1"/>
            </w14:solidFill>
          </w14:textFill>
        </w:rPr>
      </w:pPr>
      <w:bookmarkStart w:id="42" w:name="_Toc382819103"/>
      <w:r>
        <w:rPr>
          <w:rFonts w:ascii="宋体" w:hAnsi="宋体" w:cs="Arial"/>
          <w:color w:val="000000" w:themeColor="text1"/>
          <w:sz w:val="30"/>
          <w:szCs w:val="30"/>
          <w14:textFill>
            <w14:solidFill>
              <w14:schemeClr w14:val="tx1"/>
            </w14:solidFill>
          </w14:textFill>
        </w:rPr>
        <w:br w:type="page"/>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color w:val="000000" w:themeColor="text1"/>
          <w:sz w:val="30"/>
          <w:szCs w:val="30"/>
          <w14:textFill>
            <w14:solidFill>
              <w14:schemeClr w14:val="tx1"/>
            </w14:solidFill>
          </w14:textFill>
        </w:rPr>
      </w:pPr>
      <w:r>
        <w:rPr>
          <w:rFonts w:hint="eastAsia" w:ascii="宋体" w:hAnsi="宋体" w:eastAsia="宋体" w:cs="Arial"/>
          <w:color w:val="000000" w:themeColor="text1"/>
          <w:sz w:val="30"/>
          <w:szCs w:val="30"/>
          <w14:textFill>
            <w14:solidFill>
              <w14:schemeClr w14:val="tx1"/>
            </w14:solidFill>
          </w14:textFill>
        </w:rPr>
        <w:t>基金资产净值计算和会计核算</w:t>
      </w:r>
      <w:bookmarkEnd w:id="42"/>
    </w:p>
    <w:p>
      <w:pPr>
        <w:pStyle w:val="3"/>
        <w:keepNext w:val="0"/>
        <w:keepLines w:val="0"/>
        <w:autoSpaceDE w:val="0"/>
        <w:autoSpaceDN w:val="0"/>
        <w:adjustRightInd w:val="0"/>
        <w:spacing w:before="0" w:after="0" w:line="360" w:lineRule="auto"/>
        <w:ind w:firstLine="480" w:firstLineChars="200"/>
        <w:textAlignment w:val="baseline"/>
        <w:rPr>
          <w:rFonts w:ascii="宋体" w:hAnsi="宋体" w:eastAsia="宋体"/>
          <w:b w:val="0"/>
          <w:bCs w:val="0"/>
          <w:color w:val="000000" w:themeColor="text1"/>
          <w:sz w:val="24"/>
          <w:szCs w:val="24"/>
          <w14:textFill>
            <w14:solidFill>
              <w14:schemeClr w14:val="tx1"/>
            </w14:solidFill>
          </w14:textFill>
        </w:rPr>
      </w:pPr>
      <w:bookmarkStart w:id="43" w:name="_Toc382819104"/>
      <w:r>
        <w:rPr>
          <w:rFonts w:hint="eastAsia" w:ascii="宋体" w:hAnsi="宋体" w:eastAsia="宋体"/>
          <w:b w:val="0"/>
          <w:bCs w:val="0"/>
          <w:color w:val="000000" w:themeColor="text1"/>
          <w:sz w:val="24"/>
          <w:szCs w:val="24"/>
          <w14:textFill>
            <w14:solidFill>
              <w14:schemeClr w14:val="tx1"/>
            </w14:solidFill>
          </w14:textFill>
        </w:rPr>
        <w:t>（一）基金资产净值的计算</w:t>
      </w:r>
      <w:r>
        <w:rPr>
          <w:rFonts w:hint="eastAsia" w:ascii="宋体" w:hAnsi="宋体" w:eastAsia="宋体"/>
          <w:color w:val="000000" w:themeColor="text1"/>
          <w:sz w:val="24"/>
          <w:szCs w:val="24"/>
          <w14:textFill>
            <w14:solidFill>
              <w14:schemeClr w14:val="tx1"/>
            </w14:solidFill>
          </w14:textFill>
        </w:rPr>
        <w:t>、</w:t>
      </w:r>
      <w:r>
        <w:rPr>
          <w:rFonts w:hint="eastAsia" w:ascii="宋体" w:hAnsi="宋体" w:eastAsia="宋体"/>
          <w:b w:val="0"/>
          <w:bCs w:val="0"/>
          <w:color w:val="000000" w:themeColor="text1"/>
          <w:sz w:val="24"/>
          <w:szCs w:val="24"/>
          <w14:textFill>
            <w14:solidFill>
              <w14:schemeClr w14:val="tx1"/>
            </w14:solidFill>
          </w14:textFill>
        </w:rPr>
        <w:t>复核的时间和程序</w:t>
      </w:r>
      <w:bookmarkEnd w:id="43"/>
    </w:p>
    <w:p>
      <w:pPr>
        <w:spacing w:line="440" w:lineRule="atLeast"/>
        <w:ind w:right="28"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资产净值是指基金资产总值减去基金负债后的价值。基金份额净值是指计算日基金资产净值除以计算日基金份额总数后的数值。基金份额净值的计算保留到小数点后4位，小数点后第5位四舍五入，由此产生的收益或损失由基金财产承担。</w:t>
      </w:r>
    </w:p>
    <w:p>
      <w:pPr>
        <w:spacing w:line="440" w:lineRule="atLeast"/>
        <w:ind w:right="28"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基金管理人应每个工作日对基金资产估值。但基金管理人根据法律法规或基金合同的规定暂停估值时除外。估值原则应符合《基金合同》、《证券投资基金会计核算业务指引》、《企业会计准则》及其他法律、法规的规定。</w:t>
      </w:r>
      <w:r>
        <w:rPr>
          <w:rFonts w:hint="eastAsia" w:ascii="宋体" w:hAnsi="宋体" w:cs="宋体"/>
          <w:color w:val="000000" w:themeColor="text1"/>
          <w:kern w:val="0"/>
          <w:sz w:val="24"/>
          <w14:textFill>
            <w14:solidFill>
              <w14:schemeClr w14:val="tx1"/>
            </w14:solidFill>
          </w14:textFill>
        </w:rPr>
        <w:t>基金管理人应于每个工作日交易结束后计算当日的基金份额净值和基金资产净值并以双方认可的方式发送给基金托管人。基金托管人对净值计算结果复核确认后以双方认可的方式发送给基金管理人，由基金管理人按约定对外公布。</w:t>
      </w:r>
    </w:p>
    <w:p>
      <w:pPr>
        <w:tabs>
          <w:tab w:val="left" w:pos="900"/>
        </w:tabs>
        <w:spacing w:line="360" w:lineRule="auto"/>
        <w:ind w:right="28"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法律法规以及监管部门有强制规定的，从其规定。如有新增事项，按国家最新规定估值。</w:t>
      </w:r>
    </w:p>
    <w:p>
      <w:pPr>
        <w:pStyle w:val="3"/>
        <w:keepNext w:val="0"/>
        <w:keepLines w:val="0"/>
        <w:autoSpaceDE w:val="0"/>
        <w:autoSpaceDN w:val="0"/>
        <w:adjustRightInd w:val="0"/>
        <w:spacing w:before="0" w:after="0" w:line="440" w:lineRule="atLeast"/>
        <w:ind w:firstLine="480" w:firstLineChars="200"/>
        <w:textAlignment w:val="baseline"/>
        <w:rPr>
          <w:rFonts w:ascii="宋体" w:hAnsi="宋体" w:eastAsia="宋体"/>
          <w:b w:val="0"/>
          <w:bCs w:val="0"/>
          <w:color w:val="000000" w:themeColor="text1"/>
          <w:sz w:val="24"/>
          <w:szCs w:val="24"/>
          <w14:textFill>
            <w14:solidFill>
              <w14:schemeClr w14:val="tx1"/>
            </w14:solidFill>
          </w14:textFill>
        </w:rPr>
      </w:pPr>
      <w:bookmarkStart w:id="44" w:name="_Toc382819105"/>
      <w:r>
        <w:rPr>
          <w:rFonts w:hint="eastAsia" w:ascii="宋体" w:hAnsi="宋体" w:eastAsia="宋体"/>
          <w:b w:val="0"/>
          <w:bCs w:val="0"/>
          <w:color w:val="000000" w:themeColor="text1"/>
          <w:sz w:val="24"/>
          <w:szCs w:val="24"/>
          <w14:textFill>
            <w14:solidFill>
              <w14:schemeClr w14:val="tx1"/>
            </w14:solidFill>
          </w14:textFill>
        </w:rPr>
        <w:t>（二）基金资产估值</w:t>
      </w:r>
      <w:bookmarkEnd w:id="44"/>
    </w:p>
    <w:p>
      <w:pPr>
        <w:spacing w:line="440" w:lineRule="atLeast"/>
        <w:ind w:right="28" w:firstLine="480" w:firstLineChars="200"/>
        <w:rPr>
          <w:rFonts w:ascii="宋体" w:hAnsi="宋体"/>
          <w:color w:val="000000" w:themeColor="text1"/>
          <w:sz w:val="24"/>
          <w14:textFill>
            <w14:solidFill>
              <w14:schemeClr w14:val="tx1"/>
            </w14:solidFill>
          </w14:textFill>
        </w:rPr>
      </w:pPr>
      <w:bookmarkStart w:id="45" w:name="_Hlk113893049"/>
      <w:r>
        <w:rPr>
          <w:rFonts w:hint="eastAsia" w:ascii="宋体" w:hAnsi="宋体"/>
          <w:color w:val="000000" w:themeColor="text1"/>
          <w:sz w:val="24"/>
          <w14:textFill>
            <w14:solidFill>
              <w14:schemeClr w14:val="tx1"/>
            </w14:solidFill>
          </w14:textFill>
        </w:rPr>
        <w:t>1、估值对象</w:t>
      </w:r>
    </w:p>
    <w:p>
      <w:pPr>
        <w:spacing w:line="440" w:lineRule="atLeast"/>
        <w:ind w:right="28"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基金所拥有的债券、银行存款本息、应收款项、其它投资等资产及负债。</w:t>
      </w:r>
    </w:p>
    <w:p>
      <w:pPr>
        <w:spacing w:line="440" w:lineRule="atLeast"/>
        <w:ind w:right="28"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2、估值方法</w:t>
      </w:r>
    </w:p>
    <w:p>
      <w:pPr>
        <w:spacing w:line="440" w:lineRule="atLeast"/>
        <w:ind w:right="28" w:firstLine="480" w:firstLineChars="200"/>
        <w:rPr>
          <w:rFonts w:ascii="宋体" w:hAnsi="宋体"/>
          <w:color w:val="000000" w:themeColor="text1"/>
          <w:sz w:val="24"/>
          <w14:textFill>
            <w14:solidFill>
              <w14:schemeClr w14:val="tx1"/>
            </w14:solidFill>
          </w14:textFill>
        </w:rPr>
      </w:pPr>
      <w:bookmarkStart w:id="46" w:name="_Hlk113649781"/>
      <w:r>
        <w:rPr>
          <w:rFonts w:hint="eastAsia" w:ascii="宋体" w:hAnsi="宋体"/>
          <w:color w:val="000000" w:themeColor="text1"/>
          <w:sz w:val="24"/>
          <w14:textFill>
            <w14:solidFill>
              <w14:schemeClr w14:val="tx1"/>
            </w14:solidFill>
          </w14:textFill>
        </w:rPr>
        <w:t>1）证券交易所上市的有价证券的估值</w:t>
      </w:r>
    </w:p>
    <w:p>
      <w:pPr>
        <w:spacing w:line="440" w:lineRule="atLeast"/>
        <w:ind w:right="28"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除本部分另有约定的品种外，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440" w:lineRule="atLeast"/>
        <w:ind w:right="28"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（2）交易所上市交易或挂牌转让的不含权固定收益品种，选取估值日第三方估值机构提供的相应品种当日的估值净价进行估值；</w:t>
      </w:r>
    </w:p>
    <w:p>
      <w:pPr>
        <w:spacing w:line="440" w:lineRule="atLeast"/>
        <w:ind w:right="28"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（3）交易所上市交易或挂牌转让的含权固定收益品种，选取估值日第三方估值机构提供的相应品种当日的唯一估值净价或推荐估值净价进行估值；</w:t>
      </w:r>
    </w:p>
    <w:p>
      <w:pPr>
        <w:spacing w:line="440" w:lineRule="atLeast"/>
        <w:ind w:right="28"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（4）交易所上市不存在活跃市场的有价证券，采用估值技术确定公允价值。交易所市场挂牌转让的资产支持证券，采用估值技术确定公允价值，在估值技术难以可靠计量公允价值的情况下，按成本估值；</w:t>
      </w:r>
    </w:p>
    <w:p>
      <w:pPr>
        <w:spacing w:line="440" w:lineRule="atLeast"/>
        <w:ind w:right="28"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pPr>
        <w:spacing w:line="440" w:lineRule="atLeast"/>
        <w:ind w:right="28"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2）首次公开发行未上市的债券，采用估值技术确定公允价值，在估值技术难以可靠计量公允价值的情况下，按成本估值。</w:t>
      </w:r>
    </w:p>
    <w:p>
      <w:pPr>
        <w:spacing w:line="440" w:lineRule="atLeast"/>
        <w:ind w:right="28"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spacing w:line="440" w:lineRule="atLeast"/>
        <w:ind w:right="28"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4）同一债券同时在两个或两个以上市场交易的，按债券所处的市场分别估值。</w:t>
      </w:r>
    </w:p>
    <w:p>
      <w:pPr>
        <w:spacing w:line="440" w:lineRule="atLeast"/>
        <w:ind w:right="28"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5）基金投资同业存单，按估值日第三方估值机构提供的估值净价估值；选定的第三方估值机构未提供估值价格的，按成本估值。</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6）本基金持有的回购以成本列示，按合同利率在实际持有期内逐日计提利息。</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7）本基金持有的银行存款和备付金余额以本金列示，按相应利率逐日确认利息收入。</w:t>
      </w:r>
    </w:p>
    <w:p>
      <w:pPr>
        <w:spacing w:line="440" w:lineRule="atLeast"/>
        <w:ind w:right="28"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8）如有确凿证据表明按上述方法进行估值不能客观反映其公允价值的，基金管理人可根据具体情况与基金托管人商定后，按最能反映公允价值的价格估值。</w:t>
      </w:r>
    </w:p>
    <w:p>
      <w:pPr>
        <w:spacing w:line="440" w:lineRule="atLeast"/>
        <w:ind w:right="28"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9）当发生大额申购或赎回情形时，基金管理人可以采用摆动定价机制，以确保基金估值的公平性。</w:t>
      </w:r>
    </w:p>
    <w:p>
      <w:pPr>
        <w:spacing w:line="440" w:lineRule="atLeast"/>
        <w:ind w:right="28"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10）相关法律法规以及监管部门有强制规定的，从其规定。如有新增事项，按国家最新规定估值。</w:t>
      </w:r>
    </w:p>
    <w:p>
      <w:pPr>
        <w:spacing w:line="440" w:lineRule="atLeast"/>
        <w:ind w:right="28"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如基金管理人或基金托管人发现基金估值违反基金合同订明的估值方法、程序及相关法律法规的规定或者未能充分维护基金份额持有人利益时，应立即通知对方，共同查明原因，双方协商解决。</w:t>
      </w:r>
    </w:p>
    <w:p>
      <w:pPr>
        <w:spacing w:line="440" w:lineRule="atLeast"/>
        <w:ind w:right="28"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pPr>
        <w:spacing w:line="440" w:lineRule="atLeast"/>
        <w:ind w:right="28"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3、特殊情形的处理</w:t>
      </w:r>
    </w:p>
    <w:p>
      <w:pPr>
        <w:spacing w:line="440" w:lineRule="atLeast"/>
        <w:ind w:right="28"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（1）基金管理人或基金托管人按估值方法的第8）项进行估值时，所造成的误差不作为基金资产估值错误处理。</w:t>
      </w:r>
    </w:p>
    <w:p>
      <w:pPr>
        <w:spacing w:line="440" w:lineRule="atLeast"/>
        <w:ind w:right="28"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由于不可抗力原因，或证券交易所、登记机构及存款银行等第三方结算公司等机构发送的数据错误等非基金管理人与基金托管人原因，基金管理人和基金托管人虽然已经采取必要、适当、合理的措施进行检查，但是未能发现该错误的，由此造成的基金财产估值错误，基金管理人和基金托管人免除赔偿责任。但基金管理人和基金托管人应当积极采取必要的措施减轻或消除由此造成的影响。</w:t>
      </w:r>
    </w:p>
    <w:bookmarkEnd w:id="45"/>
    <w:bookmarkEnd w:id="46"/>
    <w:p>
      <w:pPr>
        <w:spacing w:line="440" w:lineRule="atLeast"/>
        <w:ind w:right="28"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（三）实施侧袋机制期间的基金资产估值</w:t>
      </w:r>
    </w:p>
    <w:p>
      <w:pPr>
        <w:spacing w:line="440" w:lineRule="atLeast"/>
        <w:ind w:right="28"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本基金实施侧袋机制的，应根据基金合同的约定对主袋账户资产进行估值并披露主袋账户的基金净值信息，暂停披露侧袋账户份额净值。</w:t>
      </w:r>
    </w:p>
    <w:p>
      <w:pPr>
        <w:pStyle w:val="3"/>
        <w:keepNext w:val="0"/>
        <w:keepLines w:val="0"/>
        <w:autoSpaceDE w:val="0"/>
        <w:autoSpaceDN w:val="0"/>
        <w:adjustRightInd w:val="0"/>
        <w:spacing w:before="0" w:after="0" w:line="360" w:lineRule="auto"/>
        <w:ind w:firstLine="480" w:firstLineChars="200"/>
        <w:textAlignment w:val="baseline"/>
        <w:rPr>
          <w:rFonts w:ascii="宋体" w:hAnsi="宋体" w:eastAsia="宋体"/>
          <w:b w:val="0"/>
          <w:bCs w:val="0"/>
          <w:color w:val="000000" w:themeColor="text1"/>
          <w:sz w:val="24"/>
          <w:szCs w:val="24"/>
          <w14:textFill>
            <w14:solidFill>
              <w14:schemeClr w14:val="tx1"/>
            </w14:solidFill>
          </w14:textFill>
        </w:rPr>
      </w:pPr>
      <w:bookmarkStart w:id="47" w:name="_Toc382819106"/>
      <w:r>
        <w:rPr>
          <w:rFonts w:hint="eastAsia" w:ascii="宋体" w:hAnsi="宋体" w:eastAsia="宋体"/>
          <w:b w:val="0"/>
          <w:bCs w:val="0"/>
          <w:color w:val="000000" w:themeColor="text1"/>
          <w:sz w:val="24"/>
          <w:szCs w:val="24"/>
          <w14:textFill>
            <w14:solidFill>
              <w14:schemeClr w14:val="tx1"/>
            </w14:solidFill>
          </w14:textFill>
        </w:rPr>
        <w:t>（四）估值错误处理</w:t>
      </w:r>
      <w:bookmarkEnd w:id="47"/>
    </w:p>
    <w:p>
      <w:pPr>
        <w:autoSpaceDE w:val="0"/>
        <w:autoSpaceDN w:val="0"/>
        <w:adjustRightInd w:val="0"/>
        <w:spacing w:line="440" w:lineRule="atLeast"/>
        <w:ind w:right="28" w:firstLine="480" w:firstLineChars="200"/>
        <w:textAlignment w:val="baseline"/>
        <w:rPr>
          <w:rFonts w:ascii="宋体" w:hAnsi="宋体"/>
          <w:color w:val="000000" w:themeColor="text1"/>
          <w:sz w:val="24"/>
          <w14:textFill>
            <w14:solidFill>
              <w14:schemeClr w14:val="tx1"/>
            </w14:solidFill>
          </w14:textFill>
        </w:rPr>
      </w:pPr>
      <w:bookmarkStart w:id="48" w:name="_Toc382819107"/>
      <w:bookmarkStart w:id="49" w:name="_Hlk113893158"/>
      <w:r>
        <w:rPr>
          <w:rFonts w:hint="eastAsia" w:ascii="宋体" w:hAnsi="宋体"/>
          <w:color w:val="000000" w:themeColor="text1"/>
          <w:sz w:val="24"/>
          <w14:textFill>
            <w14:solidFill>
              <w14:schemeClr w14:val="tx1"/>
            </w14:solidFill>
          </w14:textFill>
        </w:rPr>
        <w:t>基金管理人和基金托管人将采取必要、适当、合理的措施确保基金资产估值的准确性、及时性。当基金份额净值小数点后4位以内（含第4位）发生估值错误时，视为基金份额净值错误。</w:t>
      </w:r>
    </w:p>
    <w:p>
      <w:pPr>
        <w:autoSpaceDE w:val="0"/>
        <w:autoSpaceDN w:val="0"/>
        <w:adjustRightInd w:val="0"/>
        <w:spacing w:line="440" w:lineRule="atLeast"/>
        <w:ind w:right="28"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基金合同的当事人应按照以下约定处理：</w:t>
      </w:r>
    </w:p>
    <w:p>
      <w:pPr>
        <w:autoSpaceDE w:val="0"/>
        <w:autoSpaceDN w:val="0"/>
        <w:adjustRightInd w:val="0"/>
        <w:spacing w:line="440" w:lineRule="atLeast"/>
        <w:ind w:right="28" w:firstLine="480" w:firstLineChars="200"/>
        <w:textAlignment w:val="baseline"/>
        <w:rPr>
          <w:rFonts w:ascii="宋体" w:hAnsi="宋体"/>
          <w:color w:val="000000" w:themeColor="text1"/>
          <w:sz w:val="24"/>
          <w14:textFill>
            <w14:solidFill>
              <w14:schemeClr w14:val="tx1"/>
            </w14:solidFill>
          </w14:textFill>
        </w:rPr>
      </w:pPr>
      <w:bookmarkStart w:id="50" w:name="_Hlk113650135"/>
      <w:r>
        <w:rPr>
          <w:rFonts w:hint="eastAsia" w:ascii="宋体" w:hAnsi="宋体"/>
          <w:color w:val="000000" w:themeColor="text1"/>
          <w:sz w:val="24"/>
          <w14:textFill>
            <w14:solidFill>
              <w14:schemeClr w14:val="tx1"/>
            </w14:solidFill>
          </w14:textFill>
        </w:rPr>
        <w:t>1、估值错误类型</w:t>
      </w:r>
    </w:p>
    <w:p>
      <w:pPr>
        <w:autoSpaceDE w:val="0"/>
        <w:autoSpaceDN w:val="0"/>
        <w:adjustRightInd w:val="0"/>
        <w:spacing w:line="440" w:lineRule="atLeast"/>
        <w:ind w:right="28"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pPr>
        <w:autoSpaceDE w:val="0"/>
        <w:autoSpaceDN w:val="0"/>
        <w:adjustRightInd w:val="0"/>
        <w:spacing w:line="440" w:lineRule="atLeast"/>
        <w:ind w:right="28"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上述估值错误的主要类型包括但不限于：资料申报差错、数据传输差错、数据计算差错、系统故障差错、下达指令差错等。</w:t>
      </w:r>
    </w:p>
    <w:p>
      <w:pPr>
        <w:autoSpaceDE w:val="0"/>
        <w:autoSpaceDN w:val="0"/>
        <w:adjustRightInd w:val="0"/>
        <w:spacing w:line="440" w:lineRule="atLeast"/>
        <w:ind w:right="28"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2、估值错误处理原则</w:t>
      </w:r>
    </w:p>
    <w:p>
      <w:pPr>
        <w:autoSpaceDE w:val="0"/>
        <w:autoSpaceDN w:val="0"/>
        <w:adjustRightInd w:val="0"/>
        <w:spacing w:line="440" w:lineRule="atLeast"/>
        <w:ind w:right="28"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autoSpaceDE w:val="0"/>
        <w:autoSpaceDN w:val="0"/>
        <w:adjustRightInd w:val="0"/>
        <w:spacing w:line="440" w:lineRule="atLeast"/>
        <w:ind w:right="28"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（2）估值错误的责任方对有关当事人的直接损失负责，不对间接损失负责，并且仅对估值错误的有关直接当事人负责，不对第三方负责。</w:t>
      </w:r>
    </w:p>
    <w:p>
      <w:pPr>
        <w:autoSpaceDE w:val="0"/>
        <w:autoSpaceDN w:val="0"/>
        <w:adjustRightInd w:val="0"/>
        <w:spacing w:line="440" w:lineRule="atLeast"/>
        <w:ind w:right="28"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autoSpaceDE w:val="0"/>
        <w:autoSpaceDN w:val="0"/>
        <w:adjustRightInd w:val="0"/>
        <w:spacing w:line="440" w:lineRule="atLeast"/>
        <w:ind w:right="28"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（4）估值错误调整采用尽量恢复至假设未发生估值错误的正确情形的方式。</w:t>
      </w:r>
    </w:p>
    <w:p>
      <w:pPr>
        <w:autoSpaceDE w:val="0"/>
        <w:autoSpaceDN w:val="0"/>
        <w:adjustRightInd w:val="0"/>
        <w:spacing w:line="440" w:lineRule="atLeast"/>
        <w:ind w:right="28"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（5）按法律法规规定的其他原则处理差错。</w:t>
      </w:r>
    </w:p>
    <w:p>
      <w:pPr>
        <w:autoSpaceDE w:val="0"/>
        <w:autoSpaceDN w:val="0"/>
        <w:adjustRightInd w:val="0"/>
        <w:spacing w:line="440" w:lineRule="atLeast"/>
        <w:ind w:right="28"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3、估值错误处理程序</w:t>
      </w:r>
    </w:p>
    <w:p>
      <w:pPr>
        <w:autoSpaceDE w:val="0"/>
        <w:autoSpaceDN w:val="0"/>
        <w:adjustRightInd w:val="0"/>
        <w:spacing w:line="440" w:lineRule="atLeast"/>
        <w:ind w:right="28"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估值错误被发现后，有关的当事人应当及时进行处理，处理的程序如下：</w:t>
      </w:r>
    </w:p>
    <w:p>
      <w:pPr>
        <w:autoSpaceDE w:val="0"/>
        <w:autoSpaceDN w:val="0"/>
        <w:adjustRightInd w:val="0"/>
        <w:spacing w:line="440" w:lineRule="atLeast"/>
        <w:ind w:right="28"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（1）查明估值错误发生的原因，列明所有的当事人，并根据估值错误发生的原因确定估值错误的责任方；</w:t>
      </w:r>
    </w:p>
    <w:p>
      <w:pPr>
        <w:autoSpaceDE w:val="0"/>
        <w:autoSpaceDN w:val="0"/>
        <w:adjustRightInd w:val="0"/>
        <w:spacing w:line="440" w:lineRule="atLeast"/>
        <w:ind w:right="28"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（2）根据估值错误处理原则或当事人协商的方法对因估值错误造成的损失进行评估；</w:t>
      </w:r>
    </w:p>
    <w:p>
      <w:pPr>
        <w:autoSpaceDE w:val="0"/>
        <w:autoSpaceDN w:val="0"/>
        <w:adjustRightInd w:val="0"/>
        <w:spacing w:line="440" w:lineRule="atLeast"/>
        <w:ind w:right="28"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（3）根据估值错误处理原则或当事人协商的方法由估值错误的责任方进行更正和赔偿损失；</w:t>
      </w:r>
    </w:p>
    <w:p>
      <w:pPr>
        <w:autoSpaceDE w:val="0"/>
        <w:autoSpaceDN w:val="0"/>
        <w:adjustRightInd w:val="0"/>
        <w:spacing w:line="440" w:lineRule="atLeast"/>
        <w:ind w:right="28"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（4）根据估值错误处理的方法，需要修改基金登记机构交易数据的，由基金登记机构进行更正，并就估值错误的更正向有关当事人进行确认。</w:t>
      </w:r>
    </w:p>
    <w:p>
      <w:pPr>
        <w:autoSpaceDE w:val="0"/>
        <w:autoSpaceDN w:val="0"/>
        <w:adjustRightInd w:val="0"/>
        <w:spacing w:line="440" w:lineRule="atLeast"/>
        <w:ind w:right="28"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4、基金份额净值估值错误处理的方法如下：</w:t>
      </w:r>
    </w:p>
    <w:p>
      <w:pPr>
        <w:autoSpaceDE w:val="0"/>
        <w:autoSpaceDN w:val="0"/>
        <w:adjustRightInd w:val="0"/>
        <w:spacing w:line="440" w:lineRule="atLeast"/>
        <w:ind w:right="28"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（1）基金份额净值计算出现错误时，基金管理人应当立即予以纠正，通报基金托管人，并采取合理的措施防止损失进一步扩大。</w:t>
      </w:r>
    </w:p>
    <w:p>
      <w:pPr>
        <w:autoSpaceDE w:val="0"/>
        <w:autoSpaceDN w:val="0"/>
        <w:adjustRightInd w:val="0"/>
        <w:spacing w:line="440" w:lineRule="atLeast"/>
        <w:ind w:right="28"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（2）错误偏差达到基金份额净值的0.25%时，基金管理人应当通报基金托管人并报中国证监会备案；错误偏差达到基金份额净值的0.5%时，基金管理人应当公告，并报中国证监会备案。</w:t>
      </w:r>
    </w:p>
    <w:p>
      <w:pPr>
        <w:autoSpaceDE w:val="0"/>
        <w:autoSpaceDN w:val="0"/>
        <w:adjustRightInd w:val="0"/>
        <w:spacing w:line="440" w:lineRule="atLeast"/>
        <w:ind w:right="28"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（3）基金管理人和基金托管人由于各自技术系统设置而产生的净值计算尾差，以基金管理人计算结果为准。</w:t>
      </w:r>
    </w:p>
    <w:p>
      <w:pPr>
        <w:autoSpaceDE w:val="0"/>
        <w:autoSpaceDN w:val="0"/>
        <w:adjustRightInd w:val="0"/>
        <w:spacing w:line="440" w:lineRule="atLeast"/>
        <w:ind w:right="28"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）前述内容如法律法规或监管机关另有规定的，从其规定处理。</w:t>
      </w:r>
      <w:bookmarkEnd w:id="48"/>
      <w:bookmarkStart w:id="51" w:name="_Toc382819116"/>
      <w:r>
        <w:rPr>
          <w:rFonts w:hint="eastAsia" w:ascii="宋体" w:hAnsi="宋体"/>
          <w:color w:val="000000" w:themeColor="text1"/>
          <w:sz w:val="24"/>
          <w14:textFill>
            <w14:solidFill>
              <w14:schemeClr w14:val="tx1"/>
            </w14:solidFill>
          </w14:textFill>
        </w:rPr>
        <w:t>如果法律法规或监管机关没有规定的，基金管理人、基金托管人应本着平等和保护基金份额持有人利益的原则协商一致后参照行业惯例处理。</w:t>
      </w:r>
    </w:p>
    <w:bookmarkEnd w:id="49"/>
    <w:bookmarkEnd w:id="50"/>
    <w:p>
      <w:pPr>
        <w:pStyle w:val="3"/>
        <w:keepNext w:val="0"/>
        <w:keepLines w:val="0"/>
        <w:autoSpaceDE w:val="0"/>
        <w:autoSpaceDN w:val="0"/>
        <w:adjustRightInd w:val="0"/>
        <w:spacing w:before="0" w:after="0" w:line="360" w:lineRule="auto"/>
        <w:ind w:firstLine="480" w:firstLineChars="200"/>
        <w:textAlignment w:val="baseline"/>
        <w:rPr>
          <w:rFonts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（五）基金账册的建立</w:t>
      </w:r>
      <w:bookmarkEnd w:id="51"/>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对账发现相关各方的账目存在不符的，基金管理人和基金托管人必须及时查明原因并纠正，保证相关各方平行登录的账册记录完全相符。若当日核对不符，暂时无法查找到错账的原因而影响到基金净值的计算和公告的，以基金管理人的账册为准。</w:t>
      </w:r>
    </w:p>
    <w:p>
      <w:pPr>
        <w:pStyle w:val="3"/>
        <w:keepNext w:val="0"/>
        <w:keepLines w:val="0"/>
        <w:autoSpaceDE w:val="0"/>
        <w:autoSpaceDN w:val="0"/>
        <w:adjustRightInd w:val="0"/>
        <w:spacing w:before="0" w:after="0" w:line="360" w:lineRule="auto"/>
        <w:ind w:firstLine="480" w:firstLineChars="200"/>
        <w:textAlignment w:val="baseline"/>
        <w:rPr>
          <w:rFonts w:ascii="宋体" w:hAnsi="宋体" w:eastAsia="宋体"/>
          <w:b w:val="0"/>
          <w:bCs w:val="0"/>
          <w:color w:val="000000" w:themeColor="text1"/>
          <w:sz w:val="24"/>
          <w:szCs w:val="24"/>
          <w14:textFill>
            <w14:solidFill>
              <w14:schemeClr w14:val="tx1"/>
            </w14:solidFill>
          </w14:textFill>
        </w:rPr>
      </w:pPr>
      <w:bookmarkStart w:id="52" w:name="_Toc382819117"/>
      <w:r>
        <w:rPr>
          <w:rFonts w:hint="eastAsia" w:ascii="宋体" w:hAnsi="宋体" w:eastAsia="宋体"/>
          <w:b w:val="0"/>
          <w:bCs w:val="0"/>
          <w:color w:val="000000" w:themeColor="text1"/>
          <w:sz w:val="24"/>
          <w:szCs w:val="24"/>
          <w14:textFill>
            <w14:solidFill>
              <w14:schemeClr w14:val="tx1"/>
            </w14:solidFill>
          </w14:textFill>
        </w:rPr>
        <w:t>（六）基金定期报告的编制和复核</w:t>
      </w:r>
      <w:bookmarkEnd w:id="52"/>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基金财务报表由基金管理人和基金托管人每月分别独立编制。月度报表的编制，应于每月终了后5个工作日内完成。</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合同生效后，基金招募说明书的信息发生重大变更的，基金管理人应当在3个工作日内，更新基金招募说明书并登载在规定网站上；基金招募说明书其他信息发生变更的，基金管理人至少每年更新一次。基金终止运作的，基金管理人不再更新基金招募说明书。基金管理人应在每个季度结束之日起1</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个工作日内，编制完成基金季度报告并公告；在上半年结束之日起两个月内，编制完成基金中期报告并公告；在每年结束之日起三个月内，编制完成基金年度报告并公告。</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管理人在月度报告完成当日，将有关报告提供基金托管人复核；基金托管人应及时复核，并将复核结果及时书面通知基金管理人。基金管理人在季度报告完成当日，将有关报告提供基金托管人复核，基金托管人应及时复核，并将复核结果书面通知基金管理人。基金管理人在中期报告完成当日，将有关报告提供基金托管人复核，基金托管人在收到后应及时复核，并将复核结果书面通知基金管理人。基金管理人在年度报告完成当日，将有关报告提供基金托管人复核，基金托管人应及时复核，并将复核结果书面通知基金管理人。</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托管人在复核过程中，发现相关各方的报表存在不符时，基金管理人和基金托管人应共同查明原因，进行调整，调整以相关各方认可的账务处理方式为准。核对无误后，基金托管人在基金管理人提供的报告上加盖印鉴或者出具加盖托管业务部门业务章的复核意见书，相关各方各自留存一份。</w:t>
      </w:r>
      <w:r>
        <w:rPr>
          <w:rFonts w:hint="eastAsia" w:ascii="宋体" w:hAnsi="宋体"/>
          <w:color w:val="000000" w:themeColor="text1"/>
          <w:kern w:val="44"/>
          <w:sz w:val="24"/>
          <w14:textFill>
            <w14:solidFill>
              <w14:schemeClr w14:val="tx1"/>
            </w14:solidFill>
          </w14:textFill>
        </w:rPr>
        <w:t>如果基金管理人与基金托管人不能于应当发布公告之日之前就相关报表达成一致，基金管理人有权按照其编制的报表对外发布公告，基金托管人有权就相关情况报证监会备案。</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基金托管人在对财务会计报告、中期报告或年度报告复核完毕后，需盖章确认或出具相应的复核确认书，以备有权机构对相关文件审核时提示。</w:t>
      </w:r>
    </w:p>
    <w:p>
      <w:pPr>
        <w:widowControl/>
        <w:jc w:val="left"/>
        <w:rPr>
          <w:rFonts w:ascii="宋体" w:hAnsi="宋体" w:cs="Arial"/>
          <w:b/>
          <w:color w:val="000000" w:themeColor="text1"/>
          <w:kern w:val="44"/>
          <w:sz w:val="30"/>
          <w:szCs w:val="30"/>
          <w:lang w:val="zh-CN"/>
          <w14:textFill>
            <w14:solidFill>
              <w14:schemeClr w14:val="tx1"/>
            </w14:solidFill>
          </w14:textFill>
        </w:rPr>
      </w:pPr>
      <w:bookmarkStart w:id="53" w:name="_Toc382819118"/>
      <w:r>
        <w:rPr>
          <w:rFonts w:ascii="宋体" w:hAnsi="宋体" w:cs="Arial"/>
          <w:color w:val="000000" w:themeColor="text1"/>
          <w:sz w:val="30"/>
          <w:szCs w:val="30"/>
          <w14:textFill>
            <w14:solidFill>
              <w14:schemeClr w14:val="tx1"/>
            </w14:solidFill>
          </w14:textFill>
        </w:rPr>
        <w:br w:type="page"/>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color w:val="000000" w:themeColor="text1"/>
          <w:sz w:val="30"/>
          <w:szCs w:val="30"/>
          <w14:textFill>
            <w14:solidFill>
              <w14:schemeClr w14:val="tx1"/>
            </w14:solidFill>
          </w14:textFill>
        </w:rPr>
      </w:pPr>
      <w:r>
        <w:rPr>
          <w:rFonts w:hint="eastAsia" w:ascii="宋体" w:hAnsi="宋体" w:eastAsia="宋体" w:cs="Arial"/>
          <w:color w:val="000000" w:themeColor="text1"/>
          <w:sz w:val="30"/>
          <w:szCs w:val="30"/>
          <w14:textFill>
            <w14:solidFill>
              <w14:schemeClr w14:val="tx1"/>
            </w14:solidFill>
          </w14:textFill>
        </w:rPr>
        <w:t>基金收益分配</w:t>
      </w:r>
      <w:bookmarkEnd w:id="53"/>
    </w:p>
    <w:p>
      <w:pPr>
        <w:spacing w:line="360" w:lineRule="auto"/>
        <w:ind w:firstLine="540" w:firstLineChars="225"/>
        <w:rPr>
          <w:rFonts w:ascii="宋体" w:hAnsi="宋体"/>
          <w:color w:val="000000" w:themeColor="text1"/>
          <w:sz w:val="24"/>
          <w14:textFill>
            <w14:solidFill>
              <w14:schemeClr w14:val="tx1"/>
            </w14:solidFill>
          </w14:textFill>
        </w:rPr>
      </w:pPr>
      <w:bookmarkStart w:id="54" w:name="_Toc382819120"/>
      <w:r>
        <w:rPr>
          <w:rFonts w:hint="eastAsia" w:ascii="宋体" w:hAnsi="宋体"/>
          <w:color w:val="000000" w:themeColor="text1"/>
          <w:sz w:val="24"/>
          <w14:textFill>
            <w14:solidFill>
              <w14:schemeClr w14:val="tx1"/>
            </w14:solidFill>
          </w14:textFill>
        </w:rPr>
        <w:t>（一）基金利润的构成</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基金利润指基金利息收入、投资收益、公允价值变动收益和其他收入扣除相关费用后的余额，基金已实现收益指基金利润减去公允价值变动收益后的余额。</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（二）基金可供分配利润</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基金可供分配利润指截至收益分配基准日基金未分配利润与未分配利润中已实现收益的孰低数。</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（三）基金收益分配原则</w:t>
      </w:r>
    </w:p>
    <w:p>
      <w:pPr>
        <w:spacing w:line="360" w:lineRule="auto"/>
        <w:ind w:firstLine="540" w:firstLineChars="225"/>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在符合有关基金分红条件的前提下，本基金每年收益分配次数最少为1次，每次分红不低于可供分配利润50%，若《基金合同》生效不满3个月可不进行收益分配；</w:t>
      </w:r>
    </w:p>
    <w:p>
      <w:pPr>
        <w:spacing w:line="360" w:lineRule="auto"/>
        <w:ind w:firstLine="540" w:firstLineChars="225"/>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本基金收益分配方式分两种：现金分红与红利再投资，投资者可选择现金红利或将现金红利自动转为基金份额进行再投资；若投资者不选择，本基金默认的收益分配方式是现金分红；</w:t>
      </w:r>
    </w:p>
    <w:p>
      <w:pPr>
        <w:spacing w:line="360" w:lineRule="auto"/>
        <w:ind w:firstLine="540" w:firstLineChars="225"/>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、基金收益分配后基金份额净值不能低于面值；即基金收益分配基准日的基金份额净值减去每单位基金份额收益分配金额后不能低于面值</w:t>
      </w:r>
      <w:r>
        <w:rPr>
          <w:rFonts w:hint="eastAsia"/>
          <w:bCs/>
          <w:color w:val="000000" w:themeColor="text1"/>
          <w:sz w:val="24"/>
          <w14:textFill>
            <w14:solidFill>
              <w14:schemeClr w14:val="tx1"/>
            </w14:solidFill>
          </w14:textFill>
        </w:rPr>
        <w:t>；</w:t>
      </w:r>
    </w:p>
    <w:p>
      <w:pPr>
        <w:spacing w:line="360" w:lineRule="auto"/>
        <w:ind w:firstLine="540" w:firstLineChars="225"/>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w:t>
      </w:r>
      <w:r>
        <w:rPr>
          <w:bCs/>
          <w:color w:val="000000" w:themeColor="text1"/>
          <w:sz w:val="24"/>
          <w14:textFill>
            <w14:solidFill>
              <w14:schemeClr w14:val="tx1"/>
            </w14:solidFill>
          </w14:textFill>
        </w:rPr>
        <w:t>、每一基金份额享有同等分配权；</w:t>
      </w:r>
    </w:p>
    <w:p>
      <w:pPr>
        <w:spacing w:line="360" w:lineRule="auto"/>
        <w:ind w:firstLine="540" w:firstLineChars="225"/>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w:t>
      </w:r>
      <w:r>
        <w:rPr>
          <w:bCs/>
          <w:color w:val="000000" w:themeColor="text1"/>
          <w:sz w:val="24"/>
          <w14:textFill>
            <w14:solidFill>
              <w14:schemeClr w14:val="tx1"/>
            </w14:solidFill>
          </w14:textFill>
        </w:rPr>
        <w:t>、法律法规或监管机关另有规定的，从其规定。</w:t>
      </w:r>
    </w:p>
    <w:p>
      <w:pPr>
        <w:spacing w:line="360" w:lineRule="auto"/>
        <w:ind w:firstLine="540" w:firstLineChars="225"/>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在符合法律法规及基金合同约定，并对基金份额持有人利益无实质不利影响的前提下，基金管理人可对基金收益分配原则和支付方式进行调整，不需召开基金份额持有人大会。</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（四）收益分配方案</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基金收益分配方案中应载明截止收益分配基准日的可供分配利润、基金收益分配对象、分配时间、分配数额及比例、分配方式等内容。</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（五）收益分配方案的确定、公告与实施</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本基金收益分配方案由基金管理人拟定，并由基金托管人复核，在2日内在规定媒介公告。</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（六）基金收益分配中发生的费用</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（七）实施侧袋机制期间的收益分配</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本基金实施侧袋机制的，侧袋账户不进行收益分配，详见招募说明书的规定。</w:t>
      </w:r>
    </w:p>
    <w:bookmarkEnd w:id="54"/>
    <w:p>
      <w:pPr>
        <w:widowControl/>
        <w:jc w:val="left"/>
        <w:rPr>
          <w:rFonts w:ascii="宋体" w:hAnsi="宋体" w:cs="Arial"/>
          <w:b/>
          <w:color w:val="000000" w:themeColor="text1"/>
          <w:kern w:val="44"/>
          <w:sz w:val="30"/>
          <w:szCs w:val="30"/>
          <w:lang w:val="zh-CN"/>
          <w14:textFill>
            <w14:solidFill>
              <w14:schemeClr w14:val="tx1"/>
            </w14:solidFill>
          </w14:textFill>
        </w:rPr>
      </w:pPr>
      <w:bookmarkStart w:id="55" w:name="_Toc382819121"/>
      <w:r>
        <w:rPr>
          <w:rFonts w:ascii="宋体" w:hAnsi="宋体" w:cs="Arial"/>
          <w:color w:val="000000" w:themeColor="text1"/>
          <w:sz w:val="30"/>
          <w:szCs w:val="30"/>
          <w14:textFill>
            <w14:solidFill>
              <w14:schemeClr w14:val="tx1"/>
            </w14:solidFill>
          </w14:textFill>
        </w:rPr>
        <w:br w:type="page"/>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color w:val="000000" w:themeColor="text1"/>
          <w:sz w:val="30"/>
          <w:szCs w:val="30"/>
          <w14:textFill>
            <w14:solidFill>
              <w14:schemeClr w14:val="tx1"/>
            </w14:solidFill>
          </w14:textFill>
        </w:rPr>
      </w:pPr>
      <w:r>
        <w:rPr>
          <w:rFonts w:hint="eastAsia" w:ascii="宋体" w:hAnsi="宋体" w:eastAsia="宋体" w:cs="Arial"/>
          <w:color w:val="000000" w:themeColor="text1"/>
          <w:sz w:val="30"/>
          <w:szCs w:val="30"/>
          <w14:textFill>
            <w14:solidFill>
              <w14:schemeClr w14:val="tx1"/>
            </w14:solidFill>
          </w14:textFill>
        </w:rPr>
        <w:t>信息披露</w:t>
      </w:r>
      <w:bookmarkEnd w:id="55"/>
    </w:p>
    <w:p>
      <w:pPr>
        <w:pStyle w:val="3"/>
        <w:keepNext w:val="0"/>
        <w:keepLines w:val="0"/>
        <w:tabs>
          <w:tab w:val="left" w:pos="1080"/>
        </w:tabs>
        <w:autoSpaceDE w:val="0"/>
        <w:autoSpaceDN w:val="0"/>
        <w:adjustRightInd w:val="0"/>
        <w:spacing w:before="0" w:after="0" w:line="360" w:lineRule="auto"/>
        <w:ind w:firstLine="470" w:firstLineChars="196"/>
        <w:textAlignment w:val="baseline"/>
        <w:rPr>
          <w:rFonts w:ascii="宋体" w:hAnsi="宋体" w:eastAsia="宋体" w:cs="Arial"/>
          <w:b w:val="0"/>
          <w:color w:val="000000" w:themeColor="text1"/>
          <w:kern w:val="0"/>
          <w:sz w:val="24"/>
          <w:szCs w:val="24"/>
          <w14:textFill>
            <w14:solidFill>
              <w14:schemeClr w14:val="tx1"/>
            </w14:solidFill>
          </w14:textFill>
        </w:rPr>
      </w:pPr>
      <w:bookmarkStart w:id="56" w:name="_Toc382819122"/>
      <w:r>
        <w:rPr>
          <w:rFonts w:hint="eastAsia" w:ascii="宋体" w:hAnsi="宋体" w:eastAsia="宋体"/>
          <w:b w:val="0"/>
          <w:color w:val="000000" w:themeColor="text1"/>
          <w:sz w:val="24"/>
          <w:szCs w:val="24"/>
          <w14:textFill>
            <w14:solidFill>
              <w14:schemeClr w14:val="tx1"/>
            </w14:solidFill>
          </w14:textFill>
        </w:rPr>
        <w:t>（一）</w:t>
      </w:r>
      <w:r>
        <w:rPr>
          <w:rFonts w:hint="eastAsia" w:ascii="宋体" w:hAnsi="宋体" w:eastAsia="宋体" w:cs="Arial"/>
          <w:b w:val="0"/>
          <w:color w:val="000000" w:themeColor="text1"/>
          <w:kern w:val="0"/>
          <w:sz w:val="24"/>
          <w:szCs w:val="24"/>
          <w14:textFill>
            <w14:solidFill>
              <w14:schemeClr w14:val="tx1"/>
            </w14:solidFill>
          </w14:textFill>
        </w:rPr>
        <w:t>保密义务</w:t>
      </w:r>
      <w:bookmarkEnd w:id="56"/>
    </w:p>
    <w:p>
      <w:pPr>
        <w:spacing w:line="360" w:lineRule="auto"/>
        <w:ind w:right="28"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pPr>
        <w:pStyle w:val="11"/>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1.非因基金管理人和基金托管人的原因导致保密信息被披露、泄露或公开；</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2.基金管理人和基金托管人为遵守和服从法院判决、仲裁裁决或中国证监会等监管机构的命令、决定所做出的信息披露或公开。</w:t>
      </w:r>
    </w:p>
    <w:p>
      <w:pPr>
        <w:tabs>
          <w:tab w:val="left" w:pos="468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（二）信息披露的内容</w:t>
      </w:r>
    </w:p>
    <w:p>
      <w:pPr>
        <w:tabs>
          <w:tab w:val="left" w:pos="468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基金管理人和基金托管人应根据相关法律法规、《基金合同》的规定各自承担相应的信息披露职责。基金管理人和基金托管人负有积极配合、互相督促、彼此监督、保证其履行按照法定方式和时限披露的义务。</w:t>
      </w:r>
    </w:p>
    <w:p>
      <w:pPr>
        <w:tabs>
          <w:tab w:val="left" w:pos="468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基金的信息披露内容主要包括基金招募说明书、《基金合同》、基金托管协议、基金产品资料概要、基金份额发售公告、《基金合同》生效公告、基金净值信息、基金份额申购、赎回价格、基金定期报告（包括基金年度报告、基金中期报告和基金季度报告）、临时报告、澄清公告、基金份额持有人大会决议、实施侧袋机制期间的信息披露及中国证监会规定的其他信息等其他必要的公告文件，由基金管理人拟定并负责公布。</w:t>
      </w:r>
    </w:p>
    <w:p>
      <w:pPr>
        <w:tabs>
          <w:tab w:val="left" w:pos="468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管理人与基金托管人应严格遵守《基金合同》所规定的信息披露要求。基金资产净值、基金份额净值、基金份额申购赎回价格、基金定期报告、更新的招募说明书、基金产品资料概要、基金清算报告等公开披露的相关基金信息按有关规定需经基金托管人复核的，须由基金托管人进行复核、审查，并向基金管理人进行书面或电子确认。相关信息经基金托管人复核无误后方可公布。其他不需经基金托管人复核的信息披露内容，应及时告知基金托管人。</w:t>
      </w:r>
    </w:p>
    <w:p>
      <w:pPr>
        <w:tabs>
          <w:tab w:val="left" w:pos="468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年度报告中的财务报告部分，需经符合《中华人民共和国证券法》规定的会计师事务所审计后，方可披露。</w:t>
      </w:r>
    </w:p>
    <w:p>
      <w:pPr>
        <w:pStyle w:val="3"/>
        <w:keepNext w:val="0"/>
        <w:keepLines w:val="0"/>
        <w:tabs>
          <w:tab w:val="left" w:pos="1080"/>
        </w:tabs>
        <w:autoSpaceDE w:val="0"/>
        <w:autoSpaceDN w:val="0"/>
        <w:adjustRightInd w:val="0"/>
        <w:spacing w:before="0" w:after="0" w:line="360" w:lineRule="auto"/>
        <w:ind w:firstLine="480" w:firstLineChars="200"/>
        <w:textAlignment w:val="baseline"/>
        <w:rPr>
          <w:rFonts w:ascii="宋体" w:hAnsi="宋体" w:eastAsia="宋体"/>
          <w:b w:val="0"/>
          <w:bCs w:val="0"/>
          <w:color w:val="000000" w:themeColor="text1"/>
          <w:sz w:val="24"/>
          <w:szCs w:val="24"/>
          <w14:textFill>
            <w14:solidFill>
              <w14:schemeClr w14:val="tx1"/>
            </w14:solidFill>
          </w14:textFill>
        </w:rPr>
      </w:pPr>
      <w:bookmarkStart w:id="57" w:name="_Toc382819123"/>
      <w:r>
        <w:rPr>
          <w:rFonts w:hint="eastAsia" w:ascii="宋体" w:hAnsi="宋体" w:eastAsia="宋体"/>
          <w:b w:val="0"/>
          <w:bCs w:val="0"/>
          <w:color w:val="000000" w:themeColor="text1"/>
          <w:sz w:val="24"/>
          <w:szCs w:val="24"/>
          <w14:textFill>
            <w14:solidFill>
              <w14:schemeClr w14:val="tx1"/>
            </w14:solidFill>
          </w14:textFill>
        </w:rPr>
        <w:t>基金管理人应当在中国证监会规定的时间内，将应予披露的基金信息通过符合中国证监会规定条件的全国性报刊和《信息披露办法》规定的互联网网站等媒介披露。根据法律法规应由基金托管人公开披露的信息，基金托管人将通过规定报刊或基金托管人的互联网网站公开披露。</w:t>
      </w:r>
      <w:bookmarkEnd w:id="57"/>
    </w:p>
    <w:p>
      <w:pPr>
        <w:pStyle w:val="3"/>
        <w:keepNext w:val="0"/>
        <w:keepLines w:val="0"/>
        <w:tabs>
          <w:tab w:val="left" w:pos="1080"/>
        </w:tabs>
        <w:autoSpaceDE w:val="0"/>
        <w:autoSpaceDN w:val="0"/>
        <w:adjustRightInd w:val="0"/>
        <w:spacing w:before="0" w:after="0" w:line="360" w:lineRule="auto"/>
        <w:ind w:firstLine="480" w:firstLineChars="200"/>
        <w:textAlignment w:val="baseline"/>
        <w:rPr>
          <w:rFonts w:ascii="宋体" w:hAnsi="宋体" w:eastAsia="宋体"/>
          <w:b w:val="0"/>
          <w:bCs w:val="0"/>
          <w:color w:val="000000" w:themeColor="text1"/>
          <w:sz w:val="24"/>
          <w:szCs w:val="24"/>
          <w14:textFill>
            <w14:solidFill>
              <w14:schemeClr w14:val="tx1"/>
            </w14:solidFill>
          </w14:textFill>
        </w:rPr>
      </w:pPr>
      <w:bookmarkStart w:id="58" w:name="_Toc382819124"/>
      <w:r>
        <w:rPr>
          <w:rFonts w:hint="eastAsia" w:ascii="宋体" w:hAnsi="宋体" w:eastAsia="宋体"/>
          <w:b w:val="0"/>
          <w:bCs w:val="0"/>
          <w:color w:val="000000" w:themeColor="text1"/>
          <w:sz w:val="24"/>
          <w:szCs w:val="24"/>
          <w14:textFill>
            <w14:solidFill>
              <w14:schemeClr w14:val="tx1"/>
            </w14:solidFill>
          </w14:textFill>
        </w:rPr>
        <w:t>（三）基金管理人和基金托管人在信息披露中的职责和信息披露程序</w:t>
      </w:r>
      <w:bookmarkEnd w:id="58"/>
    </w:p>
    <w:p>
      <w:pPr>
        <w:tabs>
          <w:tab w:val="left" w:pos="468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1、职责</w:t>
      </w:r>
    </w:p>
    <w:p>
      <w:pPr>
        <w:tabs>
          <w:tab w:val="left" w:pos="468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人应在接到通知后的规定时间内予以书面答复。</w:t>
      </w:r>
    </w:p>
    <w:p>
      <w:pPr>
        <w:tabs>
          <w:tab w:val="left" w:pos="468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基金管理人和基金托管人应积极配合、互相监督，保证其履行按照法定方式和时限披露的义务。</w:t>
      </w:r>
    </w:p>
    <w:p>
      <w:pPr>
        <w:tabs>
          <w:tab w:val="left" w:pos="468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2、程序</w:t>
      </w:r>
    </w:p>
    <w:p>
      <w:pPr>
        <w:tabs>
          <w:tab w:val="left" w:pos="468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按有关规定须经基金托管人复核的信息披露文件，由基金管理人起草，并经基金托管人复核后由基金管理人公告。</w:t>
      </w:r>
    </w:p>
    <w:p>
      <w:pPr>
        <w:tabs>
          <w:tab w:val="left" w:pos="468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发生《基金合同》中规定需要披露的事项时，按《基金合同》规定公告。</w:t>
      </w:r>
    </w:p>
    <w:p>
      <w:pPr>
        <w:tabs>
          <w:tab w:val="left" w:pos="468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3、信息文本的存放</w:t>
      </w:r>
    </w:p>
    <w:p>
      <w:pPr>
        <w:autoSpaceDE w:val="0"/>
        <w:autoSpaceDN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依法必须披露的信息公布后，基金管理人、基金托管人应当按照相关法律法规规定将信息置备于各自住所，供社会公众查阅、复制。投资者在支付工本费后可以获得上述文件的复制件或复印件。</w:t>
      </w:r>
    </w:p>
    <w:p>
      <w:pPr>
        <w:autoSpaceDE w:val="0"/>
        <w:autoSpaceDN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基金管理人和基金托管人应保证文本的内容与所公告的内容完全一致。</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4、暂停</w:t>
      </w:r>
      <w:r>
        <w:rPr>
          <w:rFonts w:hint="eastAsia" w:ascii="宋体" w:hAnsi="宋体" w:cs="Arial"/>
          <w:color w:val="000000" w:themeColor="text1"/>
          <w:sz w:val="24"/>
          <w14:textFill>
            <w14:solidFill>
              <w14:schemeClr w14:val="tx1"/>
            </w14:solidFill>
          </w14:textFill>
        </w:rPr>
        <w:t>或延迟披露基金相关信息</w:t>
      </w:r>
      <w:r>
        <w:rPr>
          <w:rFonts w:hint="eastAsia" w:ascii="宋体" w:hAnsi="宋体"/>
          <w:color w:val="000000" w:themeColor="text1"/>
          <w:sz w:val="24"/>
          <w14:textFill>
            <w14:solidFill>
              <w14:schemeClr w14:val="tx1"/>
            </w14:solidFill>
          </w14:textFill>
        </w:rPr>
        <w:t>的情形</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（1）不可抗力；</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（2）发生基金合同约定的暂停估值的情形；</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（3）法律法规规定、基金合同或中国证监会认定的其他情形。</w:t>
      </w:r>
    </w:p>
    <w:p>
      <w:pPr>
        <w:widowControl/>
        <w:jc w:val="left"/>
        <w:rPr>
          <w:rFonts w:ascii="宋体" w:hAnsi="宋体" w:cs="Arial"/>
          <w:b/>
          <w:color w:val="000000" w:themeColor="text1"/>
          <w:kern w:val="44"/>
          <w:sz w:val="30"/>
          <w:szCs w:val="30"/>
          <w:lang w:val="zh-CN"/>
          <w14:textFill>
            <w14:solidFill>
              <w14:schemeClr w14:val="tx1"/>
            </w14:solidFill>
          </w14:textFill>
        </w:rPr>
      </w:pPr>
      <w:bookmarkStart w:id="59" w:name="_Toc382819125"/>
      <w:r>
        <w:rPr>
          <w:rFonts w:ascii="宋体" w:hAnsi="宋体" w:cs="Arial"/>
          <w:color w:val="000000" w:themeColor="text1"/>
          <w:sz w:val="30"/>
          <w:szCs w:val="30"/>
          <w14:textFill>
            <w14:solidFill>
              <w14:schemeClr w14:val="tx1"/>
            </w14:solidFill>
          </w14:textFill>
        </w:rPr>
        <w:br w:type="page"/>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color w:val="000000" w:themeColor="text1"/>
          <w:sz w:val="30"/>
          <w:szCs w:val="30"/>
          <w14:textFill>
            <w14:solidFill>
              <w14:schemeClr w14:val="tx1"/>
            </w14:solidFill>
          </w14:textFill>
        </w:rPr>
      </w:pPr>
      <w:r>
        <w:rPr>
          <w:rFonts w:hint="eastAsia" w:ascii="宋体" w:hAnsi="宋体" w:eastAsia="宋体" w:cs="Arial"/>
          <w:color w:val="000000" w:themeColor="text1"/>
          <w:sz w:val="30"/>
          <w:szCs w:val="30"/>
          <w14:textFill>
            <w14:solidFill>
              <w14:schemeClr w14:val="tx1"/>
            </w14:solidFill>
          </w14:textFill>
        </w:rPr>
        <w:t>基金费用</w:t>
      </w:r>
      <w:bookmarkEnd w:id="59"/>
    </w:p>
    <w:p>
      <w:pPr>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bookmarkStart w:id="60" w:name="_Hlk113893440"/>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一）基金费用的种类</w:t>
      </w:r>
    </w:p>
    <w:p>
      <w:pPr>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1、基金管理人的管理费；</w:t>
      </w:r>
    </w:p>
    <w:p>
      <w:pPr>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2、基金托管人的托管费；</w:t>
      </w:r>
    </w:p>
    <w:p>
      <w:pPr>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3、基金合同生效后与基金相关的信息披露费用；</w:t>
      </w:r>
    </w:p>
    <w:p>
      <w:pPr>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4、基金合同生效后与基金相关的会计师费、律师费、诉讼费和仲裁费等费用；</w:t>
      </w:r>
    </w:p>
    <w:p>
      <w:pPr>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5、基金份额持有人大会费用；</w:t>
      </w:r>
    </w:p>
    <w:p>
      <w:pPr>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6、基金的证券交易费用；</w:t>
      </w:r>
    </w:p>
    <w:p>
      <w:pPr>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7、基金的银行汇划费用；</w:t>
      </w:r>
    </w:p>
    <w:p>
      <w:pPr>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8、基金的</w:t>
      </w:r>
      <w:r>
        <w:rPr>
          <w:rFonts w:hint="eastAsia" w:asciiTheme="minorEastAsia" w:hAnsiTheme="minorEastAsia" w:eastAsiaTheme="minorEastAsia"/>
          <w:color w:val="000000" w:themeColor="text1"/>
          <w:sz w:val="24"/>
          <w14:textFill>
            <w14:solidFill>
              <w14:schemeClr w14:val="tx1"/>
            </w14:solidFill>
          </w14:textFill>
        </w:rPr>
        <w:t>账户开户费用、账户维护费用；</w:t>
      </w:r>
    </w:p>
    <w:p>
      <w:pPr>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9、按照国家有关规定和基金合同约定，可以在基金财产中列支的其他费用。</w:t>
      </w:r>
    </w:p>
    <w:p>
      <w:pPr>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（二）基金费用计提方法、计提标准和支付方式</w:t>
      </w:r>
    </w:p>
    <w:p>
      <w:pPr>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1、基金管理人的管理费</w:t>
      </w:r>
    </w:p>
    <w:p>
      <w:pPr>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本基金的管理费按前一日基金资产净值的</w:t>
      </w:r>
      <w:r>
        <w:rPr>
          <w:rFonts w:asciiTheme="minorEastAsia" w:hAnsiTheme="minorEastAsia" w:eastAsiaTheme="minorEastAsia"/>
          <w:color w:val="000000" w:themeColor="text1"/>
          <w:sz w:val="24"/>
          <w14:textFill>
            <w14:solidFill>
              <w14:schemeClr w14:val="tx1"/>
            </w14:solidFill>
          </w14:textFill>
        </w:rPr>
        <w:t>0.</w:t>
      </w:r>
      <w:r>
        <w:rPr>
          <w:rFonts w:hint="eastAsia" w:asciiTheme="minorEastAsia" w:hAnsiTheme="minorEastAsia" w:eastAsiaTheme="minorEastAsia"/>
          <w:color w:val="000000" w:themeColor="text1"/>
          <w:sz w:val="24"/>
          <w:lang w:val="en-US" w:eastAsia="zh-CN"/>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0%年费率计提。管理费的计算方法如</w:t>
      </w:r>
      <w:r>
        <w:rPr>
          <w:rFonts w:hint="eastAsia" w:asciiTheme="minorEastAsia" w:hAnsiTheme="minorEastAsia" w:eastAsiaTheme="minorEastAsia"/>
          <w:color w:val="000000" w:themeColor="text1"/>
          <w:sz w:val="24"/>
          <w14:textFill>
            <w14:solidFill>
              <w14:schemeClr w14:val="tx1"/>
            </w14:solidFill>
          </w14:textFill>
        </w:rPr>
        <w:t>下：</w:t>
      </w:r>
    </w:p>
    <w:p>
      <w:pPr>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H＝E×0.</w:t>
      </w:r>
      <w:r>
        <w:rPr>
          <w:rFonts w:hint="eastAsia" w:asciiTheme="minorEastAsia" w:hAnsiTheme="minorEastAsia" w:eastAsiaTheme="minorEastAsia"/>
          <w:color w:val="000000" w:themeColor="text1"/>
          <w:sz w:val="24"/>
          <w:lang w:val="en-US" w:eastAsia="zh-CN"/>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0%÷当年天数</w:t>
      </w:r>
    </w:p>
    <w:p>
      <w:pPr>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H为每日应计提的基金管理费</w:t>
      </w:r>
    </w:p>
    <w:p>
      <w:pPr>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E为前一日的基金资产净值</w:t>
      </w:r>
    </w:p>
    <w:p>
      <w:pPr>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基金管理费每日计算，逐日累计至每月月末，按月支付，由基金管理人向基金托管人发送基金管理费划款指令，基金托管人复核后于次月前</w:t>
      </w:r>
      <w:r>
        <w:rPr>
          <w:rFonts w:asciiTheme="minorEastAsia" w:hAnsiTheme="minorEastAsia" w:eastAsiaTheme="minorEastAsia"/>
          <w:color w:val="000000" w:themeColor="text1"/>
          <w:sz w:val="24"/>
          <w14:textFill>
            <w14:solidFill>
              <w14:schemeClr w14:val="tx1"/>
            </w14:solidFill>
          </w14:textFill>
        </w:rPr>
        <w:t>5个工作日内从基金财产中一次性支付给基金管理人。若遇法定节假日、公休</w:t>
      </w:r>
      <w:r>
        <w:rPr>
          <w:rFonts w:hint="eastAsia" w:asciiTheme="minorEastAsia" w:hAnsiTheme="minorEastAsia" w:eastAsiaTheme="minorEastAsia"/>
          <w:color w:val="000000" w:themeColor="text1"/>
          <w:sz w:val="24"/>
          <w14:textFill>
            <w14:solidFill>
              <w14:schemeClr w14:val="tx1"/>
            </w14:solidFill>
          </w14:textFill>
        </w:rPr>
        <w:t>日或不可抗力致使无法按时支付的，顺延至最近可支付日支付。</w:t>
      </w:r>
    </w:p>
    <w:p>
      <w:pPr>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2、基金托管人的托管费</w:t>
      </w:r>
    </w:p>
    <w:p>
      <w:pPr>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本基金的托管费按前一日基金资产净值的</w:t>
      </w:r>
      <w:r>
        <w:rPr>
          <w:rFonts w:asciiTheme="minorEastAsia" w:hAnsiTheme="minorEastAsia" w:eastAsiaTheme="minorEastAsia"/>
          <w:color w:val="000000" w:themeColor="text1"/>
          <w:sz w:val="24"/>
          <w14:textFill>
            <w14:solidFill>
              <w14:schemeClr w14:val="tx1"/>
            </w14:solidFill>
          </w14:textFill>
        </w:rPr>
        <w:t>0.</w:t>
      </w:r>
      <w:r>
        <w:rPr>
          <w:rFonts w:hint="eastAsia" w:asciiTheme="minorEastAsia" w:hAnsiTheme="minorEastAsia" w:eastAsiaTheme="minorEastAsia"/>
          <w:color w:val="000000" w:themeColor="text1"/>
          <w:sz w:val="24"/>
          <w14:textFill>
            <w14:solidFill>
              <w14:schemeClr w14:val="tx1"/>
            </w14:solidFill>
          </w14:textFill>
        </w:rPr>
        <w:t>05</w:t>
      </w:r>
      <w:r>
        <w:rPr>
          <w:rFonts w:asciiTheme="minorEastAsia" w:hAnsiTheme="minorEastAsia" w:eastAsiaTheme="minorEastAsia"/>
          <w:color w:val="000000" w:themeColor="text1"/>
          <w:sz w:val="24"/>
          <w14:textFill>
            <w14:solidFill>
              <w14:schemeClr w14:val="tx1"/>
            </w14:solidFill>
          </w14:textFill>
        </w:rPr>
        <w:t>%的年费率计提。托管费的计算方法如下：</w:t>
      </w:r>
    </w:p>
    <w:p>
      <w:pPr>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H＝E×0.</w:t>
      </w:r>
      <w:r>
        <w:rPr>
          <w:rFonts w:hint="eastAsia" w:asciiTheme="minorEastAsia" w:hAnsiTheme="minorEastAsia" w:eastAsiaTheme="minorEastAsia"/>
          <w:color w:val="000000" w:themeColor="text1"/>
          <w:sz w:val="24"/>
          <w14:textFill>
            <w14:solidFill>
              <w14:schemeClr w14:val="tx1"/>
            </w14:solidFill>
          </w14:textFill>
        </w:rPr>
        <w:t>05</w:t>
      </w:r>
      <w:r>
        <w:rPr>
          <w:rFonts w:asciiTheme="minorEastAsia" w:hAnsiTheme="minorEastAsia" w:eastAsiaTheme="minorEastAsia"/>
          <w:color w:val="000000" w:themeColor="text1"/>
          <w:sz w:val="24"/>
          <w14:textFill>
            <w14:solidFill>
              <w14:schemeClr w14:val="tx1"/>
            </w14:solidFill>
          </w14:textFill>
        </w:rPr>
        <w:t>%÷当年天数</w:t>
      </w:r>
    </w:p>
    <w:p>
      <w:pPr>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H为每日应计提的基金托管费</w:t>
      </w:r>
    </w:p>
    <w:p>
      <w:pPr>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E为前一日的基金资产净值</w:t>
      </w:r>
    </w:p>
    <w:p>
      <w:pPr>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基金托管费每日计算，逐日累计至每月月末，按月支付，由基金管理人向基金托管人发送基金托管费划款指令，基金托管人复核后于次月前</w:t>
      </w:r>
      <w:r>
        <w:rPr>
          <w:rFonts w:asciiTheme="minorEastAsia" w:hAnsiTheme="minorEastAsia" w:eastAsiaTheme="minorEastAsia"/>
          <w:color w:val="000000" w:themeColor="text1"/>
          <w:sz w:val="24"/>
          <w14:textFill>
            <w14:solidFill>
              <w14:schemeClr w14:val="tx1"/>
            </w14:solidFill>
          </w14:textFill>
        </w:rPr>
        <w:t>5个工作日内从基金财产中一次性支取。若遇法定节假日、公休</w:t>
      </w:r>
      <w:r>
        <w:rPr>
          <w:rFonts w:hint="eastAsia" w:asciiTheme="minorEastAsia" w:hAnsiTheme="minorEastAsia" w:eastAsiaTheme="minorEastAsia"/>
          <w:color w:val="000000" w:themeColor="text1"/>
          <w:sz w:val="24"/>
          <w14:textFill>
            <w14:solidFill>
              <w14:schemeClr w14:val="tx1"/>
            </w14:solidFill>
          </w14:textFill>
        </w:rPr>
        <w:t>日或不可抗力致使无法按时支付的，顺延至最近可支付日支付。</w:t>
      </w:r>
    </w:p>
    <w:p>
      <w:pPr>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上述“（一）基金费用的种类”中第</w:t>
      </w:r>
      <w:r>
        <w:rPr>
          <w:rFonts w:asciiTheme="minorEastAsia" w:hAnsiTheme="minorEastAsia" w:eastAsiaTheme="minorEastAsia"/>
          <w:color w:val="000000" w:themeColor="text1"/>
          <w:sz w:val="24"/>
          <w14:textFill>
            <w14:solidFill>
              <w14:schemeClr w14:val="tx1"/>
            </w14:solidFill>
          </w14:textFill>
        </w:rPr>
        <w:t>3－9项费用</w:t>
      </w:r>
      <w:r>
        <w:rPr>
          <w:rFonts w:hint="eastAsia" w:asciiTheme="minorEastAsia" w:hAnsiTheme="minorEastAsia" w:eastAsiaTheme="minorEastAsia"/>
          <w:color w:val="000000" w:themeColor="text1"/>
          <w:sz w:val="24"/>
          <w14:textFill>
            <w14:solidFill>
              <w14:schemeClr w14:val="tx1"/>
            </w14:solidFill>
          </w14:textFill>
        </w:rPr>
        <w:t>，根据有关法规及相应协议规定，按费用实际支出金额列入或摊入当期费用，由基金托管人从基金财产中支付。</w:t>
      </w:r>
    </w:p>
    <w:p>
      <w:pPr>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（三）不列入基金费用的项目</w:t>
      </w:r>
    </w:p>
    <w:p>
      <w:pPr>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下列费用不列入基金费用：</w:t>
      </w:r>
    </w:p>
    <w:p>
      <w:pPr>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1、基金管理人和基金托管人因未履行或未完全履行义务导致的费用支出或基金财产的损失；</w:t>
      </w:r>
    </w:p>
    <w:p>
      <w:pPr>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2、基金管理人和基金托管人处理与基金运作无关的事项发生的费用；</w:t>
      </w:r>
    </w:p>
    <w:p>
      <w:pPr>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3、《基金合同》生效前的相关费用；</w:t>
      </w:r>
    </w:p>
    <w:p>
      <w:pPr>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4、其他根据相关法律法规及中国证监会的有关规定不得列入基金费用的项目。</w:t>
      </w:r>
    </w:p>
    <w:p>
      <w:pPr>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（四）实施侧袋机制期间的基金费用</w:t>
      </w:r>
    </w:p>
    <w:p>
      <w:pPr>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本基金实施侧袋机制的，与侧袋账户有关的费用可以从侧袋账户中列支，但应待侧袋账户资产变现后方可列支，有关费用可酌情收取或减免，但不得收取管理费，详见招募说明书的规定。</w:t>
      </w:r>
    </w:p>
    <w:p>
      <w:pPr>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（五）基金税收</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本基金运作过程中涉及的各纳税主体，其纳税义务按国家税收法律、法规执行。基金财产投资的相关税收，由基金份额持有人承担，基金管理人或者其他扣缴义务人按照国家有关税收征收的规定代扣代缴。</w:t>
      </w:r>
    </w:p>
    <w:bookmarkEnd w:id="60"/>
    <w:p>
      <w:pPr>
        <w:widowControl/>
        <w:jc w:val="left"/>
        <w:rPr>
          <w:rFonts w:ascii="宋体" w:hAnsi="宋体" w:cs="Arial"/>
          <w:b/>
          <w:color w:val="000000" w:themeColor="text1"/>
          <w:kern w:val="44"/>
          <w:sz w:val="30"/>
          <w:szCs w:val="30"/>
          <w:lang w:val="zh-CN"/>
          <w14:textFill>
            <w14:solidFill>
              <w14:schemeClr w14:val="tx1"/>
            </w14:solidFill>
          </w14:textFill>
        </w:rPr>
      </w:pPr>
      <w:bookmarkStart w:id="61" w:name="_Toc382819126"/>
      <w:r>
        <w:rPr>
          <w:rFonts w:ascii="宋体" w:hAnsi="宋体" w:cs="Arial"/>
          <w:color w:val="000000" w:themeColor="text1"/>
          <w:sz w:val="30"/>
          <w:szCs w:val="30"/>
          <w14:textFill>
            <w14:solidFill>
              <w14:schemeClr w14:val="tx1"/>
            </w14:solidFill>
          </w14:textFill>
        </w:rPr>
        <w:br w:type="page"/>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color w:val="000000" w:themeColor="text1"/>
          <w:sz w:val="30"/>
          <w:szCs w:val="30"/>
          <w14:textFill>
            <w14:solidFill>
              <w14:schemeClr w14:val="tx1"/>
            </w14:solidFill>
          </w14:textFill>
        </w:rPr>
      </w:pPr>
      <w:r>
        <w:rPr>
          <w:rFonts w:hint="eastAsia" w:ascii="宋体" w:hAnsi="宋体" w:eastAsia="宋体" w:cs="Arial"/>
          <w:color w:val="000000" w:themeColor="text1"/>
          <w:sz w:val="30"/>
          <w:szCs w:val="30"/>
          <w14:textFill>
            <w14:solidFill>
              <w14:schemeClr w14:val="tx1"/>
            </w14:solidFill>
          </w14:textFill>
        </w:rPr>
        <w:t>基金份额持有人名册的保管</w:t>
      </w:r>
      <w:bookmarkEnd w:id="61"/>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基金管理人妥善保管的基金份额持有人名册，基金份额持有人名册的内容必须包括基金份额持有人的名称和持有的基金份额。</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基金份额持有人名册由基金的</w:t>
      </w:r>
      <w:r>
        <w:rPr>
          <w:rFonts w:hint="eastAsia" w:ascii="宋体" w:hAnsi="宋体" w:cs="Arial"/>
          <w:color w:val="000000" w:themeColor="text1"/>
          <w:sz w:val="24"/>
          <w14:textFill>
            <w14:solidFill>
              <w14:schemeClr w14:val="tx1"/>
            </w14:solidFill>
          </w14:textFill>
        </w:rPr>
        <w:t>基金登记机构根据基金管理人的指令编制和保管</w:t>
      </w:r>
      <w:r>
        <w:rPr>
          <w:rFonts w:hint="eastAsia" w:ascii="宋体" w:hAnsi="宋体"/>
          <w:color w:val="000000" w:themeColor="text1"/>
          <w:sz w:val="24"/>
          <w14:textFill>
            <w14:solidFill>
              <w14:schemeClr w14:val="tx1"/>
            </w14:solidFill>
          </w14:textFill>
        </w:rPr>
        <w:t>，基金管理人应按照目前相关规则保管基金份额持有人名册。保管方式可以采用电子或文档的形式。保管期限不低于法律法规规定的最低期限。</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基金托管人需要时，基金管理人应将基金持有人名册送交基金托管人，文件方式可以采用电子或文档的形式并且保证其的真实、准确、完整。基金托管人应妥善保管，不得将持有人名册用于基金托管业务以外的其他用途。</w:t>
      </w:r>
    </w:p>
    <w:p>
      <w:pPr>
        <w:widowControl/>
        <w:jc w:val="left"/>
        <w:rPr>
          <w:rFonts w:ascii="宋体" w:hAnsi="宋体" w:cs="Arial"/>
          <w:b/>
          <w:color w:val="000000" w:themeColor="text1"/>
          <w:kern w:val="44"/>
          <w:sz w:val="30"/>
          <w:szCs w:val="30"/>
          <w:lang w:val="zh-CN"/>
          <w14:textFill>
            <w14:solidFill>
              <w14:schemeClr w14:val="tx1"/>
            </w14:solidFill>
          </w14:textFill>
        </w:rPr>
      </w:pPr>
      <w:bookmarkStart w:id="62" w:name="_Toc382819127"/>
      <w:r>
        <w:rPr>
          <w:rFonts w:ascii="宋体" w:hAnsi="宋体" w:cs="Arial"/>
          <w:color w:val="000000" w:themeColor="text1"/>
          <w:sz w:val="30"/>
          <w:szCs w:val="30"/>
          <w14:textFill>
            <w14:solidFill>
              <w14:schemeClr w14:val="tx1"/>
            </w14:solidFill>
          </w14:textFill>
        </w:rPr>
        <w:br w:type="page"/>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color w:val="000000" w:themeColor="text1"/>
          <w:sz w:val="30"/>
          <w:szCs w:val="30"/>
          <w14:textFill>
            <w14:solidFill>
              <w14:schemeClr w14:val="tx1"/>
            </w14:solidFill>
          </w14:textFill>
        </w:rPr>
      </w:pPr>
      <w:r>
        <w:rPr>
          <w:rFonts w:hint="eastAsia" w:ascii="宋体" w:hAnsi="宋体" w:eastAsia="宋体" w:cs="Arial"/>
          <w:color w:val="000000" w:themeColor="text1"/>
          <w:sz w:val="30"/>
          <w:szCs w:val="30"/>
          <w14:textFill>
            <w14:solidFill>
              <w14:schemeClr w14:val="tx1"/>
            </w14:solidFill>
          </w14:textFill>
        </w:rPr>
        <w:t>基金有关文件和档案的保存</w:t>
      </w:r>
      <w:bookmarkEnd w:id="62"/>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（一）档案保存</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保存期限</w:t>
      </w:r>
      <w:r>
        <w:rPr>
          <w:rFonts w:hint="eastAsia" w:ascii="宋体" w:hAnsi="宋体"/>
          <w:color w:val="000000" w:themeColor="text1"/>
          <w:sz w:val="24"/>
          <w14:textFill>
            <w14:solidFill>
              <w14:schemeClr w14:val="tx1"/>
            </w14:solidFill>
          </w14:textFill>
        </w:rPr>
        <w:t>不低于法律法规规定的最低期限</w:t>
      </w:r>
      <w:r>
        <w:rPr>
          <w:rFonts w:hint="eastAsia" w:ascii="宋体" w:hAnsi="宋体" w:cs="Arial"/>
          <w:color w:val="000000" w:themeColor="text1"/>
          <w:sz w:val="24"/>
          <w14:textFill>
            <w14:solidFill>
              <w14:schemeClr w14:val="tx1"/>
            </w14:solidFill>
          </w14:textFill>
        </w:rPr>
        <w:t>。</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（二）合同档案的建立</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1、基金管理人或基金托管人在签署与本基金有关的合同文本后，应及时按相关法律法规及本协议的规定将合同正本或副本提交对方。</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2、基金管理人和基金托管人应按各自职责保管就基金资产对外签署的全部合同的正本。</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（三）变更与协助</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若基金管理人和基金托管人发生变更，未变更的一方有义务协助变更后的接任人接收相应文件。</w:t>
      </w:r>
    </w:p>
    <w:p>
      <w:pPr>
        <w:widowControl/>
        <w:jc w:val="left"/>
        <w:rPr>
          <w:rFonts w:ascii="宋体" w:hAnsi="宋体" w:cs="Arial"/>
          <w:b/>
          <w:color w:val="000000" w:themeColor="text1"/>
          <w:kern w:val="44"/>
          <w:sz w:val="30"/>
          <w:szCs w:val="30"/>
          <w:lang w:val="zh-CN"/>
          <w14:textFill>
            <w14:solidFill>
              <w14:schemeClr w14:val="tx1"/>
            </w14:solidFill>
          </w14:textFill>
        </w:rPr>
      </w:pPr>
      <w:bookmarkStart w:id="63" w:name="_Toc382819128"/>
      <w:r>
        <w:rPr>
          <w:rFonts w:ascii="宋体" w:hAnsi="宋体" w:cs="Arial"/>
          <w:color w:val="000000" w:themeColor="text1"/>
          <w:sz w:val="30"/>
          <w:szCs w:val="30"/>
          <w14:textFill>
            <w14:solidFill>
              <w14:schemeClr w14:val="tx1"/>
            </w14:solidFill>
          </w14:textFill>
        </w:rPr>
        <w:br w:type="page"/>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color w:val="000000" w:themeColor="text1"/>
          <w:sz w:val="30"/>
          <w:szCs w:val="30"/>
          <w14:textFill>
            <w14:solidFill>
              <w14:schemeClr w14:val="tx1"/>
            </w14:solidFill>
          </w14:textFill>
        </w:rPr>
      </w:pPr>
      <w:r>
        <w:rPr>
          <w:rFonts w:hint="eastAsia" w:ascii="宋体" w:hAnsi="宋体" w:eastAsia="宋体" w:cs="Arial"/>
          <w:color w:val="000000" w:themeColor="text1"/>
          <w:sz w:val="30"/>
          <w:szCs w:val="30"/>
          <w14:textFill>
            <w14:solidFill>
              <w14:schemeClr w14:val="tx1"/>
            </w14:solidFill>
          </w14:textFill>
        </w:rPr>
        <w:t>基金管理人和基金托管人的更换</w:t>
      </w:r>
      <w:bookmarkEnd w:id="63"/>
    </w:p>
    <w:p>
      <w:pPr>
        <w:pStyle w:val="3"/>
        <w:keepNext w:val="0"/>
        <w:keepLines w:val="0"/>
        <w:autoSpaceDE w:val="0"/>
        <w:autoSpaceDN w:val="0"/>
        <w:adjustRightInd w:val="0"/>
        <w:spacing w:before="0" w:after="0" w:line="360" w:lineRule="auto"/>
        <w:ind w:firstLine="352" w:firstLineChars="147"/>
        <w:textAlignment w:val="baseline"/>
        <w:rPr>
          <w:rFonts w:ascii="宋体" w:hAnsi="宋体" w:eastAsia="宋体" w:cs="Arial"/>
          <w:b w:val="0"/>
          <w:bCs w:val="0"/>
          <w:color w:val="000000" w:themeColor="text1"/>
          <w:kern w:val="0"/>
          <w:sz w:val="24"/>
          <w:szCs w:val="24"/>
          <w14:textFill>
            <w14:solidFill>
              <w14:schemeClr w14:val="tx1"/>
            </w14:solidFill>
          </w14:textFill>
        </w:rPr>
      </w:pPr>
      <w:bookmarkStart w:id="64" w:name="_Toc382819129"/>
      <w:bookmarkStart w:id="65" w:name="_Hlk113893494"/>
      <w:r>
        <w:rPr>
          <w:rFonts w:hint="eastAsia" w:ascii="宋体" w:hAnsi="宋体" w:eastAsia="宋体" w:cs="Arial"/>
          <w:b w:val="0"/>
          <w:bCs w:val="0"/>
          <w:color w:val="000000" w:themeColor="text1"/>
          <w:kern w:val="0"/>
          <w:sz w:val="24"/>
          <w:szCs w:val="24"/>
          <w14:textFill>
            <w14:solidFill>
              <w14:schemeClr w14:val="tx1"/>
            </w14:solidFill>
          </w14:textFill>
        </w:rPr>
        <w:t>（一）基金管理人的更换</w:t>
      </w:r>
      <w:bookmarkEnd w:id="64"/>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1、基金管理人的更换条件</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有下列情形之一的，基金管理人职责终止：</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（1）被依法取消基金管理资格；</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（2）被基金份额持有人大会解任；</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（3）依法解散、被依法撤销或被依法宣告破产；</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（4）法律法规及中国证监会规定的和《基金合同》约定的其</w:t>
      </w:r>
      <w:r>
        <w:rPr>
          <w:rFonts w:ascii="宋体" w:hAnsi="宋体"/>
          <w:color w:val="000000" w:themeColor="text1"/>
          <w:sz w:val="24"/>
          <w14:textFill>
            <w14:solidFill>
              <w14:schemeClr w14:val="tx1"/>
            </w14:solidFill>
          </w14:textFill>
        </w:rPr>
        <w:t>他</w:t>
      </w:r>
      <w:r>
        <w:rPr>
          <w:rFonts w:hint="eastAsia" w:ascii="宋体" w:hAnsi="宋体"/>
          <w:color w:val="000000" w:themeColor="text1"/>
          <w:sz w:val="24"/>
          <w14:textFill>
            <w14:solidFill>
              <w14:schemeClr w14:val="tx1"/>
            </w14:solidFill>
          </w14:textFill>
        </w:rPr>
        <w:t>情形。</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2、更换基金管理人的程序</w:t>
      </w:r>
    </w:p>
    <w:p>
      <w:pPr>
        <w:pStyle w:val="41"/>
        <w:tabs>
          <w:tab w:val="left" w:pos="993"/>
        </w:tabs>
        <w:adjustRightInd w:val="0"/>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（1）提名：新任基金管理人由基金托管人或由单独或合计持有10%以上（含10%）基金份额的基金份额持有人提名；</w:t>
      </w:r>
    </w:p>
    <w:p>
      <w:pPr>
        <w:pStyle w:val="41"/>
        <w:tabs>
          <w:tab w:val="left" w:pos="993"/>
        </w:tabs>
        <w:adjustRightInd w:val="0"/>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pPr>
        <w:pStyle w:val="41"/>
        <w:tabs>
          <w:tab w:val="left" w:pos="993"/>
        </w:tabs>
        <w:adjustRightInd w:val="0"/>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（3）临时基金管理人：新任基金管理人产生之前，由中国证监会指定临时基金管理人；</w:t>
      </w:r>
    </w:p>
    <w:p>
      <w:pPr>
        <w:pStyle w:val="41"/>
        <w:tabs>
          <w:tab w:val="left" w:pos="993"/>
        </w:tabs>
        <w:adjustRightInd w:val="0"/>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（4）备案：基金份额持有人大会更换基金管理人的决议须报中国证监会备案；</w:t>
      </w:r>
    </w:p>
    <w:p>
      <w:pPr>
        <w:pStyle w:val="41"/>
        <w:tabs>
          <w:tab w:val="left" w:pos="993"/>
        </w:tabs>
        <w:adjustRightInd w:val="0"/>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（5）公告：基金管理人更换后，由基金托管人在更换基金管理人的基金份额持有人大会决议生效后2日内在规定媒介公告；</w:t>
      </w:r>
    </w:p>
    <w:p>
      <w:pPr>
        <w:pStyle w:val="41"/>
        <w:tabs>
          <w:tab w:val="left" w:pos="993"/>
        </w:tabs>
        <w:adjustRightInd w:val="0"/>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w:t>
      </w:r>
    </w:p>
    <w:p>
      <w:pPr>
        <w:pStyle w:val="41"/>
        <w:tabs>
          <w:tab w:val="left" w:pos="993"/>
        </w:tabs>
        <w:adjustRightInd w:val="0"/>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（7）审计：基金管理人职责终止的，应当按照法律法规规定聘请会计师事务所对基金财产进行审计，并将审计结果予以公告，同时报中国证监会备案，审计费用从基金财产中列支；</w:t>
      </w:r>
    </w:p>
    <w:p>
      <w:pPr>
        <w:pStyle w:val="41"/>
        <w:tabs>
          <w:tab w:val="left" w:pos="993"/>
        </w:tabs>
        <w:adjustRightInd w:val="0"/>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（8）基金名称变更：基金管理人更换后，如果原任或新任基金管理人要求，应按其要求替换或删除基金名称中与原基金管理人有关的名称字样。</w:t>
      </w:r>
    </w:p>
    <w:p>
      <w:pPr>
        <w:pStyle w:val="3"/>
        <w:keepNext w:val="0"/>
        <w:keepLines w:val="0"/>
        <w:autoSpaceDE w:val="0"/>
        <w:autoSpaceDN w:val="0"/>
        <w:adjustRightInd w:val="0"/>
        <w:spacing w:before="0" w:after="0" w:line="360" w:lineRule="auto"/>
        <w:ind w:firstLine="352" w:firstLineChars="147"/>
        <w:textAlignment w:val="baseline"/>
        <w:rPr>
          <w:rFonts w:ascii="宋体" w:hAnsi="宋体" w:eastAsia="宋体" w:cs="Arial"/>
          <w:b w:val="0"/>
          <w:bCs w:val="0"/>
          <w:color w:val="000000" w:themeColor="text1"/>
          <w:kern w:val="0"/>
          <w:sz w:val="24"/>
          <w:szCs w:val="24"/>
          <w14:textFill>
            <w14:solidFill>
              <w14:schemeClr w14:val="tx1"/>
            </w14:solidFill>
          </w14:textFill>
        </w:rPr>
      </w:pPr>
      <w:bookmarkStart w:id="66" w:name="_Toc382819130"/>
      <w:r>
        <w:rPr>
          <w:rFonts w:hint="eastAsia" w:ascii="宋体" w:hAnsi="宋体" w:eastAsia="宋体" w:cs="Arial"/>
          <w:b w:val="0"/>
          <w:bCs w:val="0"/>
          <w:color w:val="000000" w:themeColor="text1"/>
          <w:kern w:val="0"/>
          <w:sz w:val="24"/>
          <w:szCs w:val="24"/>
          <w14:textFill>
            <w14:solidFill>
              <w14:schemeClr w14:val="tx1"/>
            </w14:solidFill>
          </w14:textFill>
        </w:rPr>
        <w:t>（二）基金托管人的更换</w:t>
      </w:r>
      <w:bookmarkEnd w:id="66"/>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1、基金托管人的更换条件</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有下列情形之一的，基金托管人职责终止：</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（1）被依法取消基金托管资格；</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（2）被基金份额持有人大会解任；</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（3）依法解散、被依法撤销或被依法宣告破产；</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（4）法律法规及中国证监会规定的和《基金合同》约定的其</w:t>
      </w:r>
      <w:r>
        <w:rPr>
          <w:rFonts w:ascii="宋体" w:hAnsi="宋体"/>
          <w:color w:val="000000" w:themeColor="text1"/>
          <w:sz w:val="24"/>
          <w14:textFill>
            <w14:solidFill>
              <w14:schemeClr w14:val="tx1"/>
            </w14:solidFill>
          </w14:textFill>
        </w:rPr>
        <w:t>他</w:t>
      </w:r>
      <w:r>
        <w:rPr>
          <w:rFonts w:hint="eastAsia" w:ascii="宋体" w:hAnsi="宋体"/>
          <w:color w:val="000000" w:themeColor="text1"/>
          <w:sz w:val="24"/>
          <w14:textFill>
            <w14:solidFill>
              <w14:schemeClr w14:val="tx1"/>
            </w14:solidFill>
          </w14:textFill>
        </w:rPr>
        <w:t>情形。</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2、更换基金托管人的程序</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（1）提名：新任基金托管人由基金管理人或由单独或合计持有10%以上（含10%）基金份额的基金份额持有人提名；</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（3）临时基金托管人：新任基金托管人产生之前，由中国证监会指定临时基金托管人；</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（4）备案：基金份额持有人大会更换基金托管人的决议须报中国证监会备案；</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（5）公告：基金托管人更换后，由基金管理人在更换基金托管人的基金份额持有人大会决议生效后2日内在规定媒介公告；</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交接：基金托管人职责终止的，应当妥善保管基金财产和基金托管业务资料，及时办理基金财产和基金托管业务的移交手续，新任基金托管人或者临时基金托管人应当及时接收。新任基金托管人或者临时基金托管人应与基金管理人核对基金资产总值和净值；</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（7）审计：基金托管人职责终止的，应当按照法律法规规定聘请会计师事务所对基金财产进行审计，并将审计结果予以公告，同时报中国证监会备案，审计费用从基金财产中列支。</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（三）基金管理人和基金托管人的同时更换程序</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1、提名：如果基金管理人和基金托管人同时更换，由单独或合计持有基金总份额10%以上（含10%）的基金份额持有人提名新的基金管理人和基金托管人；</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2、基金管理人和基金托管人的更换分别按上述程序进行；</w:t>
      </w:r>
    </w:p>
    <w:p>
      <w:pPr>
        <w:spacing w:line="360" w:lineRule="auto"/>
        <w:ind w:firstLine="540" w:firstLineChars="225"/>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3、公告：新任基金管理人和新任基金托管人应在更换基金管理人和基金托管人的基金份额持有人大会决议生效后2日内在规定媒介上联合公告。</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（四）新任基金管理人或临时基金管理人接</w:t>
      </w:r>
      <w:r>
        <w:rPr>
          <w:rFonts w:ascii="宋体" w:hAnsi="宋体"/>
          <w:color w:val="000000" w:themeColor="text1"/>
          <w:sz w:val="24"/>
          <w14:textFill>
            <w14:solidFill>
              <w14:schemeClr w14:val="tx1"/>
            </w14:solidFill>
          </w14:textFill>
        </w:rPr>
        <w:t>收</w:t>
      </w:r>
      <w:r>
        <w:rPr>
          <w:rFonts w:hint="eastAsia" w:ascii="宋体" w:hAnsi="宋体"/>
          <w:color w:val="000000" w:themeColor="text1"/>
          <w:sz w:val="24"/>
          <w14:textFill>
            <w14:solidFill>
              <w14:schemeClr w14:val="tx1"/>
            </w14:solidFill>
          </w14:textFill>
        </w:rPr>
        <w:t>基金管理业务，或新任基金托管人或临时基金托管人接</w:t>
      </w:r>
      <w:r>
        <w:rPr>
          <w:rFonts w:ascii="宋体" w:hAnsi="宋体"/>
          <w:color w:val="000000" w:themeColor="text1"/>
          <w:sz w:val="24"/>
          <w14:textFill>
            <w14:solidFill>
              <w14:schemeClr w14:val="tx1"/>
            </w14:solidFill>
          </w14:textFill>
        </w:rPr>
        <w:t>收</w:t>
      </w:r>
      <w:r>
        <w:rPr>
          <w:rFonts w:hint="eastAsia" w:ascii="宋体" w:hAnsi="宋体"/>
          <w:color w:val="000000" w:themeColor="text1"/>
          <w:sz w:val="24"/>
          <w14:textFill>
            <w14:solidFill>
              <w14:schemeClr w14:val="tx1"/>
            </w14:solidFill>
          </w14:textFill>
        </w:rPr>
        <w:t>基金财产和基金托管业务前，原基金管理人或原基金托管人应继续履行相关职责，并保证不做出对基金份额持有人的利益造成损害的行为。原基金管理人或基金托管人在继续履行相关职责期间，仍有权按照基金合同的规定收取基金管理费或基金托管费。</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本部分关于基金管理人、基金托管人更换条件和程序的约定，凡是直接引用法律法规的部分，如将来法律法规修改导致相关内容被取消或变更的，基金管理人与基金托管人协商一致并提前公告后，可直接对相应内容进行修改和调整，无需召开基金份额持有人大会审议。</w:t>
      </w:r>
    </w:p>
    <w:bookmarkEnd w:id="65"/>
    <w:p>
      <w:pPr>
        <w:widowControl/>
        <w:jc w:val="left"/>
        <w:rPr>
          <w:rFonts w:ascii="宋体" w:hAnsi="宋体" w:cs="Arial"/>
          <w:b/>
          <w:color w:val="000000" w:themeColor="text1"/>
          <w:kern w:val="44"/>
          <w:sz w:val="30"/>
          <w:szCs w:val="30"/>
          <w:lang w:val="zh-CN"/>
          <w14:textFill>
            <w14:solidFill>
              <w14:schemeClr w14:val="tx1"/>
            </w14:solidFill>
          </w14:textFill>
        </w:rPr>
      </w:pPr>
      <w:bookmarkStart w:id="67" w:name="_Toc382819131"/>
      <w:r>
        <w:rPr>
          <w:rFonts w:ascii="宋体" w:hAnsi="宋体" w:cs="Arial"/>
          <w:color w:val="000000" w:themeColor="text1"/>
          <w:sz w:val="30"/>
          <w:szCs w:val="30"/>
          <w14:textFill>
            <w14:solidFill>
              <w14:schemeClr w14:val="tx1"/>
            </w14:solidFill>
          </w14:textFill>
        </w:rPr>
        <w:br w:type="page"/>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color w:val="000000" w:themeColor="text1"/>
          <w:sz w:val="30"/>
          <w:szCs w:val="30"/>
          <w14:textFill>
            <w14:solidFill>
              <w14:schemeClr w14:val="tx1"/>
            </w14:solidFill>
          </w14:textFill>
        </w:rPr>
      </w:pPr>
      <w:r>
        <w:rPr>
          <w:rFonts w:hint="eastAsia" w:ascii="宋体" w:hAnsi="宋体" w:eastAsia="宋体" w:cs="Arial"/>
          <w:color w:val="000000" w:themeColor="text1"/>
          <w:sz w:val="30"/>
          <w:szCs w:val="30"/>
          <w14:textFill>
            <w14:solidFill>
              <w14:schemeClr w14:val="tx1"/>
            </w14:solidFill>
          </w14:textFill>
        </w:rPr>
        <w:t>禁止行为</w:t>
      </w:r>
      <w:bookmarkEnd w:id="67"/>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托管协议当事人禁止从事的行为，包括但不限于：</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（一）基金管理人、基金托管人将其固有财产或者他人财产混同于基金财产从事证券投资。</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（二）基金管理人、基金托管人不公平地对待其管理或托管的不同基金财产。</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（三）基金管理人、基金托管人利用基金财产为基金份额持有人以外的第三人牟取利益。</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（四）基金管理人、基金托管人向基金份额持有人违规承诺收益或者承担损失。</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（五）基金管理人、基金托管人对他人泄漏基金经营过程中任何尚未按法律法规规定的方式公开披露的信息。</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（六）基金管理人在没有充足资金的情况下向基金托管人发出投资指令和赎回、分红资金的划拨指令，或违规向基金托管人发出指令。</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（七）基金托管人对基金管理人的符合本协议约定的有效指令拖延或拒绝执行。</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（八）基金管理人、基金托管人在行政上、财务上不独立，其高级管理人员相互兼职。 </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（九）基金托管人私自动用或处分基金资产，根据基金管理人的合法指令、基金合同或托管协议的规定进行处分的除外。 </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（十）基金管理人、基金托管人不得利用基金财产用于下列投资或者活动：</w:t>
      </w:r>
      <w:bookmarkStart w:id="68" w:name="_Hlk113893688"/>
      <w:r>
        <w:rPr>
          <w:rFonts w:hint="eastAsia" w:ascii="宋体" w:hAnsi="宋体"/>
          <w:color w:val="000000" w:themeColor="text1"/>
          <w:sz w:val="24"/>
          <w14:textFill>
            <w14:solidFill>
              <w14:schemeClr w14:val="tx1"/>
            </w14:solidFill>
          </w14:textFill>
        </w:rPr>
        <w:t>（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w:t>
      </w: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）法律、行政法规和中国证监会规定禁止的其他活动。</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bookmarkEnd w:id="68"/>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（十一）法律法规和基金合同禁止的其他行为，以及依照法律法规有关规定，由中国证监会规定禁止基金管理人、基金托管人从事的其他行为。</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（十二）法律、行政法规或监管部门取消或变更上述禁止性或限制性规定，如适用于本基金，则基金管理人在履行适当程序后，本基金可不受上述规定的限制或以变更后的规定为准。</w:t>
      </w:r>
      <w:bookmarkStart w:id="69" w:name="_Toc382819132"/>
    </w:p>
    <w:p>
      <w:pPr>
        <w:widowControl/>
        <w:jc w:val="left"/>
        <w:rPr>
          <w:rFonts w:ascii="宋体" w:hAnsi="宋体" w:cs="Arial"/>
          <w:b/>
          <w:color w:val="000000" w:themeColor="text1"/>
          <w:kern w:val="44"/>
          <w:sz w:val="30"/>
          <w:szCs w:val="30"/>
          <w:lang w:val="zh-CN"/>
          <w14:textFill>
            <w14:solidFill>
              <w14:schemeClr w14:val="tx1"/>
            </w14:solidFill>
          </w14:textFill>
        </w:rPr>
      </w:pPr>
      <w:r>
        <w:rPr>
          <w:rFonts w:ascii="宋体" w:hAnsi="宋体" w:cs="Arial"/>
          <w:color w:val="000000" w:themeColor="text1"/>
          <w:sz w:val="30"/>
          <w:szCs w:val="30"/>
          <w14:textFill>
            <w14:solidFill>
              <w14:schemeClr w14:val="tx1"/>
            </w14:solidFill>
          </w14:textFill>
        </w:rPr>
        <w:br w:type="page"/>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color w:val="000000" w:themeColor="text1"/>
          <w:sz w:val="30"/>
          <w:szCs w:val="30"/>
          <w14:textFill>
            <w14:solidFill>
              <w14:schemeClr w14:val="tx1"/>
            </w14:solidFill>
          </w14:textFill>
        </w:rPr>
      </w:pPr>
      <w:r>
        <w:rPr>
          <w:rFonts w:hint="eastAsia" w:ascii="宋体" w:hAnsi="宋体" w:eastAsia="宋体" w:cs="Arial"/>
          <w:color w:val="000000" w:themeColor="text1"/>
          <w:sz w:val="30"/>
          <w:szCs w:val="30"/>
          <w14:textFill>
            <w14:solidFill>
              <w14:schemeClr w14:val="tx1"/>
            </w14:solidFill>
          </w14:textFill>
        </w:rPr>
        <w:t>基金托管协议的变更、终止与基金财产的清算</w:t>
      </w:r>
      <w:bookmarkEnd w:id="69"/>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（一）托管协议的变更与终止</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1、托管协议的变更程序</w:t>
      </w:r>
    </w:p>
    <w:p>
      <w:pPr>
        <w:autoSpaceDE w:val="0"/>
        <w:autoSpaceDN w:val="0"/>
        <w:adjustRightInd w:val="0"/>
        <w:spacing w:line="360" w:lineRule="auto"/>
        <w:ind w:firstLine="504" w:firstLineChars="200"/>
        <w:jc w:val="left"/>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本协议双方当事人经协商一致，可以对协议的内容进行变更。变更后的托管协议，其内容不得与《基金合同》的规定有任何冲突，并需</w:t>
      </w:r>
      <w:r>
        <w:rPr>
          <w:rFonts w:hint="eastAsia" w:ascii="宋体" w:hAnsi="宋体"/>
          <w:color w:val="000000" w:themeColor="text1"/>
          <w:sz w:val="24"/>
          <w14:textFill>
            <w14:solidFill>
              <w14:schemeClr w14:val="tx1"/>
            </w14:solidFill>
          </w14:textFill>
        </w:rPr>
        <w:t>经基金管理人、基金托管人加盖公章或合同专用章以及双方法定代表人或授权代理人签字（或盖章）确认</w:t>
      </w:r>
      <w:r>
        <w:rPr>
          <w:rFonts w:hint="eastAsia" w:ascii="宋体" w:hAnsi="宋体"/>
          <w:color w:val="000000" w:themeColor="text1"/>
          <w:spacing w:val="6"/>
          <w:sz w:val="24"/>
          <w14:textFill>
            <w14:solidFill>
              <w14:schemeClr w14:val="tx1"/>
            </w14:solidFill>
          </w14:textFill>
        </w:rPr>
        <w:t>。基金托管协议的变更报中国证监会备案。</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2、基金托管协议终止的情形</w:t>
      </w:r>
    </w:p>
    <w:p>
      <w:pPr>
        <w:autoSpaceDE w:val="0"/>
        <w:autoSpaceDN w:val="0"/>
        <w:adjustRightInd w:val="0"/>
        <w:spacing w:line="360" w:lineRule="auto"/>
        <w:ind w:firstLine="504" w:firstLineChars="200"/>
        <w:jc w:val="left"/>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发生以下情况，本托管协议终止：</w:t>
      </w:r>
    </w:p>
    <w:p>
      <w:pPr>
        <w:autoSpaceDE w:val="0"/>
        <w:autoSpaceDN w:val="0"/>
        <w:adjustRightInd w:val="0"/>
        <w:spacing w:line="360" w:lineRule="auto"/>
        <w:ind w:firstLine="504" w:firstLineChars="200"/>
        <w:jc w:val="left"/>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（1）《基金合同》终止；</w:t>
      </w:r>
    </w:p>
    <w:p>
      <w:pPr>
        <w:autoSpaceDE w:val="0"/>
        <w:autoSpaceDN w:val="0"/>
        <w:adjustRightInd w:val="0"/>
        <w:spacing w:line="360" w:lineRule="auto"/>
        <w:ind w:firstLine="504" w:firstLineChars="200"/>
        <w:jc w:val="left"/>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（2）基金托管人解散、依法被撤销、破产或由其他基金托管人接管基金托管业务；</w:t>
      </w:r>
    </w:p>
    <w:p>
      <w:pPr>
        <w:autoSpaceDE w:val="0"/>
        <w:autoSpaceDN w:val="0"/>
        <w:adjustRightInd w:val="0"/>
        <w:spacing w:line="360" w:lineRule="auto"/>
        <w:ind w:firstLine="504" w:firstLineChars="200"/>
        <w:jc w:val="left"/>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（3）基金管理人解散、依法被撤销、破产或</w:t>
      </w:r>
      <w:r>
        <w:rPr>
          <w:rFonts w:ascii="宋体" w:hAnsi="宋体"/>
          <w:color w:val="000000" w:themeColor="text1"/>
          <w:spacing w:val="6"/>
          <w:sz w:val="24"/>
          <w14:textFill>
            <w14:solidFill>
              <w14:schemeClr w14:val="tx1"/>
            </w14:solidFill>
          </w14:textFill>
        </w:rPr>
        <w:t>由</w:t>
      </w:r>
      <w:r>
        <w:rPr>
          <w:rFonts w:hint="eastAsia" w:ascii="宋体" w:hAnsi="宋体"/>
          <w:color w:val="000000" w:themeColor="text1"/>
          <w:spacing w:val="6"/>
          <w:sz w:val="24"/>
          <w14:textFill>
            <w14:solidFill>
              <w14:schemeClr w14:val="tx1"/>
            </w14:solidFill>
          </w14:textFill>
        </w:rPr>
        <w:t>其他基金管理人接管基金管理业务；</w:t>
      </w:r>
    </w:p>
    <w:p>
      <w:pPr>
        <w:autoSpaceDE w:val="0"/>
        <w:autoSpaceDN w:val="0"/>
        <w:adjustRightInd w:val="0"/>
        <w:spacing w:line="360" w:lineRule="auto"/>
        <w:ind w:firstLine="504" w:firstLineChars="200"/>
        <w:jc w:val="left"/>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（4）发生法律法规或《基金合同》规定的终止事项。</w:t>
      </w:r>
    </w:p>
    <w:p>
      <w:pPr>
        <w:spacing w:line="360" w:lineRule="auto"/>
        <w:ind w:firstLine="480" w:firstLineChars="200"/>
        <w:rPr>
          <w:rFonts w:ascii="宋体" w:hAnsi="宋体"/>
          <w:color w:val="000000" w:themeColor="text1"/>
          <w:sz w:val="24"/>
          <w14:textFill>
            <w14:solidFill>
              <w14:schemeClr w14:val="tx1"/>
            </w14:solidFill>
          </w14:textFill>
        </w:rPr>
      </w:pPr>
      <w:bookmarkStart w:id="70" w:name="_Hlk113893813"/>
      <w:r>
        <w:rPr>
          <w:rFonts w:hint="eastAsia" w:ascii="宋体" w:hAnsi="宋体"/>
          <w:color w:val="000000" w:themeColor="text1"/>
          <w:sz w:val="24"/>
          <w14:textFill>
            <w14:solidFill>
              <w14:schemeClr w14:val="tx1"/>
            </w14:solidFill>
          </w14:textFill>
        </w:rPr>
        <w:t>（二）基金财产的清算</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1、基金财产清算小组：自出现《基金合同》终止事由之日起30个工作日内成立清算小组，基金管理人组织基金财产清算小组并在中国证监会的监督下进行基金清算。</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2、基金财产清算小组组成：基金财产清算小组成员由基金管理人、基金托管人、具有从事证券相关业务资格的注册会计师、律师以及中国证监会指定的人员组成。基金财产清算小组可以聘用必要的工作人员。</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3、基金财产清算小组职责：基金财产清算小组负责基金财产的保管、清理、估价、变现和分配。基金财产清算小组可以依法进行必要的民事活动。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4、基金财产清算程序：</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（1）《基金合同》终止情形出现时，由基金财产清算小组统一接管基金；</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（2）对基金财产和债权债务进行清理和确认；</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（3）对基金财产进行估值和变现；</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（4）制作清算报告；</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（5）聘请会计师事务所对清算报告进行外部审计，聘请律师事务所对清算报告出具法律意见书；</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（6）将清算报告报中国证监会备案并公告；</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（7）对基金剩余财产进行分配。</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5、基金财产清算的期限为6个月，但因本基金所持证券的流动性受到限制而不能及时变现的，清算期限相应顺延。</w:t>
      </w:r>
    </w:p>
    <w:p>
      <w:pPr>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（三）清算费用</w:t>
      </w:r>
    </w:p>
    <w:p>
      <w:pPr>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清算费用是指基金财产清算小组在进行基金清算过程中发生的所有合理费用，清算费用由基金财产清算小组优先从基金财产中支付。</w:t>
      </w:r>
    </w:p>
    <w:p>
      <w:pPr>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（四）基金财产清算剩余资产的分配</w:t>
      </w:r>
    </w:p>
    <w:p>
      <w:pPr>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依据基金财产清算的分配方案，将基金财产清算后的全部剩余资产扣除基金财产清算费用、交纳所欠税款并清偿基金债务后，按基金份额持有人持有的基金份额比例进行分配。</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（五）基金财产清算的公告</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（六）基金财产清算账册及文件的保存</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基金财产清算账册及有关文件由基金托管人保存不低于法律法规规定的最低期限。</w:t>
      </w:r>
    </w:p>
    <w:bookmarkEnd w:id="70"/>
    <w:p>
      <w:pPr>
        <w:widowControl/>
        <w:jc w:val="left"/>
        <w:rPr>
          <w:rFonts w:ascii="宋体" w:hAnsi="宋体" w:cs="Arial"/>
          <w:b/>
          <w:color w:val="000000" w:themeColor="text1"/>
          <w:kern w:val="44"/>
          <w:sz w:val="30"/>
          <w:szCs w:val="30"/>
          <w:lang w:val="zh-CN"/>
          <w14:textFill>
            <w14:solidFill>
              <w14:schemeClr w14:val="tx1"/>
            </w14:solidFill>
          </w14:textFill>
        </w:rPr>
      </w:pPr>
      <w:bookmarkStart w:id="71" w:name="_Toc382819133"/>
      <w:r>
        <w:rPr>
          <w:rFonts w:ascii="宋体" w:hAnsi="宋体" w:cs="Arial"/>
          <w:color w:val="000000" w:themeColor="text1"/>
          <w:sz w:val="30"/>
          <w:szCs w:val="30"/>
          <w14:textFill>
            <w14:solidFill>
              <w14:schemeClr w14:val="tx1"/>
            </w14:solidFill>
          </w14:textFill>
        </w:rPr>
        <w:br w:type="page"/>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color w:val="000000" w:themeColor="text1"/>
          <w:sz w:val="30"/>
          <w:szCs w:val="30"/>
          <w14:textFill>
            <w14:solidFill>
              <w14:schemeClr w14:val="tx1"/>
            </w14:solidFill>
          </w14:textFill>
        </w:rPr>
      </w:pPr>
      <w:r>
        <w:rPr>
          <w:rFonts w:hint="eastAsia" w:ascii="宋体" w:hAnsi="宋体" w:eastAsia="宋体" w:cs="Arial"/>
          <w:color w:val="000000" w:themeColor="text1"/>
          <w:sz w:val="30"/>
          <w:szCs w:val="30"/>
          <w14:textFill>
            <w14:solidFill>
              <w14:schemeClr w14:val="tx1"/>
            </w14:solidFill>
          </w14:textFill>
        </w:rPr>
        <w:t>违约责任</w:t>
      </w:r>
      <w:bookmarkEnd w:id="71"/>
    </w:p>
    <w:p>
      <w:pPr>
        <w:spacing w:line="360" w:lineRule="auto"/>
        <w:ind w:firstLine="480" w:firstLineChars="200"/>
        <w:rPr>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如果由于基金管理人或基金托管人的过错，不履行本协议或者违反本协议约定的，有过错的一方应当承担违约责任，给另一方当事人造成损失的，应就直接损失进行赔偿。如果由于双方的过错，不履行本协议或者违反本协议约定的，应根据实际情况，由双方分别承担各自应负的违约责任</w:t>
      </w:r>
      <w:r>
        <w:rPr>
          <w:rFonts w:hint="eastAsia"/>
          <w:bCs/>
          <w:color w:val="000000" w:themeColor="text1"/>
          <w:sz w:val="24"/>
          <w14:textFill>
            <w14:solidFill>
              <w14:schemeClr w14:val="tx1"/>
            </w14:solidFill>
          </w14:textFill>
        </w:rPr>
        <w:t>，给基金财产或者基金份额持有人造成损害的，应当分别对各自的行为依法承担赔偿责任；因共同行为给基金财产或者基金份额持有人造成损害的，应当承担连带赔偿责任，对损失的赔偿，仅限于直接损失。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ascii="宋体" w:hAnsi="宋体"/>
          <w:color w:val="000000" w:themeColor="text1"/>
          <w:sz w:val="24"/>
          <w14:textFill>
            <w14:solidFill>
              <w14:schemeClr w14:val="tx1"/>
            </w14:solidFill>
          </w14:textFill>
        </w:rPr>
        <w:t>但是发生下列情况的，当事人免责：</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1、不可抗力；</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2、基金管理人和/或基金托管人按照当时有效的法律法规或中国证监会的规定作为或不作为而造成的损失等；</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3、基金管理人由于按照基金合同规定的投资原则行使或不行使其投资权而造成的损失等。</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在发生一方或多方违约的情况下，在最大限度地保护基金份额持有人利益的前提下，托管协议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pPr>
        <w:spacing w:line="360" w:lineRule="auto"/>
        <w:ind w:firstLine="480" w:firstLineChars="200"/>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pPr>
        <w:widowControl/>
        <w:jc w:val="left"/>
        <w:rPr>
          <w:rFonts w:ascii="宋体" w:hAnsi="宋体" w:cs="Arial"/>
          <w:b/>
          <w:color w:val="000000" w:themeColor="text1"/>
          <w:kern w:val="44"/>
          <w:sz w:val="30"/>
          <w:szCs w:val="30"/>
          <w:lang w:val="zh-CN"/>
          <w14:textFill>
            <w14:solidFill>
              <w14:schemeClr w14:val="tx1"/>
            </w14:solidFill>
          </w14:textFill>
        </w:rPr>
      </w:pPr>
      <w:bookmarkStart w:id="72" w:name="_Toc382819134"/>
      <w:r>
        <w:rPr>
          <w:rFonts w:ascii="宋体" w:hAnsi="宋体" w:cs="Arial"/>
          <w:color w:val="000000" w:themeColor="text1"/>
          <w:sz w:val="30"/>
          <w:szCs w:val="30"/>
          <w14:textFill>
            <w14:solidFill>
              <w14:schemeClr w14:val="tx1"/>
            </w14:solidFill>
          </w14:textFill>
        </w:rPr>
        <w:br w:type="page"/>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color w:val="000000" w:themeColor="text1"/>
          <w:sz w:val="30"/>
          <w:szCs w:val="30"/>
          <w14:textFill>
            <w14:solidFill>
              <w14:schemeClr w14:val="tx1"/>
            </w14:solidFill>
          </w14:textFill>
        </w:rPr>
      </w:pPr>
      <w:r>
        <w:rPr>
          <w:rFonts w:hint="eastAsia" w:ascii="宋体" w:hAnsi="宋体" w:eastAsia="宋体" w:cs="Arial"/>
          <w:color w:val="000000" w:themeColor="text1"/>
          <w:sz w:val="30"/>
          <w:szCs w:val="30"/>
          <w14:textFill>
            <w14:solidFill>
              <w14:schemeClr w14:val="tx1"/>
            </w14:solidFill>
          </w14:textFill>
        </w:rPr>
        <w:t>适用法律及争议解决方式</w:t>
      </w:r>
      <w:bookmarkEnd w:id="72"/>
    </w:p>
    <w:p>
      <w:pPr>
        <w:spacing w:line="360" w:lineRule="auto"/>
        <w:ind w:firstLine="480" w:firstLineChars="200"/>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（一）</w:t>
      </w:r>
      <w:r>
        <w:rPr>
          <w:rFonts w:hint="eastAsia" w:ascii="宋体" w:hAnsi="宋体"/>
          <w:color w:val="000000" w:themeColor="text1"/>
          <w:sz w:val="24"/>
          <w14:textFill>
            <w14:solidFill>
              <w14:schemeClr w14:val="tx1"/>
            </w14:solidFill>
          </w14:textFill>
        </w:rPr>
        <w:t>本协议适用中华人民共和国法律（为本协议之目的，在此不包括香港、澳门特别行政区和台湾地区法律），并从其解释。</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双方当事人同意，因本协议而产生的或与本协议有关的一切争议，除经友好协商可以解决的，任何一方均有权将争议提交上海国际经济贸易仲裁委员会，根据该会当时有效的仲裁规则进行仲裁。仲裁的地点在上海市，仲裁裁决是终局性的并对双方均有约束力，仲裁费用由败诉方承担，仲裁裁决另有规定除外。</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争议处理期间，双方当事人应恪守基金管理人和基金托管人职责，继续忠实、勤勉、尽责地履行《基金合同》和本托管协议规定的义务，维护基金份额持有人的合法权益。</w:t>
      </w:r>
    </w:p>
    <w:p>
      <w:pPr>
        <w:widowControl/>
        <w:jc w:val="left"/>
        <w:rPr>
          <w:rFonts w:ascii="宋体" w:hAnsi="宋体" w:cs="Arial"/>
          <w:b/>
          <w:color w:val="000000" w:themeColor="text1"/>
          <w:kern w:val="44"/>
          <w:sz w:val="30"/>
          <w:szCs w:val="30"/>
          <w:lang w:val="zh-CN"/>
          <w14:textFill>
            <w14:solidFill>
              <w14:schemeClr w14:val="tx1"/>
            </w14:solidFill>
          </w14:textFill>
        </w:rPr>
      </w:pPr>
      <w:bookmarkStart w:id="73" w:name="_Toc382819135"/>
      <w:r>
        <w:rPr>
          <w:rFonts w:ascii="宋体" w:hAnsi="宋体" w:cs="Arial"/>
          <w:color w:val="000000" w:themeColor="text1"/>
          <w:sz w:val="30"/>
          <w:szCs w:val="30"/>
          <w14:textFill>
            <w14:solidFill>
              <w14:schemeClr w14:val="tx1"/>
            </w14:solidFill>
          </w14:textFill>
        </w:rPr>
        <w:br w:type="page"/>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color w:val="000000" w:themeColor="text1"/>
          <w:sz w:val="30"/>
          <w:szCs w:val="30"/>
          <w14:textFill>
            <w14:solidFill>
              <w14:schemeClr w14:val="tx1"/>
            </w14:solidFill>
          </w14:textFill>
        </w:rPr>
      </w:pPr>
      <w:r>
        <w:rPr>
          <w:rFonts w:hint="eastAsia" w:ascii="宋体" w:hAnsi="宋体" w:eastAsia="宋体" w:cs="Arial"/>
          <w:color w:val="000000" w:themeColor="text1"/>
          <w:sz w:val="30"/>
          <w:szCs w:val="30"/>
          <w14:textFill>
            <w14:solidFill>
              <w14:schemeClr w14:val="tx1"/>
            </w14:solidFill>
          </w14:textFill>
        </w:rPr>
        <w:t>基金托管协议的效力和文本</w:t>
      </w:r>
      <w:bookmarkEnd w:id="73"/>
    </w:p>
    <w:p>
      <w:pPr>
        <w:pStyle w:val="11"/>
        <w:ind w:firstLine="41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w:t>
      </w:r>
      <w:r>
        <w:rPr>
          <w:rFonts w:hint="eastAsia" w:ascii="宋体" w:hAnsi="宋体" w:cs="Arial"/>
          <w:color w:val="000000" w:themeColor="text1"/>
          <w:kern w:val="44"/>
          <w:sz w:val="24"/>
          <w14:textFill>
            <w14:solidFill>
              <w14:schemeClr w14:val="tx1"/>
            </w14:solidFill>
          </w14:textFill>
        </w:rPr>
        <w:t>本协议经基金管理人、基金托管人双方法定代表人或授权代理人签字（或盖章）并加盖公章（或合同专用章）后成立</w:t>
      </w:r>
      <w:r>
        <w:rPr>
          <w:rFonts w:hint="eastAsia" w:ascii="宋体" w:hAnsi="宋体"/>
          <w:color w:val="000000" w:themeColor="text1"/>
          <w:sz w:val="24"/>
          <w14:textFill>
            <w14:solidFill>
              <w14:schemeClr w14:val="tx1"/>
            </w14:solidFill>
          </w14:textFill>
        </w:rPr>
        <w:t>。本协议以中国证监会注册的文本为正式文本。</w:t>
      </w:r>
    </w:p>
    <w:p>
      <w:pPr>
        <w:pStyle w:val="11"/>
        <w:ind w:firstLine="41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（二）本协议自《基金合同》成立之日起成立，自《基金合同》生效之日起生效，有效期自其生效之日起至该基金财产清算结果报中国证监会备案并公告之日止。</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（三）本协议自生效之日起对各当事人具有同等的法律约束力。</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（四）本协议一式三份，除上报有关监管机构一份外，基金管理人和基金托管人分别持一份，每份具有同等的法律效力。</w:t>
      </w:r>
    </w:p>
    <w:p>
      <w:pPr>
        <w:widowControl/>
        <w:jc w:val="left"/>
        <w:rPr>
          <w:rFonts w:ascii="宋体" w:hAnsi="宋体" w:cs="Arial"/>
          <w:b/>
          <w:color w:val="000000" w:themeColor="text1"/>
          <w:kern w:val="44"/>
          <w:sz w:val="30"/>
          <w:szCs w:val="30"/>
          <w:lang w:val="zh-CN"/>
          <w14:textFill>
            <w14:solidFill>
              <w14:schemeClr w14:val="tx1"/>
            </w14:solidFill>
          </w14:textFill>
        </w:rPr>
      </w:pPr>
      <w:bookmarkStart w:id="74" w:name="_Toc382819136"/>
      <w:r>
        <w:rPr>
          <w:rFonts w:ascii="宋体" w:hAnsi="宋体" w:cs="Arial"/>
          <w:color w:val="000000" w:themeColor="text1"/>
          <w:sz w:val="30"/>
          <w:szCs w:val="30"/>
          <w14:textFill>
            <w14:solidFill>
              <w14:schemeClr w14:val="tx1"/>
            </w14:solidFill>
          </w14:textFill>
        </w:rPr>
        <w:br w:type="page"/>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color w:val="000000" w:themeColor="text1"/>
          <w:sz w:val="30"/>
          <w:szCs w:val="30"/>
          <w14:textFill>
            <w14:solidFill>
              <w14:schemeClr w14:val="tx1"/>
            </w14:solidFill>
          </w14:textFill>
        </w:rPr>
      </w:pPr>
      <w:r>
        <w:rPr>
          <w:rFonts w:hint="eastAsia" w:ascii="宋体" w:hAnsi="宋体" w:eastAsia="宋体" w:cs="Arial"/>
          <w:color w:val="000000" w:themeColor="text1"/>
          <w:sz w:val="30"/>
          <w:szCs w:val="30"/>
          <w14:textFill>
            <w14:solidFill>
              <w14:schemeClr w14:val="tx1"/>
            </w14:solidFill>
          </w14:textFill>
        </w:rPr>
        <w:t>其他事项</w:t>
      </w:r>
      <w:bookmarkEnd w:id="74"/>
    </w:p>
    <w:p>
      <w:pPr>
        <w:pStyle w:val="11"/>
        <w:ind w:firstLine="41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双方在此确认，双方均已充分了解和知悉各方反对其员工利用职务之便谋取任何形式利益之立场，并承诺将本着廉洁公平原则避免此类情形，不向对方的员工私自提供任何形式的回扣、礼金、有价证券、贵重物品、各种奖励、私人费用补偿、私人旅游、高消费娱乐等不当利益。</w:t>
      </w:r>
    </w:p>
    <w:p>
      <w:pPr>
        <w:pStyle w:val="11"/>
        <w:ind w:firstLine="41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（二）反洗钱义务</w:t>
      </w:r>
    </w:p>
    <w:p>
      <w:pPr>
        <w:pStyle w:val="11"/>
        <w:ind w:firstLine="41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托管协议项下业务存续期内，本托管协议双方应依据法律法规履行相应反洗钱义务，并主动配合对方根据监管部门有关反洗钱要求开展客户身份识别工作，提供真实、准确、完整的资料，遵守各方反洗钱与反恐怖融资相关管理规定。基金托管人具备合理理由怀疑基金管理人在本托管协议项下的业务涉嫌参与联合国安理会、反洗钱金融行动特别工作组、中国、等国际组织或国家认定的洗钱、恐怖融资或（大规模杀伤性武器）融资活动、或逃税等违法违规行为的，基金托管人有权按照中国人民银行反洗钱监管规定等规定及内部管理规定等采取必要的管控措施。</w:t>
      </w:r>
    </w:p>
    <w:p>
      <w:pPr>
        <w:pStyle w:val="11"/>
        <w:ind w:firstLine="41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（三）通知</w:t>
      </w:r>
    </w:p>
    <w:p>
      <w:pPr>
        <w:pStyle w:val="11"/>
        <w:ind w:firstLine="41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1.除本托管协议另有约定外，其他与本托管协议有关的通知应以书面形式作出，并送达至协议约定的地址，如果相关信息发生变动，变动的一方应当在变动发生之日起五（5）日书面通知其他各方。</w:t>
      </w:r>
    </w:p>
    <w:p>
      <w:pPr>
        <w:pStyle w:val="11"/>
        <w:ind w:firstLine="41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由本托管协议一方以专人递送给另一方，或以传真、邮递方式发出。该等通知以专人递送，于递交时视为送达；以传真方式发出，于发件人传真机显示传真业已发出时视为送达；以邮递方式发出，于收件人签收时视为送达；以电子邮件方式发出，收件方服务器接收视为送达。</w:t>
      </w:r>
    </w:p>
    <w:p>
      <w:pPr>
        <w:pStyle w:val="11"/>
        <w:ind w:firstLine="41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任何一方在任何时间改变接收通知所用的地址、邮箱、传真号码或电话号码都应立即将该变更通过本托管协议约定的邮箱或各方认可的方式通知另一方；如果该变更通知未能送达，递交给上述收件人或地址的通知或联络应视为被正常发送和接收。</w:t>
      </w:r>
    </w:p>
    <w:p>
      <w:pPr>
        <w:pStyle w:val="11"/>
        <w:ind w:firstLine="41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各方确认，本托管协议首页列明的各方地址送达信息为其有效的邮寄送达地址。对本托管协议项下所发生的任何诉讼或仲裁（包括一审、二审和再审等任何诉讼程序和执行程序，以及任何仲裁程序）过程中对其发出的函件、传票、通知等法律文书，只要以邮寄等送达方式发送至本托管协议首页列明的邮寄送达地址即视为送达，具体送达日期适用《民事诉讼法》或《仲裁法》中关于送达日期的规定。上述邮寄送达地址的变更非经提前通知另一方，不发生法律效力，本托管协议中确认的送达地址仍然视为有效的送达地址，但任一方以公告方式变更送达地址的，应视为送达地址已提前通知另一方，无需另行通知。</w:t>
      </w:r>
    </w:p>
    <w:p>
      <w:pPr>
        <w:pStyle w:val="11"/>
        <w:ind w:firstLine="41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（四）本托管协议未尽事宜，当事人依据《基金合同》以及有关法律、法规和规定协商办理。</w:t>
      </w:r>
    </w:p>
    <w:p>
      <w:pPr>
        <w:pStyle w:val="11"/>
        <w:ind w:firstLine="41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（五）双方约定的其他事项（若有）</w:t>
      </w:r>
    </w:p>
    <w:p>
      <w:pPr>
        <w:pStyle w:val="11"/>
        <w:ind w:firstLine="41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（本页以下无正文）</w:t>
      </w:r>
    </w:p>
    <w:p>
      <w:pPr>
        <w:pStyle w:val="11"/>
        <w:ind w:firstLine="0" w:firstLineChars="0"/>
        <w:rPr>
          <w:rFonts w:ascii="宋体" w:hAnsi="宋体"/>
          <w:color w:val="000000" w:themeColor="text1"/>
          <w:szCs w:val="21"/>
          <w14:textFill>
            <w14:solidFill>
              <w14:schemeClr w14:val="tx1"/>
            </w14:solidFill>
          </w14:textFill>
        </w:rPr>
      </w:pPr>
    </w:p>
    <w:p>
      <w:pPr>
        <w:widowControl/>
        <w:spacing w:beforeAutospacing="1" w:line="360" w:lineRule="auto"/>
        <w:jc w:val="left"/>
        <w:rPr>
          <w:rFonts w:ascii="宋体" w:hAnsi="宋体"/>
          <w:color w:val="000000" w:themeColor="text1"/>
          <w:szCs w:val="21"/>
          <w:lang w:val="zh-CN"/>
          <w14:textFill>
            <w14:solidFill>
              <w14:schemeClr w14:val="tx1"/>
            </w14:solidFill>
          </w14:textFill>
        </w:rPr>
        <w:sectPr>
          <w:footerReference r:id="rId7" w:type="default"/>
          <w:pgSz w:w="11906" w:h="16838"/>
          <w:pgMar w:top="1440" w:right="1800" w:bottom="1440" w:left="1800" w:header="851" w:footer="992" w:gutter="0"/>
          <w:pgNumType w:start="1"/>
          <w:cols w:space="720" w:num="1"/>
          <w:docGrid w:type="lines" w:linePitch="312" w:charSpace="0"/>
        </w:sectPr>
      </w:pPr>
    </w:p>
    <w:p>
      <w:pPr>
        <w:spacing w:after="120"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（本页为</w:t>
      </w:r>
      <w:r>
        <w:rPr>
          <w:rFonts w:hint="eastAsia" w:ascii="宋体" w:hAnsi="宋体"/>
          <w:color w:val="000000" w:themeColor="text1"/>
          <w:sz w:val="24"/>
          <w:lang w:eastAsia="zh-CN"/>
          <w14:textFill>
            <w14:solidFill>
              <w14:schemeClr w14:val="tx1"/>
            </w14:solidFill>
          </w14:textFill>
        </w:rPr>
        <w:t>国新国证</w:t>
      </w:r>
      <w:r>
        <w:rPr>
          <w:rFonts w:hint="eastAsia" w:ascii="宋体" w:hAnsi="宋体"/>
          <w:color w:val="000000" w:themeColor="text1"/>
          <w:sz w:val="24"/>
          <w14:textFill>
            <w14:solidFill>
              <w14:schemeClr w14:val="tx1"/>
            </w14:solidFill>
          </w14:textFill>
        </w:rPr>
        <w:t>鑫裕央企债六个月定期开放债券型证券投资基金托管协议签署页，无正文）</w:t>
      </w:r>
    </w:p>
    <w:p>
      <w:pPr>
        <w:spacing w:line="360" w:lineRule="auto"/>
        <w:ind w:right="26"/>
        <w:rPr>
          <w:rFonts w:ascii="宋体" w:hAnsi="宋体"/>
          <w:b/>
          <w:bCs/>
          <w:color w:val="000000" w:themeColor="text1"/>
          <w:sz w:val="24"/>
          <w14:textFill>
            <w14:solidFill>
              <w14:schemeClr w14:val="tx1"/>
            </w14:solidFill>
          </w14:textFill>
        </w:rPr>
      </w:pPr>
    </w:p>
    <w:p>
      <w:pPr>
        <w:adjustRightInd w:val="0"/>
        <w:spacing w:line="360" w:lineRule="auto"/>
        <w:ind w:right="28"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协议由下述双方于__________年______月______日签署。双方确认，在签署本协议时，双方已就全部条款进行了详细地说明和讨论，双方对协议的全部条款均无疑义，并对本协议中当事人有关权利义务和责任限制或免除条款的法律含义有准确无误的理解。</w:t>
      </w:r>
    </w:p>
    <w:p>
      <w:pPr>
        <w:spacing w:line="360" w:lineRule="auto"/>
        <w:ind w:right="26"/>
        <w:rPr>
          <w:rFonts w:ascii="宋体" w:hAnsi="宋体"/>
          <w:color w:val="000000" w:themeColor="text1"/>
          <w:sz w:val="24"/>
          <w14:textFill>
            <w14:solidFill>
              <w14:schemeClr w14:val="tx1"/>
            </w14:solidFill>
          </w14:textFill>
        </w:rPr>
      </w:pPr>
    </w:p>
    <w:p>
      <w:pPr>
        <w:spacing w:line="360" w:lineRule="auto"/>
        <w:ind w:right="26"/>
        <w:rPr>
          <w:rFonts w:ascii="宋体" w:hAnsi="宋体"/>
          <w:color w:val="000000" w:themeColor="text1"/>
          <w:sz w:val="24"/>
          <w14:textFill>
            <w14:solidFill>
              <w14:schemeClr w14:val="tx1"/>
            </w14:solidFill>
          </w14:textFill>
        </w:rPr>
      </w:pPr>
    </w:p>
    <w:p>
      <w:pPr>
        <w:spacing w:line="360" w:lineRule="auto"/>
        <w:ind w:right="26"/>
        <w:rPr>
          <w:rFonts w:ascii="宋体" w:hAnsi="宋体"/>
          <w:color w:val="000000" w:themeColor="text1"/>
          <w:sz w:val="24"/>
          <w14:textFill>
            <w14:solidFill>
              <w14:schemeClr w14:val="tx1"/>
            </w14:solidFill>
          </w14:textFill>
        </w:rPr>
      </w:pPr>
    </w:p>
    <w:tbl>
      <w:tblPr>
        <w:tblStyle w:val="20"/>
        <w:tblW w:w="0" w:type="auto"/>
        <w:tblInd w:w="0" w:type="dxa"/>
        <w:tblLayout w:type="autofit"/>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c>
          <w:tcPr>
            <w:tcW w:w="4261" w:type="dxa"/>
            <w:shd w:val="clear" w:color="auto" w:fill="auto"/>
          </w:tcPr>
          <w:p>
            <w:pPr>
              <w:spacing w:line="360" w:lineRule="auto"/>
              <w:ind w:right="26"/>
              <w:rPr>
                <w:rFonts w:ascii="宋体" w:hAnsi="宋体"/>
                <w:b/>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基金管理人</w:t>
            </w:r>
            <w:r>
              <w:rPr>
                <w:rFonts w:hint="eastAsia" w:ascii="宋体" w:hAnsi="宋体"/>
                <w:b/>
                <w:bCs/>
                <w:color w:val="000000" w:themeColor="text1"/>
                <w:szCs w:val="21"/>
                <w14:textFill>
                  <w14:solidFill>
                    <w14:schemeClr w14:val="tx1"/>
                  </w14:solidFill>
                </w14:textFill>
              </w:rPr>
              <w:t>：</w:t>
            </w:r>
          </w:p>
          <w:p>
            <w:pPr>
              <w:spacing w:line="360" w:lineRule="auto"/>
              <w:ind w:right="26"/>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国新国证基金管理有限公司</w:t>
            </w:r>
          </w:p>
        </w:tc>
        <w:tc>
          <w:tcPr>
            <w:tcW w:w="4261" w:type="dxa"/>
            <w:shd w:val="clear" w:color="auto" w:fill="auto"/>
          </w:tcPr>
          <w:p>
            <w:pPr>
              <w:spacing w:line="360" w:lineRule="auto"/>
              <w:ind w:right="26"/>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基金托管人：</w:t>
            </w:r>
          </w:p>
          <w:p>
            <w:pPr>
              <w:spacing w:line="360" w:lineRule="auto"/>
              <w:ind w:right="26"/>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上海浦东发展银行股份有限公司</w:t>
            </w:r>
          </w:p>
        </w:tc>
      </w:tr>
      <w:tr>
        <w:tblPrEx>
          <w:tblCellMar>
            <w:top w:w="0" w:type="dxa"/>
            <w:left w:w="108" w:type="dxa"/>
            <w:bottom w:w="0" w:type="dxa"/>
            <w:right w:w="108" w:type="dxa"/>
          </w:tblCellMar>
        </w:tblPrEx>
        <w:tc>
          <w:tcPr>
            <w:tcW w:w="4261" w:type="dxa"/>
            <w:shd w:val="clear" w:color="auto" w:fill="auto"/>
          </w:tcPr>
          <w:p>
            <w:pPr>
              <w:spacing w:line="360" w:lineRule="auto"/>
              <w:ind w:right="26"/>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（公章或合同专用章）</w:t>
            </w:r>
          </w:p>
          <w:p>
            <w:pPr>
              <w:spacing w:line="360" w:lineRule="auto"/>
              <w:ind w:right="26"/>
              <w:rPr>
                <w:rFonts w:ascii="宋体" w:hAnsi="宋体"/>
                <w:color w:val="000000" w:themeColor="text1"/>
                <w:szCs w:val="21"/>
                <w14:textFill>
                  <w14:solidFill>
                    <w14:schemeClr w14:val="tx1"/>
                  </w14:solidFill>
                </w14:textFill>
              </w:rPr>
            </w:pPr>
          </w:p>
          <w:p>
            <w:pPr>
              <w:spacing w:line="360" w:lineRule="auto"/>
              <w:ind w:right="26"/>
              <w:rPr>
                <w:rFonts w:ascii="宋体" w:hAnsi="宋体"/>
                <w:color w:val="000000" w:themeColor="text1"/>
                <w:szCs w:val="21"/>
                <w14:textFill>
                  <w14:solidFill>
                    <w14:schemeClr w14:val="tx1"/>
                  </w14:solidFill>
                </w14:textFill>
              </w:rPr>
            </w:pPr>
          </w:p>
        </w:tc>
        <w:tc>
          <w:tcPr>
            <w:tcW w:w="4261" w:type="dxa"/>
            <w:shd w:val="clear" w:color="auto" w:fill="auto"/>
          </w:tcPr>
          <w:p>
            <w:pPr>
              <w:spacing w:line="360" w:lineRule="auto"/>
              <w:ind w:right="26"/>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（公章或合同专用章）</w:t>
            </w:r>
          </w:p>
          <w:p>
            <w:pPr>
              <w:spacing w:line="360" w:lineRule="auto"/>
              <w:ind w:right="26"/>
              <w:rPr>
                <w:rFonts w:ascii="宋体" w:hAnsi="宋体"/>
                <w:color w:val="000000" w:themeColor="text1"/>
                <w:szCs w:val="21"/>
                <w14:textFill>
                  <w14:solidFill>
                    <w14:schemeClr w14:val="tx1"/>
                  </w14:solidFill>
                </w14:textFill>
              </w:rPr>
            </w:pPr>
          </w:p>
          <w:p>
            <w:pPr>
              <w:spacing w:line="360" w:lineRule="auto"/>
              <w:ind w:right="26"/>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c>
          <w:tcPr>
            <w:tcW w:w="4261" w:type="dxa"/>
            <w:shd w:val="clear" w:color="auto" w:fill="auto"/>
          </w:tcPr>
          <w:p>
            <w:pPr>
              <w:spacing w:line="360" w:lineRule="auto"/>
              <w:ind w:right="26"/>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法定代表人或授权代表：</w:t>
            </w:r>
          </w:p>
        </w:tc>
        <w:tc>
          <w:tcPr>
            <w:tcW w:w="4261" w:type="dxa"/>
            <w:shd w:val="clear" w:color="auto" w:fill="auto"/>
          </w:tcPr>
          <w:p>
            <w:pPr>
              <w:spacing w:line="360" w:lineRule="auto"/>
              <w:ind w:right="26"/>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法定代表人或授权代表：</w:t>
            </w:r>
          </w:p>
        </w:tc>
      </w:tr>
      <w:tr>
        <w:tblPrEx>
          <w:tblCellMar>
            <w:top w:w="0" w:type="dxa"/>
            <w:left w:w="108" w:type="dxa"/>
            <w:bottom w:w="0" w:type="dxa"/>
            <w:right w:w="108" w:type="dxa"/>
          </w:tblCellMar>
        </w:tblPrEx>
        <w:tc>
          <w:tcPr>
            <w:tcW w:w="4261" w:type="dxa"/>
            <w:shd w:val="clear" w:color="auto" w:fill="auto"/>
          </w:tcPr>
          <w:p>
            <w:pPr>
              <w:spacing w:line="360" w:lineRule="auto"/>
              <w:ind w:right="26"/>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（签字或盖章）</w:t>
            </w:r>
          </w:p>
          <w:p>
            <w:pPr>
              <w:spacing w:line="360" w:lineRule="auto"/>
              <w:ind w:right="26"/>
              <w:rPr>
                <w:rFonts w:ascii="宋体" w:hAnsi="宋体"/>
                <w:color w:val="000000" w:themeColor="text1"/>
                <w:szCs w:val="21"/>
                <w14:textFill>
                  <w14:solidFill>
                    <w14:schemeClr w14:val="tx1"/>
                  </w14:solidFill>
                </w14:textFill>
              </w:rPr>
            </w:pPr>
          </w:p>
        </w:tc>
        <w:tc>
          <w:tcPr>
            <w:tcW w:w="4261" w:type="dxa"/>
            <w:shd w:val="clear" w:color="auto" w:fill="auto"/>
          </w:tcPr>
          <w:p>
            <w:pPr>
              <w:spacing w:line="360" w:lineRule="auto"/>
              <w:ind w:right="26"/>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（签字或盖章）</w:t>
            </w:r>
          </w:p>
          <w:p>
            <w:pPr>
              <w:spacing w:line="360" w:lineRule="auto"/>
              <w:ind w:right="26"/>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c>
          <w:tcPr>
            <w:tcW w:w="4261" w:type="dxa"/>
            <w:shd w:val="clear" w:color="auto" w:fill="auto"/>
          </w:tcPr>
          <w:p>
            <w:pPr>
              <w:spacing w:line="360" w:lineRule="auto"/>
              <w:ind w:right="26"/>
              <w:rPr>
                <w:rFonts w:ascii="宋体" w:hAnsi="宋体"/>
                <w:color w:val="000000" w:themeColor="text1"/>
                <w:szCs w:val="21"/>
                <w14:textFill>
                  <w14:solidFill>
                    <w14:schemeClr w14:val="tx1"/>
                  </w14:solidFill>
                </w14:textFill>
              </w:rPr>
            </w:pPr>
          </w:p>
        </w:tc>
        <w:tc>
          <w:tcPr>
            <w:tcW w:w="4261" w:type="dxa"/>
            <w:shd w:val="clear" w:color="auto" w:fill="auto"/>
          </w:tcPr>
          <w:p>
            <w:pPr>
              <w:spacing w:line="360" w:lineRule="auto"/>
              <w:ind w:right="26"/>
              <w:rPr>
                <w:rFonts w:ascii="宋体" w:hAnsi="宋体"/>
                <w:color w:val="000000" w:themeColor="text1"/>
                <w:szCs w:val="21"/>
                <w14:textFill>
                  <w14:solidFill>
                    <w14:schemeClr w14:val="tx1"/>
                  </w14:solidFill>
                </w14:textFill>
              </w:rPr>
            </w:pPr>
          </w:p>
        </w:tc>
      </w:tr>
    </w:tbl>
    <w:p>
      <w:pPr>
        <w:rPr>
          <w:color w:val="000000" w:themeColor="text1"/>
          <w:sz w:val="24"/>
          <w14:textFill>
            <w14:solidFill>
              <w14:schemeClr w14:val="tx1"/>
            </w14:solidFill>
          </w14:textFill>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Align="top"/>
    </w:pPr>
    <w:r>
      <w:rPr>
        <w:rFonts w:hint="eastAsia"/>
      </w:rPr>
      <w:fldChar w:fldCharType="begin"/>
    </w:r>
    <w:r>
      <w:rPr>
        <w:rStyle w:val="22"/>
        <w:rFonts w:hint="eastAsia"/>
      </w:rPr>
      <w:instrText xml:space="preserve"> PAGE  </w:instrText>
    </w:r>
    <w:r>
      <w:rPr>
        <w:rFonts w:hint="eastAsia"/>
      </w:rPr>
      <w:fldChar w:fldCharType="separate"/>
    </w:r>
    <w:r>
      <w:rPr>
        <w:rStyle w:val="22"/>
      </w:rPr>
      <w:t>2</w:t>
    </w:r>
    <w:r>
      <w:rPr>
        <w:rFonts w:hint="eastAsia"/>
      </w:rPr>
      <w:fldChar w:fldCharType="end"/>
    </w:r>
  </w:p>
  <w:p>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jc w:val="both"/>
    </w:pPr>
    <w:r>
      <w:rPr>
        <w:rFonts w:hint="eastAsia"/>
        <w:color w:val="000000"/>
      </w:rPr>
      <w:t>XXXX</w:t>
    </w:r>
    <w:r>
      <w:rPr>
        <w:rFonts w:hint="eastAsia"/>
      </w:rPr>
      <w:t>证券投资基金                             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rFonts w:hint="eastAsia"/>
        <w:lang w:eastAsia="zh-CN"/>
      </w:rPr>
      <w:t>国新国证</w:t>
    </w:r>
    <w:r>
      <w:rPr>
        <w:rFonts w:hint="eastAsia"/>
      </w:rPr>
      <w:t>鑫裕央企债六</w:t>
    </w:r>
    <w:r>
      <w:t>个月定期开放债券型证券投资基金</w:t>
    </w:r>
    <w:r>
      <w:rPr>
        <w:rFonts w:hint="eastAsia"/>
      </w:rPr>
      <w:t xml:space="preserve"> </w:t>
    </w:r>
    <w:r>
      <w:t xml:space="preserve">          </w:t>
    </w:r>
    <w:r>
      <w:rPr>
        <w:rFonts w:hint="eastAsia"/>
      </w:rPr>
      <w:t xml:space="preserve">  </w:t>
    </w:r>
    <w:r>
      <w:t xml:space="preserve">              </w:t>
    </w:r>
    <w:r>
      <w:rPr>
        <w:rFonts w:hint="eastAsia"/>
        <w:lang w:val="en-US" w:eastAsia="zh-CN"/>
      </w:rPr>
      <w:t xml:space="preserve">  </w:t>
    </w:r>
    <w:r>
      <w:t xml:space="preserve">     托管协议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rFonts w:hint="eastAsia"/>
        <w:lang w:eastAsia="zh-CN"/>
      </w:rPr>
      <w:t>国新国证</w:t>
    </w:r>
    <w:r>
      <w:rPr>
        <w:rFonts w:hint="eastAsia"/>
      </w:rPr>
      <w:t>鑫裕央企债六</w:t>
    </w:r>
    <w:r>
      <w:t>个月定期开放债券型证券投资基金</w:t>
    </w:r>
    <w:r>
      <w:rPr>
        <w:rFonts w:hint="eastAsia"/>
      </w:rPr>
      <w:t xml:space="preserve"> </w:t>
    </w:r>
    <w:r>
      <w:t xml:space="preserve">          </w:t>
    </w:r>
    <w:r>
      <w:rPr>
        <w:rFonts w:hint="eastAsia"/>
      </w:rPr>
      <w:t xml:space="preserve">    </w:t>
    </w:r>
    <w:r>
      <w:t xml:space="preserve">             </w:t>
    </w:r>
    <w:r>
      <w:rPr>
        <w:rFonts w:hint="eastAsia"/>
        <w:lang w:val="en-US" w:eastAsia="zh-CN"/>
      </w:rPr>
      <w:t xml:space="preserve">   </w:t>
    </w:r>
    <w:r>
      <w:t xml:space="preserve">   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538E2"/>
    <w:multiLevelType w:val="multilevel"/>
    <w:tmpl w:val="266538E2"/>
    <w:lvl w:ilvl="0" w:tentative="0">
      <w:start w:val="1"/>
      <w:numFmt w:val="chineseCountingThousand"/>
      <w:pStyle w:val="2"/>
      <w:lvlText w:val="第%1章  "/>
      <w:lvlJc w:val="left"/>
      <w:pPr>
        <w:tabs>
          <w:tab w:val="left" w:pos="1922"/>
        </w:tabs>
        <w:ind w:left="0" w:firstLine="482"/>
      </w:pPr>
      <w:rPr>
        <w:rFonts w:hint="eastAsia"/>
      </w:rPr>
    </w:lvl>
    <w:lvl w:ilvl="1" w:tentative="0">
      <w:start w:val="1"/>
      <w:numFmt w:val="chineseCountingThousand"/>
      <w:lvlText w:val="第%2节  "/>
      <w:lvlJc w:val="left"/>
      <w:pPr>
        <w:tabs>
          <w:tab w:val="left" w:pos="1922"/>
        </w:tabs>
        <w:ind w:left="0" w:firstLine="482"/>
      </w:pPr>
      <w:rPr>
        <w:rFonts w:hint="eastAsia"/>
      </w:rPr>
    </w:lvl>
    <w:lvl w:ilvl="2" w:tentative="0">
      <w:start w:val="1"/>
      <w:numFmt w:val="chineseCountingThousand"/>
      <w:pStyle w:val="4"/>
      <w:suff w:val="nothing"/>
      <w:lvlText w:val="%3、"/>
      <w:lvlJc w:val="left"/>
      <w:pPr>
        <w:ind w:left="0" w:firstLine="482"/>
      </w:pPr>
      <w:rPr>
        <w:rFonts w:hint="eastAsia" w:ascii="黑体" w:eastAsia="黑体"/>
        <w:b/>
        <w:i w:val="0"/>
        <w:sz w:val="24"/>
      </w:rPr>
    </w:lvl>
    <w:lvl w:ilvl="3" w:tentative="0">
      <w:start w:val="1"/>
      <w:numFmt w:val="chineseCountingThousand"/>
      <w:pStyle w:val="5"/>
      <w:suff w:val="nothing"/>
      <w:lvlText w:val="(%4)"/>
      <w:lvlJc w:val="left"/>
      <w:pPr>
        <w:ind w:left="0" w:firstLine="482"/>
      </w:pPr>
      <w:rPr>
        <w:rFonts w:hint="eastAsia" w:ascii="仿宋_GB2312" w:eastAsia="仿宋_GB2312"/>
        <w:b w:val="0"/>
        <w:i w:val="0"/>
        <w:sz w:val="24"/>
      </w:rPr>
    </w:lvl>
    <w:lvl w:ilvl="4" w:tentative="0">
      <w:start w:val="1"/>
      <w:numFmt w:val="decimal"/>
      <w:pStyle w:val="6"/>
      <w:suff w:val="nothing"/>
      <w:lvlText w:val="%5."/>
      <w:lvlJc w:val="left"/>
      <w:pPr>
        <w:ind w:left="0" w:firstLine="527"/>
      </w:pPr>
      <w:rPr>
        <w:rFonts w:hint="eastAsia" w:ascii="仿宋_GB2312" w:eastAsia="仿宋_GB2312"/>
        <w:b w:val="0"/>
        <w:i w:val="0"/>
        <w:sz w:val="24"/>
      </w:rPr>
    </w:lvl>
    <w:lvl w:ilvl="5" w:tentative="0">
      <w:start w:val="1"/>
      <w:numFmt w:val="decimal"/>
      <w:pStyle w:val="7"/>
      <w:suff w:val="nothing"/>
      <w:lvlText w:val="(%6)"/>
      <w:lvlJc w:val="left"/>
      <w:pPr>
        <w:ind w:left="0" w:firstLine="482"/>
      </w:pPr>
      <w:rPr>
        <w:rFonts w:hint="eastAsia" w:ascii="仿宋_GB2312" w:eastAsia="仿宋_GB2312"/>
        <w:b w:val="0"/>
        <w:i w:val="0"/>
        <w:sz w:val="24"/>
      </w:rPr>
    </w:lvl>
    <w:lvl w:ilvl="6" w:tentative="0">
      <w:start w:val="1"/>
      <w:numFmt w:val="bullet"/>
      <w:pStyle w:val="8"/>
      <w:lvlText w:val="①"/>
      <w:lvlJc w:val="left"/>
      <w:pPr>
        <w:tabs>
          <w:tab w:val="left" w:pos="2835"/>
        </w:tabs>
        <w:ind w:left="2835" w:hanging="426"/>
      </w:pPr>
      <w:rPr>
        <w:rFonts w:hint="eastAsia" w:ascii="宋体" w:eastAsia="宋体"/>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1">
    <w:nsid w:val="5F952C2D"/>
    <w:multiLevelType w:val="multilevel"/>
    <w:tmpl w:val="5F952C2D"/>
    <w:lvl w:ilvl="0" w:tentative="0">
      <w:start w:val="1"/>
      <w:numFmt w:val="chineseCountingThousand"/>
      <w:suff w:val="nothing"/>
      <w:lvlText w:val="%1、"/>
      <w:lvlJc w:val="center"/>
      <w:pPr>
        <w:ind w:left="0" w:firstLine="288"/>
      </w:pPr>
      <w:rPr>
        <w:rFonts w:hint="eastAsia"/>
        <w:sz w:val="30"/>
        <w:szCs w:val="30"/>
        <w:lang w:val="en-US"/>
      </w:rPr>
    </w:lvl>
    <w:lvl w:ilvl="1" w:tentative="0">
      <w:start w:val="1"/>
      <w:numFmt w:val="japaneseCounting"/>
      <w:lvlText w:val="（%2）"/>
      <w:lvlJc w:val="left"/>
      <w:pPr>
        <w:tabs>
          <w:tab w:val="left" w:pos="720"/>
        </w:tabs>
        <w:ind w:left="720" w:hanging="720"/>
      </w:pPr>
      <w:rPr>
        <w:rFonts w:hint="default"/>
      </w:rPr>
    </w:lvl>
    <w:lvl w:ilvl="2" w:tentative="0">
      <w:start w:val="1"/>
      <w:numFmt w:val="decimal"/>
      <w:lvlText w:val="%3."/>
      <w:lvlJc w:val="left"/>
      <w:pPr>
        <w:tabs>
          <w:tab w:val="left" w:pos="360"/>
        </w:tabs>
        <w:ind w:left="0" w:firstLine="0"/>
      </w:pPr>
      <w:rPr>
        <w:rFonts w:hint="eastAsia"/>
      </w:rPr>
    </w:lvl>
    <w:lvl w:ilvl="3" w:tentative="0">
      <w:start w:val="1"/>
      <w:numFmt w:val="decimal"/>
      <w:lvlText w:val="（%4）"/>
      <w:lvlJc w:val="left"/>
      <w:pPr>
        <w:tabs>
          <w:tab w:val="left" w:pos="720"/>
        </w:tabs>
        <w:ind w:left="0" w:firstLine="0"/>
      </w:pPr>
      <w:rPr>
        <w:rFonts w:hint="default" w:ascii="Times New Roman" w:hAnsi="Times New Roman" w:eastAsia="宋体"/>
        <w:sz w:val="21"/>
      </w:rPr>
    </w:lvl>
    <w:lvl w:ilvl="4" w:tentative="0">
      <w:start w:val="1"/>
      <w:numFmt w:val="none"/>
      <w:lvlText w:val=""/>
      <w:lvlJc w:val="left"/>
      <w:pPr>
        <w:tabs>
          <w:tab w:val="left" w:pos="360"/>
        </w:tabs>
        <w:ind w:left="0" w:firstLine="0"/>
      </w:pPr>
      <w:rPr>
        <w:rFonts w:hint="eastAsia"/>
        <w:sz w:val="24"/>
      </w:rPr>
    </w:lvl>
    <w:lvl w:ilvl="5" w:tentative="0">
      <w:start w:val="1"/>
      <w:numFmt w:val="upperLetter"/>
      <w:lvlText w:val="%6."/>
      <w:lvlJc w:val="left"/>
      <w:pPr>
        <w:tabs>
          <w:tab w:val="left" w:pos="927"/>
        </w:tabs>
        <w:ind w:left="0" w:firstLine="567"/>
      </w:pPr>
      <w:rPr>
        <w:rFonts w:hint="eastAsia"/>
        <w:sz w:val="24"/>
      </w:rPr>
    </w:lvl>
    <w:lvl w:ilvl="6" w:tentative="0">
      <w:start w:val="1"/>
      <w:numFmt w:val="none"/>
      <w:lvlText w:val=""/>
      <w:lvlJc w:val="left"/>
      <w:pPr>
        <w:tabs>
          <w:tab w:val="left" w:pos="3827"/>
        </w:tabs>
        <w:ind w:left="3827" w:hanging="1276"/>
      </w:pPr>
      <w:rPr>
        <w:rFonts w:hint="eastAsia"/>
      </w:rPr>
    </w:lvl>
    <w:lvl w:ilvl="7" w:tentative="0">
      <w:start w:val="1"/>
      <w:numFmt w:val="none"/>
      <w:lvlText w:val=""/>
      <w:lvlJc w:val="left"/>
      <w:pPr>
        <w:tabs>
          <w:tab w:val="left" w:pos="4394"/>
        </w:tabs>
        <w:ind w:left="4394" w:hanging="1418"/>
      </w:pPr>
      <w:rPr>
        <w:rFonts w:hint="eastAsia"/>
      </w:rPr>
    </w:lvl>
    <w:lvl w:ilvl="8" w:tentative="0">
      <w:start w:val="1"/>
      <w:numFmt w:val="none"/>
      <w:lvlText w:val=""/>
      <w:lvlJc w:val="left"/>
      <w:pPr>
        <w:tabs>
          <w:tab w:val="left" w:pos="5102"/>
        </w:tabs>
        <w:ind w:left="5102" w:hanging="1700"/>
      </w:pPr>
      <w:rPr>
        <w:rFonts w:hint="eastAsia"/>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B06"/>
    <w:rsid w:val="00003D45"/>
    <w:rsid w:val="0001381C"/>
    <w:rsid w:val="00014998"/>
    <w:rsid w:val="000246AC"/>
    <w:rsid w:val="00033F3A"/>
    <w:rsid w:val="00047D18"/>
    <w:rsid w:val="00050C79"/>
    <w:rsid w:val="00053197"/>
    <w:rsid w:val="0006509E"/>
    <w:rsid w:val="00070C46"/>
    <w:rsid w:val="000719BF"/>
    <w:rsid w:val="00080622"/>
    <w:rsid w:val="00081B41"/>
    <w:rsid w:val="00084531"/>
    <w:rsid w:val="00090B76"/>
    <w:rsid w:val="00095A3A"/>
    <w:rsid w:val="000A0AC0"/>
    <w:rsid w:val="000A0E59"/>
    <w:rsid w:val="000B4024"/>
    <w:rsid w:val="000B4737"/>
    <w:rsid w:val="000C7E20"/>
    <w:rsid w:val="000E7AE1"/>
    <w:rsid w:val="000F161C"/>
    <w:rsid w:val="000F1EB1"/>
    <w:rsid w:val="000F581B"/>
    <w:rsid w:val="00102918"/>
    <w:rsid w:val="00102CDD"/>
    <w:rsid w:val="001142CF"/>
    <w:rsid w:val="001456B2"/>
    <w:rsid w:val="00146297"/>
    <w:rsid w:val="00154D73"/>
    <w:rsid w:val="00162C4A"/>
    <w:rsid w:val="0016302A"/>
    <w:rsid w:val="0016410E"/>
    <w:rsid w:val="0016727D"/>
    <w:rsid w:val="00170D13"/>
    <w:rsid w:val="00177C69"/>
    <w:rsid w:val="00183D83"/>
    <w:rsid w:val="0019298B"/>
    <w:rsid w:val="001949EC"/>
    <w:rsid w:val="001A1969"/>
    <w:rsid w:val="001A4BA3"/>
    <w:rsid w:val="001A6447"/>
    <w:rsid w:val="001B3031"/>
    <w:rsid w:val="001C0E17"/>
    <w:rsid w:val="001C483E"/>
    <w:rsid w:val="001C5433"/>
    <w:rsid w:val="001C7A0C"/>
    <w:rsid w:val="001D7356"/>
    <w:rsid w:val="001E1409"/>
    <w:rsid w:val="001E59B5"/>
    <w:rsid w:val="001E6E8A"/>
    <w:rsid w:val="00200D1D"/>
    <w:rsid w:val="00201FD4"/>
    <w:rsid w:val="00203AC6"/>
    <w:rsid w:val="00203F42"/>
    <w:rsid w:val="00206158"/>
    <w:rsid w:val="00220C45"/>
    <w:rsid w:val="0022777B"/>
    <w:rsid w:val="00241ABC"/>
    <w:rsid w:val="002527C3"/>
    <w:rsid w:val="002614A0"/>
    <w:rsid w:val="002710EB"/>
    <w:rsid w:val="002755B8"/>
    <w:rsid w:val="00276C95"/>
    <w:rsid w:val="002A62B3"/>
    <w:rsid w:val="002A7A58"/>
    <w:rsid w:val="002C1EAB"/>
    <w:rsid w:val="002C3722"/>
    <w:rsid w:val="002C7C71"/>
    <w:rsid w:val="002D178B"/>
    <w:rsid w:val="002E1562"/>
    <w:rsid w:val="002E35BF"/>
    <w:rsid w:val="002E4D9F"/>
    <w:rsid w:val="002F70A2"/>
    <w:rsid w:val="00327DA9"/>
    <w:rsid w:val="00327E8B"/>
    <w:rsid w:val="00337DDA"/>
    <w:rsid w:val="00343C48"/>
    <w:rsid w:val="00360553"/>
    <w:rsid w:val="00361E0C"/>
    <w:rsid w:val="00366E34"/>
    <w:rsid w:val="00382975"/>
    <w:rsid w:val="003A0CC4"/>
    <w:rsid w:val="003A2B06"/>
    <w:rsid w:val="003A6456"/>
    <w:rsid w:val="003B7EFD"/>
    <w:rsid w:val="003C3043"/>
    <w:rsid w:val="003C79A0"/>
    <w:rsid w:val="003E0435"/>
    <w:rsid w:val="003E1C92"/>
    <w:rsid w:val="00411554"/>
    <w:rsid w:val="00416C51"/>
    <w:rsid w:val="004315E0"/>
    <w:rsid w:val="00432BB3"/>
    <w:rsid w:val="004362F6"/>
    <w:rsid w:val="00483374"/>
    <w:rsid w:val="004A02BF"/>
    <w:rsid w:val="004C5AC8"/>
    <w:rsid w:val="004E372C"/>
    <w:rsid w:val="004E4CB4"/>
    <w:rsid w:val="004F25BD"/>
    <w:rsid w:val="00513155"/>
    <w:rsid w:val="005134AB"/>
    <w:rsid w:val="005149B5"/>
    <w:rsid w:val="005246C4"/>
    <w:rsid w:val="005343EF"/>
    <w:rsid w:val="00542EBE"/>
    <w:rsid w:val="00543E05"/>
    <w:rsid w:val="0054433F"/>
    <w:rsid w:val="0054536D"/>
    <w:rsid w:val="00546C03"/>
    <w:rsid w:val="00546F1E"/>
    <w:rsid w:val="005550DE"/>
    <w:rsid w:val="0056355B"/>
    <w:rsid w:val="00573819"/>
    <w:rsid w:val="00576AFC"/>
    <w:rsid w:val="00576C30"/>
    <w:rsid w:val="00587F80"/>
    <w:rsid w:val="005948AA"/>
    <w:rsid w:val="005A00DD"/>
    <w:rsid w:val="005A24B0"/>
    <w:rsid w:val="005A4382"/>
    <w:rsid w:val="005A4EC7"/>
    <w:rsid w:val="005A69F5"/>
    <w:rsid w:val="005B0D1C"/>
    <w:rsid w:val="005B5D51"/>
    <w:rsid w:val="005C08B9"/>
    <w:rsid w:val="005D05AF"/>
    <w:rsid w:val="005D0A7E"/>
    <w:rsid w:val="005D5534"/>
    <w:rsid w:val="005E53C5"/>
    <w:rsid w:val="00606F78"/>
    <w:rsid w:val="00613507"/>
    <w:rsid w:val="00617030"/>
    <w:rsid w:val="00617BC7"/>
    <w:rsid w:val="006208B9"/>
    <w:rsid w:val="0062565D"/>
    <w:rsid w:val="006256D1"/>
    <w:rsid w:val="006442DD"/>
    <w:rsid w:val="00647DB4"/>
    <w:rsid w:val="0067393B"/>
    <w:rsid w:val="006835B2"/>
    <w:rsid w:val="00690A04"/>
    <w:rsid w:val="006957B3"/>
    <w:rsid w:val="0069592C"/>
    <w:rsid w:val="006A2B31"/>
    <w:rsid w:val="006A3935"/>
    <w:rsid w:val="006B1820"/>
    <w:rsid w:val="006E320E"/>
    <w:rsid w:val="006E547F"/>
    <w:rsid w:val="0070524E"/>
    <w:rsid w:val="00711218"/>
    <w:rsid w:val="00717544"/>
    <w:rsid w:val="007245A1"/>
    <w:rsid w:val="00742B45"/>
    <w:rsid w:val="007524FE"/>
    <w:rsid w:val="00757CFB"/>
    <w:rsid w:val="0076791E"/>
    <w:rsid w:val="0079014E"/>
    <w:rsid w:val="00791664"/>
    <w:rsid w:val="007950C3"/>
    <w:rsid w:val="0079545F"/>
    <w:rsid w:val="007A43FF"/>
    <w:rsid w:val="007D44D2"/>
    <w:rsid w:val="007D5F9E"/>
    <w:rsid w:val="007F2638"/>
    <w:rsid w:val="007F6FAD"/>
    <w:rsid w:val="00801749"/>
    <w:rsid w:val="008050F2"/>
    <w:rsid w:val="0080616F"/>
    <w:rsid w:val="00824605"/>
    <w:rsid w:val="00826455"/>
    <w:rsid w:val="00833F4A"/>
    <w:rsid w:val="0084164D"/>
    <w:rsid w:val="008434C1"/>
    <w:rsid w:val="008437AD"/>
    <w:rsid w:val="008450D5"/>
    <w:rsid w:val="00845FE4"/>
    <w:rsid w:val="00856320"/>
    <w:rsid w:val="008639B4"/>
    <w:rsid w:val="008661CA"/>
    <w:rsid w:val="0087186C"/>
    <w:rsid w:val="008722CA"/>
    <w:rsid w:val="00890D08"/>
    <w:rsid w:val="008923C7"/>
    <w:rsid w:val="008C1C0E"/>
    <w:rsid w:val="008C2B42"/>
    <w:rsid w:val="008D11B2"/>
    <w:rsid w:val="008D4C0E"/>
    <w:rsid w:val="008E1EC2"/>
    <w:rsid w:val="008E2DFE"/>
    <w:rsid w:val="008E5DC6"/>
    <w:rsid w:val="008F07B8"/>
    <w:rsid w:val="008F0CBE"/>
    <w:rsid w:val="00902F25"/>
    <w:rsid w:val="00905922"/>
    <w:rsid w:val="00914AAD"/>
    <w:rsid w:val="009342DB"/>
    <w:rsid w:val="00945640"/>
    <w:rsid w:val="00953949"/>
    <w:rsid w:val="009620E8"/>
    <w:rsid w:val="009629C6"/>
    <w:rsid w:val="00977A77"/>
    <w:rsid w:val="00980631"/>
    <w:rsid w:val="0098280F"/>
    <w:rsid w:val="00990EC2"/>
    <w:rsid w:val="00992B2C"/>
    <w:rsid w:val="009A1879"/>
    <w:rsid w:val="009A21F3"/>
    <w:rsid w:val="009A4168"/>
    <w:rsid w:val="009B38AD"/>
    <w:rsid w:val="009B6A63"/>
    <w:rsid w:val="009C08CC"/>
    <w:rsid w:val="009C1201"/>
    <w:rsid w:val="009C2EB3"/>
    <w:rsid w:val="009C4F5F"/>
    <w:rsid w:val="009D2D46"/>
    <w:rsid w:val="009D44DE"/>
    <w:rsid w:val="00A00F4D"/>
    <w:rsid w:val="00A040BD"/>
    <w:rsid w:val="00A16100"/>
    <w:rsid w:val="00A16F02"/>
    <w:rsid w:val="00A1770C"/>
    <w:rsid w:val="00A265EC"/>
    <w:rsid w:val="00A332BF"/>
    <w:rsid w:val="00A42B17"/>
    <w:rsid w:val="00A436B5"/>
    <w:rsid w:val="00A53663"/>
    <w:rsid w:val="00A73A52"/>
    <w:rsid w:val="00A73CF7"/>
    <w:rsid w:val="00A82870"/>
    <w:rsid w:val="00A90925"/>
    <w:rsid w:val="00AA13D2"/>
    <w:rsid w:val="00AB2720"/>
    <w:rsid w:val="00AB4C5A"/>
    <w:rsid w:val="00AC4A50"/>
    <w:rsid w:val="00AC5F27"/>
    <w:rsid w:val="00AD6D87"/>
    <w:rsid w:val="00AD78B1"/>
    <w:rsid w:val="00AE0E9C"/>
    <w:rsid w:val="00AF292E"/>
    <w:rsid w:val="00AF5BE0"/>
    <w:rsid w:val="00B01826"/>
    <w:rsid w:val="00B22F86"/>
    <w:rsid w:val="00B32CF5"/>
    <w:rsid w:val="00B3587A"/>
    <w:rsid w:val="00B431B5"/>
    <w:rsid w:val="00B44094"/>
    <w:rsid w:val="00B52313"/>
    <w:rsid w:val="00B52B3B"/>
    <w:rsid w:val="00B657D8"/>
    <w:rsid w:val="00B84B5A"/>
    <w:rsid w:val="00B935B0"/>
    <w:rsid w:val="00B972AD"/>
    <w:rsid w:val="00B97EEA"/>
    <w:rsid w:val="00BA076E"/>
    <w:rsid w:val="00BA149F"/>
    <w:rsid w:val="00BB2336"/>
    <w:rsid w:val="00BB6F8A"/>
    <w:rsid w:val="00BC4F12"/>
    <w:rsid w:val="00BD0108"/>
    <w:rsid w:val="00BE37A4"/>
    <w:rsid w:val="00BE71BD"/>
    <w:rsid w:val="00C04A27"/>
    <w:rsid w:val="00C052B9"/>
    <w:rsid w:val="00C064DA"/>
    <w:rsid w:val="00C1089A"/>
    <w:rsid w:val="00C1618B"/>
    <w:rsid w:val="00C23B70"/>
    <w:rsid w:val="00C330C8"/>
    <w:rsid w:val="00C34C66"/>
    <w:rsid w:val="00C41C25"/>
    <w:rsid w:val="00C61BA6"/>
    <w:rsid w:val="00C62ACD"/>
    <w:rsid w:val="00C70DAB"/>
    <w:rsid w:val="00C75E2D"/>
    <w:rsid w:val="00C820A3"/>
    <w:rsid w:val="00C838D1"/>
    <w:rsid w:val="00C85DBE"/>
    <w:rsid w:val="00C87956"/>
    <w:rsid w:val="00CA6C3E"/>
    <w:rsid w:val="00CB29C3"/>
    <w:rsid w:val="00CC213B"/>
    <w:rsid w:val="00CD1CDA"/>
    <w:rsid w:val="00CE0C0D"/>
    <w:rsid w:val="00CE1D40"/>
    <w:rsid w:val="00CE1DB2"/>
    <w:rsid w:val="00CF6712"/>
    <w:rsid w:val="00D2332F"/>
    <w:rsid w:val="00D30E3A"/>
    <w:rsid w:val="00D31772"/>
    <w:rsid w:val="00D32C3A"/>
    <w:rsid w:val="00D3667B"/>
    <w:rsid w:val="00D46080"/>
    <w:rsid w:val="00D54884"/>
    <w:rsid w:val="00D5715E"/>
    <w:rsid w:val="00D606A2"/>
    <w:rsid w:val="00D625C4"/>
    <w:rsid w:val="00D64505"/>
    <w:rsid w:val="00D85EAE"/>
    <w:rsid w:val="00D8649A"/>
    <w:rsid w:val="00D87281"/>
    <w:rsid w:val="00DA1088"/>
    <w:rsid w:val="00DB00E8"/>
    <w:rsid w:val="00DB0D7F"/>
    <w:rsid w:val="00DD22A4"/>
    <w:rsid w:val="00DD4D55"/>
    <w:rsid w:val="00DE4B72"/>
    <w:rsid w:val="00DE4D07"/>
    <w:rsid w:val="00DE5E6E"/>
    <w:rsid w:val="00E07619"/>
    <w:rsid w:val="00E13468"/>
    <w:rsid w:val="00E14482"/>
    <w:rsid w:val="00E2096D"/>
    <w:rsid w:val="00E23A94"/>
    <w:rsid w:val="00E3001C"/>
    <w:rsid w:val="00E40352"/>
    <w:rsid w:val="00E4436C"/>
    <w:rsid w:val="00E44CB0"/>
    <w:rsid w:val="00E47959"/>
    <w:rsid w:val="00E65EC9"/>
    <w:rsid w:val="00E710CD"/>
    <w:rsid w:val="00E740F7"/>
    <w:rsid w:val="00E745CE"/>
    <w:rsid w:val="00E81BF1"/>
    <w:rsid w:val="00E8467B"/>
    <w:rsid w:val="00E851A7"/>
    <w:rsid w:val="00E86DC0"/>
    <w:rsid w:val="00E9060D"/>
    <w:rsid w:val="00E957AD"/>
    <w:rsid w:val="00E959F4"/>
    <w:rsid w:val="00EA2610"/>
    <w:rsid w:val="00EC18E2"/>
    <w:rsid w:val="00ED0526"/>
    <w:rsid w:val="00ED47D6"/>
    <w:rsid w:val="00EE1477"/>
    <w:rsid w:val="00EE439C"/>
    <w:rsid w:val="00EF12AB"/>
    <w:rsid w:val="00EF244B"/>
    <w:rsid w:val="00F17853"/>
    <w:rsid w:val="00F35490"/>
    <w:rsid w:val="00F42459"/>
    <w:rsid w:val="00F451B3"/>
    <w:rsid w:val="00F61BCE"/>
    <w:rsid w:val="00F63828"/>
    <w:rsid w:val="00F65359"/>
    <w:rsid w:val="00F66C26"/>
    <w:rsid w:val="00F70561"/>
    <w:rsid w:val="00F7106E"/>
    <w:rsid w:val="00F92009"/>
    <w:rsid w:val="00F93ED8"/>
    <w:rsid w:val="00FA77A2"/>
    <w:rsid w:val="00FB1382"/>
    <w:rsid w:val="00FC0797"/>
    <w:rsid w:val="00FE0F69"/>
    <w:rsid w:val="00FF4C78"/>
    <w:rsid w:val="03706F42"/>
    <w:rsid w:val="08CF719C"/>
    <w:rsid w:val="0FD73403"/>
    <w:rsid w:val="151176A2"/>
    <w:rsid w:val="1A716647"/>
    <w:rsid w:val="229D7B7D"/>
    <w:rsid w:val="240E5E9B"/>
    <w:rsid w:val="28A54E8A"/>
    <w:rsid w:val="28BC6CD3"/>
    <w:rsid w:val="2A0F17AC"/>
    <w:rsid w:val="2C5839CA"/>
    <w:rsid w:val="34F13DBE"/>
    <w:rsid w:val="43D2106B"/>
    <w:rsid w:val="440C5717"/>
    <w:rsid w:val="449A5B9E"/>
    <w:rsid w:val="47263A92"/>
    <w:rsid w:val="55090685"/>
    <w:rsid w:val="59BC51AD"/>
    <w:rsid w:val="5D584C1D"/>
    <w:rsid w:val="5E5B4F19"/>
    <w:rsid w:val="60613893"/>
    <w:rsid w:val="677677E6"/>
    <w:rsid w:val="6A315D6D"/>
    <w:rsid w:val="6CD75CA7"/>
    <w:rsid w:val="75814E70"/>
    <w:rsid w:val="7B070120"/>
    <w:rsid w:val="7BBE26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keepNext/>
      <w:keepLines/>
      <w:numPr>
        <w:ilvl w:val="0"/>
        <w:numId w:val="1"/>
      </w:numPr>
      <w:spacing w:before="120" w:after="120" w:line="360" w:lineRule="auto"/>
      <w:jc w:val="center"/>
      <w:outlineLvl w:val="0"/>
    </w:pPr>
    <w:rPr>
      <w:rFonts w:ascii="黑体" w:eastAsia="黑体"/>
      <w:b/>
      <w:kern w:val="44"/>
      <w:sz w:val="32"/>
      <w:szCs w:val="20"/>
      <w:lang w:val="zh-CN"/>
    </w:rPr>
  </w:style>
  <w:style w:type="paragraph" w:styleId="3">
    <w:name w:val="heading 2"/>
    <w:basedOn w:val="1"/>
    <w:next w:val="1"/>
    <w:link w:val="2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9"/>
    <w:qFormat/>
    <w:uiPriority w:val="0"/>
    <w:pPr>
      <w:numPr>
        <w:ilvl w:val="2"/>
        <w:numId w:val="1"/>
      </w:numPr>
      <w:spacing w:line="300" w:lineRule="auto"/>
      <w:outlineLvl w:val="2"/>
    </w:pPr>
    <w:rPr>
      <w:rFonts w:ascii="Arial" w:hAnsi="Arial" w:eastAsia="仿宋_GB2312"/>
      <w:b/>
      <w:sz w:val="24"/>
      <w:szCs w:val="20"/>
      <w:lang w:val="zh-CN"/>
    </w:rPr>
  </w:style>
  <w:style w:type="paragraph" w:styleId="5">
    <w:name w:val="heading 4"/>
    <w:basedOn w:val="1"/>
    <w:next w:val="1"/>
    <w:link w:val="30"/>
    <w:qFormat/>
    <w:uiPriority w:val="0"/>
    <w:pPr>
      <w:keepNext/>
      <w:keepLines/>
      <w:numPr>
        <w:ilvl w:val="3"/>
        <w:numId w:val="1"/>
      </w:numPr>
      <w:spacing w:line="360" w:lineRule="auto"/>
      <w:outlineLvl w:val="3"/>
    </w:pPr>
    <w:rPr>
      <w:rFonts w:ascii="Arial" w:hAnsi="Arial" w:eastAsia="仿宋_GB2312"/>
      <w:sz w:val="24"/>
      <w:szCs w:val="20"/>
      <w:lang w:val="zh-CN"/>
    </w:rPr>
  </w:style>
  <w:style w:type="paragraph" w:styleId="6">
    <w:name w:val="heading 5"/>
    <w:basedOn w:val="1"/>
    <w:next w:val="1"/>
    <w:link w:val="31"/>
    <w:qFormat/>
    <w:uiPriority w:val="0"/>
    <w:pPr>
      <w:numPr>
        <w:ilvl w:val="4"/>
        <w:numId w:val="1"/>
      </w:numPr>
      <w:spacing w:line="360" w:lineRule="auto"/>
      <w:outlineLvl w:val="4"/>
    </w:pPr>
    <w:rPr>
      <w:rFonts w:ascii="Arial" w:hAnsi="Arial" w:eastAsia="仿宋_GB2312"/>
      <w:sz w:val="24"/>
      <w:szCs w:val="20"/>
      <w:lang w:val="zh-CN"/>
    </w:rPr>
  </w:style>
  <w:style w:type="paragraph" w:styleId="7">
    <w:name w:val="heading 6"/>
    <w:basedOn w:val="1"/>
    <w:next w:val="1"/>
    <w:link w:val="32"/>
    <w:qFormat/>
    <w:uiPriority w:val="0"/>
    <w:pPr>
      <w:numPr>
        <w:ilvl w:val="5"/>
        <w:numId w:val="1"/>
      </w:numPr>
      <w:spacing w:line="300" w:lineRule="auto"/>
      <w:outlineLvl w:val="5"/>
    </w:pPr>
    <w:rPr>
      <w:rFonts w:ascii="Arial" w:hAnsi="Arial" w:eastAsia="仿宋_GB2312"/>
      <w:sz w:val="24"/>
      <w:szCs w:val="20"/>
      <w:lang w:val="zh-CN"/>
    </w:rPr>
  </w:style>
  <w:style w:type="paragraph" w:styleId="8">
    <w:name w:val="heading 7"/>
    <w:basedOn w:val="1"/>
    <w:next w:val="9"/>
    <w:link w:val="33"/>
    <w:qFormat/>
    <w:uiPriority w:val="0"/>
    <w:pPr>
      <w:keepNext/>
      <w:keepLines/>
      <w:numPr>
        <w:ilvl w:val="6"/>
        <w:numId w:val="1"/>
      </w:numPr>
      <w:spacing w:line="360" w:lineRule="auto"/>
      <w:outlineLvl w:val="6"/>
    </w:pPr>
    <w:rPr>
      <w:rFonts w:ascii="仿宋_GB2312" w:eastAsia="仿宋_GB2312"/>
      <w:sz w:val="24"/>
      <w:szCs w:val="20"/>
      <w:lang w:val="zh-CN"/>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36"/>
    <w:qFormat/>
    <w:uiPriority w:val="99"/>
    <w:pPr>
      <w:ind w:firstLine="420" w:firstLineChars="200"/>
    </w:pPr>
    <w:rPr>
      <w:rFonts w:ascii="Calibri" w:hAnsi="Calibri"/>
    </w:rPr>
  </w:style>
  <w:style w:type="paragraph" w:styleId="10">
    <w:name w:val="annotation text"/>
    <w:basedOn w:val="1"/>
    <w:link w:val="39"/>
    <w:semiHidden/>
    <w:unhideWhenUsed/>
    <w:qFormat/>
    <w:uiPriority w:val="99"/>
    <w:pPr>
      <w:jc w:val="left"/>
    </w:pPr>
  </w:style>
  <w:style w:type="paragraph" w:styleId="11">
    <w:name w:val="Body Text Indent"/>
    <w:basedOn w:val="1"/>
    <w:link w:val="35"/>
    <w:qFormat/>
    <w:uiPriority w:val="0"/>
    <w:pPr>
      <w:spacing w:line="360" w:lineRule="auto"/>
      <w:ind w:firstLine="359" w:firstLineChars="171"/>
    </w:pPr>
    <w:rPr>
      <w:lang w:val="zh-CN"/>
    </w:rPr>
  </w:style>
  <w:style w:type="paragraph" w:styleId="12">
    <w:name w:val="Body Text Indent 2"/>
    <w:basedOn w:val="1"/>
    <w:link w:val="34"/>
    <w:qFormat/>
    <w:uiPriority w:val="0"/>
    <w:pPr>
      <w:spacing w:line="360" w:lineRule="auto"/>
      <w:ind w:firstLine="480"/>
      <w:outlineLvl w:val="0"/>
    </w:pPr>
    <w:rPr>
      <w:rFonts w:ascii="仿宋_GB2312" w:hAnsi="Calibri" w:eastAsia="仿宋_GB2312"/>
      <w:sz w:val="24"/>
      <w:szCs w:val="20"/>
    </w:rPr>
  </w:style>
  <w:style w:type="paragraph" w:styleId="13">
    <w:name w:val="Balloon Text"/>
    <w:basedOn w:val="1"/>
    <w:link w:val="38"/>
    <w:semiHidden/>
    <w:unhideWhenUsed/>
    <w:qFormat/>
    <w:uiPriority w:val="99"/>
    <w:rPr>
      <w:sz w:val="18"/>
      <w:szCs w:val="18"/>
    </w:rPr>
  </w:style>
  <w:style w:type="paragraph" w:styleId="14">
    <w:name w:val="footer"/>
    <w:basedOn w:val="1"/>
    <w:link w:val="26"/>
    <w:unhideWhenUsed/>
    <w:qFormat/>
    <w:uiPriority w:val="0"/>
    <w:pPr>
      <w:tabs>
        <w:tab w:val="center" w:pos="4153"/>
        <w:tab w:val="right" w:pos="8306"/>
      </w:tabs>
      <w:snapToGrid w:val="0"/>
      <w:jc w:val="left"/>
    </w:pPr>
    <w:rPr>
      <w:sz w:val="18"/>
      <w:szCs w:val="18"/>
    </w:rPr>
  </w:style>
  <w:style w:type="paragraph" w:styleId="15">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toc 2"/>
    <w:basedOn w:val="1"/>
    <w:next w:val="1"/>
    <w:unhideWhenUsed/>
    <w:qFormat/>
    <w:uiPriority w:val="39"/>
    <w:pPr>
      <w:ind w:left="420" w:leftChars="200"/>
    </w:p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9">
    <w:name w:val="annotation subject"/>
    <w:basedOn w:val="10"/>
    <w:next w:val="10"/>
    <w:link w:val="40"/>
    <w:semiHidden/>
    <w:unhideWhenUsed/>
    <w:qFormat/>
    <w:uiPriority w:val="99"/>
    <w:rPr>
      <w:b/>
      <w:bCs/>
    </w:rPr>
  </w:style>
  <w:style w:type="character" w:styleId="22">
    <w:name w:val="page number"/>
    <w:basedOn w:val="21"/>
    <w:qFormat/>
    <w:uiPriority w:val="0"/>
  </w:style>
  <w:style w:type="character" w:styleId="23">
    <w:name w:val="Hyperlink"/>
    <w:qFormat/>
    <w:uiPriority w:val="99"/>
    <w:rPr>
      <w:color w:val="0000FF"/>
      <w:u w:val="single"/>
    </w:rPr>
  </w:style>
  <w:style w:type="character" w:styleId="24">
    <w:name w:val="annotation reference"/>
    <w:basedOn w:val="21"/>
    <w:semiHidden/>
    <w:unhideWhenUsed/>
    <w:qFormat/>
    <w:uiPriority w:val="99"/>
    <w:rPr>
      <w:sz w:val="21"/>
      <w:szCs w:val="21"/>
    </w:rPr>
  </w:style>
  <w:style w:type="character" w:customStyle="1" w:styleId="25">
    <w:name w:val="页眉 字符"/>
    <w:basedOn w:val="21"/>
    <w:link w:val="15"/>
    <w:qFormat/>
    <w:uiPriority w:val="0"/>
    <w:rPr>
      <w:sz w:val="18"/>
      <w:szCs w:val="18"/>
    </w:rPr>
  </w:style>
  <w:style w:type="character" w:customStyle="1" w:styleId="26">
    <w:name w:val="页脚 字符"/>
    <w:basedOn w:val="21"/>
    <w:link w:val="14"/>
    <w:qFormat/>
    <w:uiPriority w:val="99"/>
    <w:rPr>
      <w:sz w:val="18"/>
      <w:szCs w:val="18"/>
    </w:rPr>
  </w:style>
  <w:style w:type="character" w:customStyle="1" w:styleId="27">
    <w:name w:val="标题 1 字符"/>
    <w:basedOn w:val="21"/>
    <w:link w:val="2"/>
    <w:qFormat/>
    <w:uiPriority w:val="0"/>
    <w:rPr>
      <w:rFonts w:ascii="黑体" w:hAnsi="Times New Roman" w:eastAsia="黑体" w:cs="Times New Roman"/>
      <w:b/>
      <w:kern w:val="44"/>
      <w:sz w:val="32"/>
      <w:szCs w:val="20"/>
      <w:lang w:val="zh-CN" w:eastAsia="zh-CN"/>
    </w:rPr>
  </w:style>
  <w:style w:type="character" w:customStyle="1" w:styleId="28">
    <w:name w:val="标题 2 字符"/>
    <w:basedOn w:val="21"/>
    <w:link w:val="3"/>
    <w:qFormat/>
    <w:uiPriority w:val="0"/>
    <w:rPr>
      <w:rFonts w:ascii="Arial" w:hAnsi="Arial" w:eastAsia="黑体" w:cs="Times New Roman"/>
      <w:b/>
      <w:bCs/>
      <w:sz w:val="32"/>
      <w:szCs w:val="32"/>
    </w:rPr>
  </w:style>
  <w:style w:type="character" w:customStyle="1" w:styleId="29">
    <w:name w:val="标题 3 字符"/>
    <w:basedOn w:val="21"/>
    <w:link w:val="4"/>
    <w:qFormat/>
    <w:uiPriority w:val="0"/>
    <w:rPr>
      <w:rFonts w:ascii="Arial" w:hAnsi="Arial" w:eastAsia="仿宋_GB2312" w:cs="Times New Roman"/>
      <w:b/>
      <w:sz w:val="24"/>
      <w:szCs w:val="20"/>
      <w:lang w:val="zh-CN" w:eastAsia="zh-CN"/>
    </w:rPr>
  </w:style>
  <w:style w:type="character" w:customStyle="1" w:styleId="30">
    <w:name w:val="标题 4 字符"/>
    <w:basedOn w:val="21"/>
    <w:link w:val="5"/>
    <w:qFormat/>
    <w:uiPriority w:val="0"/>
    <w:rPr>
      <w:rFonts w:ascii="Arial" w:hAnsi="Arial" w:eastAsia="仿宋_GB2312" w:cs="Times New Roman"/>
      <w:sz w:val="24"/>
      <w:szCs w:val="20"/>
      <w:lang w:val="zh-CN" w:eastAsia="zh-CN"/>
    </w:rPr>
  </w:style>
  <w:style w:type="character" w:customStyle="1" w:styleId="31">
    <w:name w:val="标题 5 字符"/>
    <w:basedOn w:val="21"/>
    <w:link w:val="6"/>
    <w:qFormat/>
    <w:uiPriority w:val="0"/>
    <w:rPr>
      <w:rFonts w:ascii="Arial" w:hAnsi="Arial" w:eastAsia="仿宋_GB2312" w:cs="Times New Roman"/>
      <w:sz w:val="24"/>
      <w:szCs w:val="20"/>
      <w:lang w:val="zh-CN" w:eastAsia="zh-CN"/>
    </w:rPr>
  </w:style>
  <w:style w:type="character" w:customStyle="1" w:styleId="32">
    <w:name w:val="标题 6 字符"/>
    <w:basedOn w:val="21"/>
    <w:link w:val="7"/>
    <w:qFormat/>
    <w:uiPriority w:val="0"/>
    <w:rPr>
      <w:rFonts w:ascii="Arial" w:hAnsi="Arial" w:eastAsia="仿宋_GB2312" w:cs="Times New Roman"/>
      <w:sz w:val="24"/>
      <w:szCs w:val="20"/>
      <w:lang w:val="zh-CN" w:eastAsia="zh-CN"/>
    </w:rPr>
  </w:style>
  <w:style w:type="character" w:customStyle="1" w:styleId="33">
    <w:name w:val="标题 7 字符"/>
    <w:basedOn w:val="21"/>
    <w:link w:val="8"/>
    <w:qFormat/>
    <w:uiPriority w:val="0"/>
    <w:rPr>
      <w:rFonts w:ascii="仿宋_GB2312" w:hAnsi="Times New Roman" w:eastAsia="仿宋_GB2312" w:cs="Times New Roman"/>
      <w:sz w:val="24"/>
      <w:szCs w:val="20"/>
      <w:lang w:val="zh-CN" w:eastAsia="zh-CN"/>
    </w:rPr>
  </w:style>
  <w:style w:type="character" w:customStyle="1" w:styleId="34">
    <w:name w:val="正文文本缩进 2 字符"/>
    <w:basedOn w:val="21"/>
    <w:link w:val="12"/>
    <w:qFormat/>
    <w:uiPriority w:val="0"/>
    <w:rPr>
      <w:rFonts w:ascii="仿宋_GB2312" w:hAnsi="Calibri" w:eastAsia="仿宋_GB2312" w:cs="Times New Roman"/>
      <w:sz w:val="24"/>
      <w:szCs w:val="20"/>
    </w:rPr>
  </w:style>
  <w:style w:type="character" w:customStyle="1" w:styleId="35">
    <w:name w:val="正文文本缩进 字符"/>
    <w:basedOn w:val="21"/>
    <w:link w:val="11"/>
    <w:qFormat/>
    <w:uiPriority w:val="0"/>
    <w:rPr>
      <w:rFonts w:ascii="Times New Roman" w:hAnsi="Times New Roman" w:eastAsia="宋体" w:cs="Times New Roman"/>
      <w:szCs w:val="24"/>
      <w:lang w:val="zh-CN" w:eastAsia="zh-CN"/>
    </w:rPr>
  </w:style>
  <w:style w:type="character" w:customStyle="1" w:styleId="36">
    <w:name w:val="正文缩进 字符"/>
    <w:link w:val="9"/>
    <w:qFormat/>
    <w:uiPriority w:val="99"/>
    <w:rPr>
      <w:rFonts w:ascii="Calibri" w:hAnsi="Calibri" w:eastAsia="宋体" w:cs="Times New Roman"/>
      <w:szCs w:val="24"/>
    </w:rPr>
  </w:style>
  <w:style w:type="paragraph" w:customStyle="1" w:styleId="37">
    <w:name w:val="正文正文"/>
    <w:basedOn w:val="1"/>
    <w:qFormat/>
    <w:uiPriority w:val="99"/>
    <w:pPr>
      <w:spacing w:after="25" w:afterLines="25" w:line="360" w:lineRule="auto"/>
      <w:ind w:firstLine="200" w:firstLineChars="200"/>
    </w:pPr>
    <w:rPr>
      <w:sz w:val="24"/>
    </w:rPr>
  </w:style>
  <w:style w:type="character" w:customStyle="1" w:styleId="38">
    <w:name w:val="批注框文本 字符"/>
    <w:basedOn w:val="21"/>
    <w:link w:val="13"/>
    <w:semiHidden/>
    <w:qFormat/>
    <w:uiPriority w:val="99"/>
    <w:rPr>
      <w:rFonts w:ascii="Times New Roman" w:hAnsi="Times New Roman" w:eastAsia="宋体" w:cs="Times New Roman"/>
      <w:sz w:val="18"/>
      <w:szCs w:val="18"/>
    </w:rPr>
  </w:style>
  <w:style w:type="character" w:customStyle="1" w:styleId="39">
    <w:name w:val="批注文字 字符"/>
    <w:basedOn w:val="21"/>
    <w:link w:val="10"/>
    <w:semiHidden/>
    <w:qFormat/>
    <w:uiPriority w:val="99"/>
    <w:rPr>
      <w:rFonts w:ascii="Times New Roman" w:hAnsi="Times New Roman" w:eastAsia="宋体" w:cs="Times New Roman"/>
      <w:szCs w:val="24"/>
    </w:rPr>
  </w:style>
  <w:style w:type="character" w:customStyle="1" w:styleId="40">
    <w:name w:val="批注主题 字符"/>
    <w:basedOn w:val="39"/>
    <w:link w:val="19"/>
    <w:semiHidden/>
    <w:qFormat/>
    <w:uiPriority w:val="99"/>
    <w:rPr>
      <w:rFonts w:ascii="Times New Roman" w:hAnsi="Times New Roman" w:eastAsia="宋体" w:cs="Times New Roman"/>
      <w:b/>
      <w:bCs/>
      <w:szCs w:val="24"/>
    </w:rPr>
  </w:style>
  <w:style w:type="paragraph" w:styleId="41">
    <w:name w:val="List Paragraph"/>
    <w:basedOn w:val="1"/>
    <w:qFormat/>
    <w:uiPriority w:val="99"/>
    <w:pPr>
      <w:ind w:firstLine="420" w:firstLineChars="200"/>
    </w:pPr>
  </w:style>
  <w:style w:type="paragraph" w:customStyle="1" w:styleId="42">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43">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3F48A6-DA04-49FA-A68D-403AD3589AC1}">
  <ds:schemaRefs/>
</ds:datastoreItem>
</file>

<file path=docProps/app.xml><?xml version="1.0" encoding="utf-8"?>
<Properties xmlns="http://schemas.openxmlformats.org/officeDocument/2006/extended-properties" xmlns:vt="http://schemas.openxmlformats.org/officeDocument/2006/docPropsVTypes">
  <Template>Normal.dotm</Template>
  <Pages>51</Pages>
  <Words>4952</Words>
  <Characters>28232</Characters>
  <Lines>235</Lines>
  <Paragraphs>66</Paragraphs>
  <TotalTime>8</TotalTime>
  <ScaleCrop>false</ScaleCrop>
  <LinksUpToDate>false</LinksUpToDate>
  <CharactersWithSpaces>33118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2022-09-09T09:00:00Z</dcterms:created>
  <dc:creator>Administrator</dc:creator>
  <cp:lastModifiedBy>LiuYunpeng</cp:lastModifiedBy>
  <cp:lastPrinted>2022-01-07T02:24:00Z</cp:lastPrinted>
  <dcterms:modified xsi:type="dcterms:W3CDTF">2022-11-09T07:52:51Z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