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5D" w:rsidRDefault="005F0B5D">
      <w:pPr>
        <w:rPr>
          <w:szCs w:val="21"/>
        </w:rPr>
      </w:pPr>
      <w:bookmarkStart w:id="0" w:name="_GoBack"/>
      <w:bookmarkEnd w:id="0"/>
    </w:p>
    <w:p w:rsidR="005F0B5D" w:rsidRDefault="00086EB6">
      <w:pPr>
        <w:pStyle w:val="a0"/>
        <w:ind w:right="420" w:firstLineChars="1850" w:firstLine="5200"/>
        <w:rPr>
          <w:b/>
          <w:sz w:val="28"/>
          <w:szCs w:val="28"/>
        </w:rPr>
      </w:pPr>
      <w:r>
        <w:rPr>
          <w:rFonts w:hint="eastAsia"/>
          <w:b/>
          <w:sz w:val="28"/>
          <w:szCs w:val="28"/>
        </w:rPr>
        <w:t>编号：</w:t>
      </w:r>
    </w:p>
    <w:p w:rsidR="005F0B5D" w:rsidRDefault="00086EB6">
      <w:pPr>
        <w:rPr>
          <w:szCs w:val="21"/>
        </w:rPr>
      </w:pPr>
      <w:r>
        <w:rPr>
          <w:szCs w:val="21"/>
        </w:rPr>
        <w:t xml:space="preserve"> </w:t>
      </w:r>
    </w:p>
    <w:p w:rsidR="005F0B5D" w:rsidRDefault="005F0B5D">
      <w:pPr>
        <w:pStyle w:val="a0"/>
        <w:ind w:firstLine="420"/>
      </w:pPr>
    </w:p>
    <w:p w:rsidR="005F0B5D" w:rsidRDefault="005F0B5D">
      <w:pPr>
        <w:pStyle w:val="a0"/>
        <w:ind w:firstLine="420"/>
      </w:pPr>
    </w:p>
    <w:p w:rsidR="005F0B5D" w:rsidRDefault="005F0B5D">
      <w:pPr>
        <w:pStyle w:val="a0"/>
        <w:ind w:firstLine="420"/>
      </w:pPr>
    </w:p>
    <w:p w:rsidR="005F0B5D" w:rsidRDefault="005F0B5D">
      <w:pPr>
        <w:pStyle w:val="a0"/>
        <w:ind w:firstLine="420"/>
      </w:pPr>
    </w:p>
    <w:p w:rsidR="005F0B5D" w:rsidRDefault="00086EB6">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5F0B5D" w:rsidRDefault="00086EB6">
      <w:pPr>
        <w:rPr>
          <w:szCs w:val="21"/>
        </w:rPr>
      </w:pPr>
      <w:r>
        <w:rPr>
          <w:szCs w:val="21"/>
        </w:rPr>
        <w:t xml:space="preserve"> </w:t>
      </w:r>
    </w:p>
    <w:p w:rsidR="005F0B5D" w:rsidRDefault="005F0B5D">
      <w:pPr>
        <w:rPr>
          <w:szCs w:val="21"/>
        </w:rPr>
      </w:pPr>
    </w:p>
    <w:p w:rsidR="005F0B5D" w:rsidRDefault="00086EB6" w:rsidP="000F242B">
      <w:pPr>
        <w:pStyle w:val="a0"/>
        <w:ind w:firstLine="883"/>
        <w:jc w:val="center"/>
        <w:rPr>
          <w:rFonts w:ascii="黑体" w:eastAsia="黑体" w:hAnsi="黑体"/>
          <w:b/>
          <w:sz w:val="44"/>
          <w:szCs w:val="44"/>
        </w:rPr>
      </w:pPr>
      <w:r>
        <w:rPr>
          <w:rFonts w:ascii="黑体" w:eastAsia="黑体" w:hAnsi="黑体" w:hint="eastAsia"/>
          <w:b/>
          <w:bCs/>
          <w:sz w:val="44"/>
          <w:szCs w:val="44"/>
        </w:rPr>
        <w:t>浦发银行</w:t>
      </w:r>
      <w:proofErr w:type="gramStart"/>
      <w:r>
        <w:rPr>
          <w:rFonts w:ascii="黑体" w:eastAsia="黑体" w:hAnsi="黑体" w:hint="eastAsia"/>
          <w:b/>
          <w:bCs/>
          <w:sz w:val="44"/>
          <w:szCs w:val="44"/>
        </w:rPr>
        <w:t>鑫</w:t>
      </w:r>
      <w:proofErr w:type="gramEnd"/>
      <w:r>
        <w:rPr>
          <w:rFonts w:ascii="黑体" w:eastAsia="黑体" w:hAnsi="黑体" w:hint="eastAsia"/>
          <w:b/>
          <w:bCs/>
          <w:sz w:val="44"/>
          <w:szCs w:val="44"/>
        </w:rPr>
        <w:t>盈利系列1年定开12号</w:t>
      </w:r>
    </w:p>
    <w:p w:rsidR="005F0B5D" w:rsidRDefault="00086EB6">
      <w:pPr>
        <w:jc w:val="center"/>
        <w:rPr>
          <w:rFonts w:ascii="黑体" w:eastAsia="黑体" w:hAnsi="黑体"/>
          <w:b/>
          <w:sz w:val="44"/>
          <w:szCs w:val="44"/>
        </w:rPr>
      </w:pPr>
      <w:r>
        <w:rPr>
          <w:rFonts w:ascii="黑体" w:eastAsia="黑体" w:hAnsi="黑体" w:hint="eastAsia"/>
          <w:b/>
          <w:sz w:val="44"/>
          <w:szCs w:val="44"/>
        </w:rPr>
        <w:t>理财产品托管协议</w:t>
      </w:r>
    </w:p>
    <w:p w:rsidR="005F0B5D" w:rsidRDefault="005F0B5D">
      <w:pPr>
        <w:rPr>
          <w:szCs w:val="21"/>
        </w:rPr>
      </w:pPr>
    </w:p>
    <w:p w:rsidR="005F0B5D" w:rsidRDefault="005F0B5D">
      <w:pPr>
        <w:rPr>
          <w:szCs w:val="21"/>
        </w:rPr>
      </w:pPr>
    </w:p>
    <w:p w:rsidR="005F0B5D" w:rsidRDefault="00086EB6">
      <w:pPr>
        <w:rPr>
          <w:szCs w:val="21"/>
        </w:rPr>
      </w:pPr>
      <w:r>
        <w:rPr>
          <w:szCs w:val="21"/>
        </w:rPr>
        <w:t xml:space="preserve"> </w:t>
      </w:r>
    </w:p>
    <w:p w:rsidR="005F0B5D" w:rsidRDefault="005F0B5D">
      <w:pPr>
        <w:rPr>
          <w:szCs w:val="21"/>
        </w:rPr>
      </w:pPr>
    </w:p>
    <w:p w:rsidR="005F0B5D" w:rsidRDefault="005F0B5D">
      <w:pPr>
        <w:pStyle w:val="a0"/>
        <w:ind w:firstLine="420"/>
      </w:pPr>
    </w:p>
    <w:p w:rsidR="005F0B5D" w:rsidRDefault="005F0B5D">
      <w:pPr>
        <w:pStyle w:val="a0"/>
        <w:ind w:firstLine="420"/>
      </w:pPr>
    </w:p>
    <w:p w:rsidR="005F0B5D" w:rsidRDefault="005F0B5D">
      <w:pPr>
        <w:pStyle w:val="a0"/>
        <w:ind w:firstLine="420"/>
      </w:pPr>
    </w:p>
    <w:p w:rsidR="005F0B5D" w:rsidRDefault="005F0B5D">
      <w:pPr>
        <w:rPr>
          <w:szCs w:val="21"/>
        </w:rPr>
      </w:pPr>
    </w:p>
    <w:p w:rsidR="005F0B5D" w:rsidRDefault="005F0B5D">
      <w:pPr>
        <w:rPr>
          <w:szCs w:val="21"/>
        </w:rPr>
      </w:pPr>
    </w:p>
    <w:p w:rsidR="005F0B5D" w:rsidRDefault="00086EB6">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5F0B5D" w:rsidRDefault="005F0B5D">
      <w:pPr>
        <w:pStyle w:val="a0"/>
        <w:ind w:firstLine="420"/>
      </w:pPr>
    </w:p>
    <w:p w:rsidR="005F0B5D" w:rsidRDefault="00086EB6">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4" w:history="1">
        <w:r w:rsidR="00086EB6">
          <w:rPr>
            <w:rStyle w:val="ab"/>
          </w:rPr>
          <w:t>第二条 双方的权利和义务</w:t>
        </w:r>
        <w:r w:rsidR="00086EB6">
          <w:tab/>
        </w:r>
        <w:r w:rsidR="00086EB6">
          <w:fldChar w:fldCharType="begin"/>
        </w:r>
        <w:r w:rsidR="00086EB6">
          <w:instrText xml:space="preserve"> PAGEREF _Toc23103154 \h </w:instrText>
        </w:r>
        <w:r w:rsidR="00086EB6">
          <w:fldChar w:fldCharType="separate"/>
        </w:r>
        <w:r w:rsidR="00086EB6">
          <w:t>3</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5" w:history="1">
        <w:r w:rsidR="00086EB6">
          <w:rPr>
            <w:rStyle w:val="ab"/>
          </w:rPr>
          <w:t>第三条 托管资产保管</w:t>
        </w:r>
        <w:r w:rsidR="00086EB6">
          <w:tab/>
        </w:r>
        <w:r w:rsidR="00086EB6">
          <w:fldChar w:fldCharType="begin"/>
        </w:r>
        <w:r w:rsidR="00086EB6">
          <w:instrText xml:space="preserve"> PAGEREF _Toc23103155 \h </w:instrText>
        </w:r>
        <w:r w:rsidR="00086EB6">
          <w:fldChar w:fldCharType="separate"/>
        </w:r>
        <w:r w:rsidR="00086EB6">
          <w:t>5</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6" w:history="1">
        <w:r w:rsidR="00086EB6">
          <w:rPr>
            <w:rStyle w:val="ab"/>
          </w:rPr>
          <w:t>第四条 指令的发送、确认及执行</w:t>
        </w:r>
        <w:r w:rsidR="00086EB6">
          <w:tab/>
        </w:r>
        <w:r w:rsidR="00086EB6">
          <w:fldChar w:fldCharType="begin"/>
        </w:r>
        <w:r w:rsidR="00086EB6">
          <w:instrText xml:space="preserve"> PAGEREF _Toc23103156 \h </w:instrText>
        </w:r>
        <w:r w:rsidR="00086EB6">
          <w:fldChar w:fldCharType="separate"/>
        </w:r>
        <w:r w:rsidR="00086EB6">
          <w:t>7</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7" w:history="1">
        <w:r w:rsidR="00086EB6">
          <w:rPr>
            <w:rStyle w:val="ab"/>
          </w:rPr>
          <w:t>第五条 理财产品的会计核算</w:t>
        </w:r>
        <w:r w:rsidR="00086EB6">
          <w:tab/>
        </w:r>
        <w:r w:rsidR="00086EB6">
          <w:fldChar w:fldCharType="begin"/>
        </w:r>
        <w:r w:rsidR="00086EB6">
          <w:instrText xml:space="preserve"> PAGEREF _Toc23103157 \h </w:instrText>
        </w:r>
        <w:r w:rsidR="00086EB6">
          <w:fldChar w:fldCharType="separate"/>
        </w:r>
        <w:r w:rsidR="00086EB6">
          <w:t>9</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8" w:history="1">
        <w:r w:rsidR="00086EB6">
          <w:rPr>
            <w:rStyle w:val="ab"/>
          </w:rPr>
          <w:t>第六条 理财产品信息披露和报告</w:t>
        </w:r>
        <w:r w:rsidR="00086EB6">
          <w:tab/>
        </w:r>
        <w:r w:rsidR="00086EB6">
          <w:fldChar w:fldCharType="begin"/>
        </w:r>
        <w:r w:rsidR="00086EB6">
          <w:instrText xml:space="preserve"> PAGEREF _Toc23103158 \h </w:instrText>
        </w:r>
        <w:r w:rsidR="00086EB6">
          <w:fldChar w:fldCharType="separate"/>
        </w:r>
        <w:r w:rsidR="00086EB6">
          <w:t>12</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59" w:history="1">
        <w:r w:rsidR="00086EB6">
          <w:rPr>
            <w:rStyle w:val="ab"/>
          </w:rPr>
          <w:t>第七条 监督责任</w:t>
        </w:r>
        <w:r w:rsidR="00086EB6">
          <w:tab/>
        </w:r>
        <w:r w:rsidR="00086EB6">
          <w:fldChar w:fldCharType="begin"/>
        </w:r>
        <w:r w:rsidR="00086EB6">
          <w:instrText xml:space="preserve"> PAGEREF _Toc23103159 \h </w:instrText>
        </w:r>
        <w:r w:rsidR="00086EB6">
          <w:fldChar w:fldCharType="separate"/>
        </w:r>
        <w:r w:rsidR="00086EB6">
          <w:t>13</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0" w:history="1">
        <w:r w:rsidR="00086EB6">
          <w:rPr>
            <w:rStyle w:val="ab"/>
          </w:rPr>
          <w:t>第八条 理财产品费用</w:t>
        </w:r>
        <w:r w:rsidR="00086EB6">
          <w:tab/>
        </w:r>
        <w:r w:rsidR="00086EB6">
          <w:fldChar w:fldCharType="begin"/>
        </w:r>
        <w:r w:rsidR="00086EB6">
          <w:instrText xml:space="preserve"> PAGEREF _Toc23103160 \h </w:instrText>
        </w:r>
        <w:r w:rsidR="00086EB6">
          <w:fldChar w:fldCharType="separate"/>
        </w:r>
        <w:r w:rsidR="00086EB6">
          <w:t>15</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1" w:history="1">
        <w:r w:rsidR="00086EB6">
          <w:rPr>
            <w:rStyle w:val="ab"/>
          </w:rPr>
          <w:t>第九条 理财产品有关文件和档案的保存</w:t>
        </w:r>
        <w:r w:rsidR="00086EB6">
          <w:tab/>
        </w:r>
        <w:r w:rsidR="00086EB6">
          <w:fldChar w:fldCharType="begin"/>
        </w:r>
        <w:r w:rsidR="00086EB6">
          <w:instrText xml:space="preserve"> PAGEREF _Toc23103161 \h </w:instrText>
        </w:r>
        <w:r w:rsidR="00086EB6">
          <w:fldChar w:fldCharType="separate"/>
        </w:r>
        <w:r w:rsidR="00086EB6">
          <w:t>16</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2" w:history="1">
        <w:r w:rsidR="00086EB6">
          <w:rPr>
            <w:rStyle w:val="ab"/>
          </w:rPr>
          <w:t>第十条 理财产品的终止与清算</w:t>
        </w:r>
        <w:r w:rsidR="00086EB6">
          <w:tab/>
        </w:r>
        <w:r w:rsidR="00086EB6">
          <w:fldChar w:fldCharType="begin"/>
        </w:r>
        <w:r w:rsidR="00086EB6">
          <w:instrText xml:space="preserve"> PAGEREF _Toc23103162 \h </w:instrText>
        </w:r>
        <w:r w:rsidR="00086EB6">
          <w:fldChar w:fldCharType="separate"/>
        </w:r>
        <w:r w:rsidR="00086EB6">
          <w:t>16</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3" w:history="1">
        <w:r w:rsidR="00086EB6">
          <w:rPr>
            <w:rStyle w:val="ab"/>
          </w:rPr>
          <w:t>第十一条 免责条款</w:t>
        </w:r>
        <w:r w:rsidR="00086EB6">
          <w:tab/>
        </w:r>
        <w:r w:rsidR="00086EB6">
          <w:fldChar w:fldCharType="begin"/>
        </w:r>
        <w:r w:rsidR="00086EB6">
          <w:instrText xml:space="preserve"> PAGEREF _Toc23103163 \h </w:instrText>
        </w:r>
        <w:r w:rsidR="00086EB6">
          <w:fldChar w:fldCharType="separate"/>
        </w:r>
        <w:r w:rsidR="00086EB6">
          <w:t>17</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4" w:history="1">
        <w:r w:rsidR="00086EB6">
          <w:rPr>
            <w:rStyle w:val="ab"/>
          </w:rPr>
          <w:t>第十二条 托管协议的生效、修改和终止</w:t>
        </w:r>
        <w:r w:rsidR="00086EB6">
          <w:tab/>
        </w:r>
        <w:r w:rsidR="00086EB6">
          <w:fldChar w:fldCharType="begin"/>
        </w:r>
        <w:r w:rsidR="00086EB6">
          <w:instrText xml:space="preserve"> PAGEREF _Toc23103164 \h </w:instrText>
        </w:r>
        <w:r w:rsidR="00086EB6">
          <w:fldChar w:fldCharType="separate"/>
        </w:r>
        <w:r w:rsidR="00086EB6">
          <w:t>18</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5" w:history="1">
        <w:r w:rsidR="00086EB6">
          <w:rPr>
            <w:rStyle w:val="ab"/>
          </w:rPr>
          <w:t>第十三条 其他事项</w:t>
        </w:r>
        <w:r w:rsidR="00086EB6">
          <w:tab/>
        </w:r>
        <w:r w:rsidR="00086EB6">
          <w:fldChar w:fldCharType="begin"/>
        </w:r>
        <w:r w:rsidR="00086EB6">
          <w:instrText xml:space="preserve"> PAGEREF _Toc23103165 \h </w:instrText>
        </w:r>
        <w:r w:rsidR="00086EB6">
          <w:fldChar w:fldCharType="separate"/>
        </w:r>
        <w:r w:rsidR="00086EB6">
          <w:t>19</w:t>
        </w:r>
        <w:r w:rsidR="00086EB6">
          <w:fldChar w:fldCharType="end"/>
        </w:r>
      </w:hyperlink>
    </w:p>
    <w:p w:rsidR="005F0B5D" w:rsidRDefault="008A4BD1">
      <w:pPr>
        <w:pStyle w:val="10"/>
        <w:tabs>
          <w:tab w:val="right" w:leader="dot" w:pos="8948"/>
        </w:tabs>
        <w:rPr>
          <w:rFonts w:asciiTheme="minorHAnsi" w:eastAsiaTheme="minorEastAsia" w:hAnsiTheme="minorHAnsi" w:cstheme="minorBidi"/>
          <w:szCs w:val="22"/>
        </w:rPr>
      </w:pPr>
      <w:hyperlink w:anchor="_Toc23103166" w:history="1">
        <w:r w:rsidR="00086EB6">
          <w:rPr>
            <w:rStyle w:val="ab"/>
          </w:rPr>
          <w:t>附件一：划款指令及相关业务授权书（格式）</w:t>
        </w:r>
        <w:r w:rsidR="00086EB6">
          <w:tab/>
        </w:r>
        <w:r w:rsidR="00086EB6">
          <w:fldChar w:fldCharType="begin"/>
        </w:r>
        <w:r w:rsidR="00086EB6">
          <w:instrText xml:space="preserve"> PAGEREF _Toc23103166 \h </w:instrText>
        </w:r>
        <w:r w:rsidR="00086EB6">
          <w:fldChar w:fldCharType="separate"/>
        </w:r>
        <w:r w:rsidR="00086EB6">
          <w:t>21</w:t>
        </w:r>
        <w:r w:rsidR="00086EB6">
          <w:fldChar w:fldCharType="end"/>
        </w:r>
      </w:hyperlink>
    </w:p>
    <w:p w:rsidR="005F0B5D" w:rsidRDefault="00086EB6">
      <w:pPr>
        <w:rPr>
          <w:szCs w:val="21"/>
        </w:rPr>
      </w:pPr>
      <w:r>
        <w:rPr>
          <w:szCs w:val="21"/>
        </w:rPr>
        <w:fldChar w:fldCharType="end"/>
      </w:r>
    </w:p>
    <w:p w:rsidR="005F0B5D" w:rsidRDefault="005F0B5D">
      <w:pPr>
        <w:rPr>
          <w:szCs w:val="21"/>
        </w:rPr>
      </w:pPr>
    </w:p>
    <w:p w:rsidR="005F0B5D" w:rsidRDefault="005F0B5D">
      <w:pPr>
        <w:rPr>
          <w:szCs w:val="21"/>
        </w:rPr>
      </w:pPr>
    </w:p>
    <w:p w:rsidR="005F0B5D" w:rsidRDefault="005F0B5D">
      <w:pPr>
        <w:rPr>
          <w:szCs w:val="21"/>
        </w:rPr>
      </w:pPr>
    </w:p>
    <w:p w:rsidR="005F0B5D" w:rsidRDefault="005F0B5D">
      <w:pPr>
        <w:rPr>
          <w:szCs w:val="21"/>
        </w:rPr>
        <w:sectPr w:rsidR="005F0B5D">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5F0B5D" w:rsidRDefault="005F0B5D">
      <w:pPr>
        <w:pStyle w:val="2"/>
        <w:numPr>
          <w:ilvl w:val="0"/>
          <w:numId w:val="0"/>
        </w:numPr>
        <w:ind w:firstLineChars="270" w:firstLine="569"/>
        <w:rPr>
          <w:b/>
        </w:rPr>
      </w:pPr>
    </w:p>
    <w:p w:rsidR="005F0B5D" w:rsidRDefault="00086EB6">
      <w:pPr>
        <w:jc w:val="center"/>
        <w:rPr>
          <w:rFonts w:ascii="黑体" w:eastAsia="黑体" w:hAnsi="黑体"/>
          <w:b/>
          <w:sz w:val="32"/>
          <w:szCs w:val="32"/>
        </w:rPr>
      </w:pPr>
      <w:r>
        <w:rPr>
          <w:rFonts w:ascii="黑体" w:eastAsia="黑体" w:hAnsi="黑体" w:hint="eastAsia"/>
          <w:b/>
          <w:bCs/>
          <w:sz w:val="32"/>
          <w:szCs w:val="32"/>
        </w:rPr>
        <w:t>浦发银行</w:t>
      </w:r>
      <w:proofErr w:type="gramStart"/>
      <w:r>
        <w:rPr>
          <w:rFonts w:ascii="黑体" w:eastAsia="黑体" w:hAnsi="黑体" w:hint="eastAsia"/>
          <w:b/>
          <w:bCs/>
          <w:sz w:val="32"/>
          <w:szCs w:val="32"/>
        </w:rPr>
        <w:t>鑫</w:t>
      </w:r>
      <w:proofErr w:type="gramEnd"/>
      <w:r>
        <w:rPr>
          <w:rFonts w:ascii="黑体" w:eastAsia="黑体" w:hAnsi="黑体" w:hint="eastAsia"/>
          <w:b/>
          <w:bCs/>
          <w:sz w:val="32"/>
          <w:szCs w:val="32"/>
        </w:rPr>
        <w:t>盈利系列1年定开12号</w:t>
      </w:r>
    </w:p>
    <w:p w:rsidR="005F0B5D" w:rsidRDefault="00086EB6">
      <w:pPr>
        <w:jc w:val="center"/>
        <w:rPr>
          <w:rFonts w:ascii="黑体" w:eastAsia="黑体" w:hAnsi="黑体"/>
          <w:b/>
          <w:sz w:val="32"/>
          <w:szCs w:val="32"/>
        </w:rPr>
      </w:pPr>
      <w:r>
        <w:rPr>
          <w:rFonts w:ascii="黑体" w:eastAsia="黑体" w:hAnsi="黑体" w:hint="eastAsia"/>
          <w:b/>
          <w:sz w:val="32"/>
          <w:szCs w:val="32"/>
        </w:rPr>
        <w:t>理财产品托管协议</w:t>
      </w:r>
    </w:p>
    <w:p w:rsidR="005F0B5D" w:rsidRDefault="005F0B5D">
      <w:pPr>
        <w:pStyle w:val="a0"/>
        <w:ind w:firstLine="420"/>
        <w:rPr>
          <w:lang w:val="en-US"/>
        </w:rPr>
      </w:pPr>
    </w:p>
    <w:p w:rsidR="005F0B5D" w:rsidRDefault="005F0B5D">
      <w:pPr>
        <w:ind w:firstLine="567"/>
      </w:pPr>
    </w:p>
    <w:p w:rsidR="005F0B5D" w:rsidRDefault="00086EB6">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5F0B5D" w:rsidRDefault="00086EB6">
      <w:pPr>
        <w:spacing w:line="480" w:lineRule="auto"/>
        <w:ind w:firstLineChars="270" w:firstLine="569"/>
        <w:rPr>
          <w:b/>
          <w:szCs w:val="21"/>
        </w:rPr>
      </w:pPr>
      <w:r>
        <w:rPr>
          <w:rFonts w:hint="eastAsia"/>
          <w:b/>
          <w:szCs w:val="21"/>
        </w:rPr>
        <w:t>住  所  地：上海市中山东一路12号</w:t>
      </w:r>
    </w:p>
    <w:p w:rsidR="005F0B5D" w:rsidRDefault="00086EB6">
      <w:pPr>
        <w:spacing w:line="480" w:lineRule="auto"/>
        <w:ind w:firstLineChars="270" w:firstLine="569"/>
        <w:rPr>
          <w:b/>
          <w:szCs w:val="21"/>
        </w:rPr>
      </w:pPr>
      <w:r>
        <w:rPr>
          <w:rFonts w:hint="eastAsia"/>
          <w:b/>
          <w:szCs w:val="21"/>
        </w:rPr>
        <w:t xml:space="preserve">法定代表人：高国富 </w:t>
      </w:r>
    </w:p>
    <w:p w:rsidR="005F0B5D" w:rsidRDefault="005F0B5D">
      <w:pPr>
        <w:spacing w:line="480" w:lineRule="auto"/>
        <w:ind w:firstLineChars="270" w:firstLine="567"/>
      </w:pPr>
    </w:p>
    <w:p w:rsidR="005F0B5D" w:rsidRDefault="00086EB6">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5F0B5D" w:rsidRDefault="00086EB6">
      <w:pPr>
        <w:spacing w:line="480" w:lineRule="auto"/>
        <w:ind w:firstLineChars="270" w:firstLine="569"/>
        <w:rPr>
          <w:b/>
          <w:szCs w:val="21"/>
        </w:rPr>
      </w:pPr>
      <w:r>
        <w:rPr>
          <w:rFonts w:hint="eastAsia"/>
          <w:b/>
          <w:szCs w:val="21"/>
        </w:rPr>
        <w:t>住  所  地： 上海市中山东一路12号</w:t>
      </w:r>
    </w:p>
    <w:p w:rsidR="005F0B5D" w:rsidRDefault="00086EB6">
      <w:pPr>
        <w:spacing w:line="480" w:lineRule="auto"/>
        <w:ind w:firstLineChars="270" w:firstLine="569"/>
      </w:pPr>
      <w:r>
        <w:rPr>
          <w:rFonts w:hint="eastAsia"/>
          <w:b/>
          <w:szCs w:val="21"/>
        </w:rPr>
        <w:t>法定代表人：高国富</w:t>
      </w:r>
    </w:p>
    <w:p w:rsidR="005F0B5D" w:rsidRDefault="005F0B5D">
      <w:pPr>
        <w:pStyle w:val="a0"/>
        <w:ind w:firstLine="420"/>
        <w:rPr>
          <w:lang w:val="en-US"/>
        </w:rPr>
      </w:pPr>
    </w:p>
    <w:p w:rsidR="005F0B5D" w:rsidRDefault="00086EB6">
      <w:pPr>
        <w:rPr>
          <w:b/>
          <w:szCs w:val="21"/>
        </w:rPr>
      </w:pPr>
      <w:r>
        <w:rPr>
          <w:rFonts w:hint="eastAsia"/>
          <w:b/>
          <w:szCs w:val="21"/>
        </w:rPr>
        <w:t>鉴于：</w:t>
      </w:r>
    </w:p>
    <w:p w:rsidR="005F0B5D" w:rsidRDefault="00086EB6">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5F0B5D" w:rsidRDefault="00086EB6">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5F0B5D" w:rsidRDefault="00086EB6">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5F0B5D" w:rsidRDefault="00086EB6">
      <w:pPr>
        <w:pStyle w:val="a0"/>
        <w:ind w:firstLine="420"/>
        <w:rPr>
          <w:szCs w:val="21"/>
        </w:rPr>
      </w:pPr>
      <w:r>
        <w:rPr>
          <w:rFonts w:hint="eastAsia"/>
          <w:szCs w:val="21"/>
        </w:rPr>
        <w:t>理财产品名称：</w:t>
      </w:r>
      <w:r>
        <w:rPr>
          <w:rFonts w:hint="eastAsia"/>
          <w:b/>
          <w:bCs/>
          <w:szCs w:val="21"/>
        </w:rPr>
        <w:t>浦发银行</w:t>
      </w:r>
      <w:proofErr w:type="gramStart"/>
      <w:r>
        <w:rPr>
          <w:rFonts w:hint="eastAsia"/>
          <w:b/>
          <w:bCs/>
          <w:szCs w:val="21"/>
        </w:rPr>
        <w:t>鑫</w:t>
      </w:r>
      <w:proofErr w:type="gramEnd"/>
      <w:r>
        <w:rPr>
          <w:rFonts w:hint="eastAsia"/>
          <w:b/>
          <w:bCs/>
          <w:szCs w:val="21"/>
        </w:rPr>
        <w:t>盈利系列1年定开12号</w:t>
      </w:r>
    </w:p>
    <w:p w:rsidR="005F0B5D" w:rsidRDefault="00086EB6">
      <w:pPr>
        <w:pStyle w:val="a0"/>
        <w:ind w:firstLine="420"/>
        <w:rPr>
          <w:szCs w:val="21"/>
        </w:rPr>
      </w:pPr>
      <w:r>
        <w:rPr>
          <w:rFonts w:hint="eastAsia"/>
          <w:szCs w:val="21"/>
        </w:rPr>
        <w:t>期限：无特定存续期限</w:t>
      </w:r>
    </w:p>
    <w:p w:rsidR="005F0B5D" w:rsidRDefault="00086EB6">
      <w:pPr>
        <w:pStyle w:val="a0"/>
        <w:ind w:firstLine="420"/>
        <w:rPr>
          <w:szCs w:val="21"/>
        </w:rPr>
      </w:pPr>
      <w:r>
        <w:rPr>
          <w:rFonts w:hint="eastAsia"/>
          <w:szCs w:val="21"/>
        </w:rPr>
        <w:t>募集方式（选择其一）：■公募产品；□私募产品；</w:t>
      </w:r>
    </w:p>
    <w:p w:rsidR="005F0B5D" w:rsidRDefault="00086EB6">
      <w:pPr>
        <w:pStyle w:val="a0"/>
        <w:ind w:firstLine="420"/>
        <w:rPr>
          <w:szCs w:val="21"/>
        </w:rPr>
      </w:pPr>
      <w:proofErr w:type="gramStart"/>
      <w:r>
        <w:rPr>
          <w:rFonts w:hint="eastAsia"/>
          <w:szCs w:val="21"/>
        </w:rPr>
        <w:t>申赎方式</w:t>
      </w:r>
      <w:proofErr w:type="gramEnd"/>
      <w:r>
        <w:rPr>
          <w:rFonts w:hint="eastAsia"/>
          <w:szCs w:val="21"/>
        </w:rPr>
        <w:t>（选择其一）：</w:t>
      </w:r>
    </w:p>
    <w:p w:rsidR="005F0B5D" w:rsidRDefault="00086EB6">
      <w:pPr>
        <w:pStyle w:val="a0"/>
        <w:ind w:firstLine="420"/>
        <w:rPr>
          <w:szCs w:val="21"/>
        </w:rPr>
      </w:pPr>
      <w:r>
        <w:rPr>
          <w:rFonts w:hint="eastAsia"/>
          <w:szCs w:val="21"/>
        </w:rPr>
        <w:t>□封闭式产品；</w:t>
      </w:r>
    </w:p>
    <w:p w:rsidR="005F0B5D" w:rsidRDefault="00086EB6">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5F0B5D" w:rsidRDefault="00086EB6">
      <w:pPr>
        <w:pStyle w:val="a0"/>
        <w:ind w:firstLine="420"/>
        <w:rPr>
          <w:szCs w:val="21"/>
        </w:rPr>
      </w:pPr>
      <w:r>
        <w:rPr>
          <w:rFonts w:hint="eastAsia"/>
          <w:szCs w:val="21"/>
        </w:rPr>
        <w:t>所属类别（选择其一）：</w:t>
      </w:r>
    </w:p>
    <w:p w:rsidR="005F0B5D" w:rsidRDefault="00086EB6">
      <w:pPr>
        <w:pStyle w:val="a0"/>
        <w:ind w:firstLine="420"/>
        <w:rPr>
          <w:szCs w:val="21"/>
        </w:rPr>
      </w:pPr>
      <w:r>
        <w:rPr>
          <w:rFonts w:hint="eastAsia"/>
          <w:szCs w:val="21"/>
        </w:rPr>
        <w:t>■固定收益类产品；□权益类产品；□商品及金融衍生品类产品；□混合类产品；</w:t>
      </w:r>
    </w:p>
    <w:p w:rsidR="005F0B5D" w:rsidRDefault="00086EB6">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5F0B5D" w:rsidRDefault="00086EB6">
      <w:pPr>
        <w:pStyle w:val="1"/>
      </w:pPr>
      <w:bookmarkStart w:id="1" w:name="_Toc23103153"/>
      <w:r>
        <w:rPr>
          <w:rFonts w:hint="eastAsia"/>
        </w:rPr>
        <w:t>托管协议的依据、目的和原则</w:t>
      </w:r>
      <w:bookmarkEnd w:id="1"/>
    </w:p>
    <w:p w:rsidR="005F0B5D" w:rsidRDefault="00086EB6">
      <w:pPr>
        <w:pStyle w:val="2"/>
      </w:pPr>
      <w:r>
        <w:t>订立托管协议的依据</w:t>
      </w:r>
    </w:p>
    <w:p w:rsidR="005F0B5D" w:rsidRDefault="00086EB6">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5F0B5D" w:rsidRDefault="00086EB6">
      <w:pPr>
        <w:pStyle w:val="2"/>
      </w:pPr>
      <w:r>
        <w:t>订立托管协议的目的</w:t>
      </w:r>
    </w:p>
    <w:p w:rsidR="005F0B5D" w:rsidRDefault="00086EB6">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5F0B5D" w:rsidRDefault="00086EB6">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w:t>
      </w:r>
      <w:r>
        <w:rPr>
          <w:rFonts w:hint="eastAsia"/>
          <w:b/>
          <w:bCs/>
          <w:color w:val="000000"/>
          <w:szCs w:val="21"/>
        </w:rPr>
        <w:t>浦发</w:t>
      </w:r>
      <w:proofErr w:type="gramEnd"/>
      <w:r>
        <w:rPr>
          <w:rFonts w:hint="eastAsia"/>
          <w:b/>
          <w:bCs/>
          <w:color w:val="000000"/>
          <w:szCs w:val="21"/>
        </w:rPr>
        <w:t>银行</w:t>
      </w:r>
      <w:proofErr w:type="gramStart"/>
      <w:r>
        <w:rPr>
          <w:rFonts w:hint="eastAsia"/>
          <w:b/>
          <w:bCs/>
          <w:color w:val="000000"/>
          <w:szCs w:val="21"/>
        </w:rPr>
        <w:t>鑫</w:t>
      </w:r>
      <w:proofErr w:type="gramEnd"/>
      <w:r>
        <w:rPr>
          <w:rFonts w:hint="eastAsia"/>
          <w:b/>
          <w:bCs/>
          <w:color w:val="000000"/>
          <w:szCs w:val="21"/>
        </w:rPr>
        <w:t>盈利系列1年定开12号</w:t>
      </w:r>
      <w:r>
        <w:rPr>
          <w:rFonts w:hint="eastAsia"/>
          <w:bCs/>
          <w:color w:val="000000"/>
          <w:szCs w:val="21"/>
        </w:rPr>
        <w:t>，可投资以下一种或几种金融资产：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tbl>
      <w:tblPr>
        <w:tblW w:w="6694" w:type="dxa"/>
        <w:jc w:val="center"/>
        <w:tblLayout w:type="fixed"/>
        <w:tblLook w:val="04A0" w:firstRow="1" w:lastRow="0" w:firstColumn="1" w:lastColumn="0" w:noHBand="0" w:noVBand="1"/>
      </w:tblPr>
      <w:tblGrid>
        <w:gridCol w:w="5020"/>
        <w:gridCol w:w="1674"/>
      </w:tblGrid>
      <w:tr w:rsidR="005F0B5D">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5F0B5D" w:rsidRDefault="00086EB6">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5F0B5D" w:rsidRDefault="00086EB6">
            <w:pPr>
              <w:widowControl/>
              <w:jc w:val="center"/>
              <w:rPr>
                <w:rFonts w:ascii="仿宋_GB2312" w:cs="TT4761o00"/>
                <w:sz w:val="24"/>
                <w:szCs w:val="30"/>
              </w:rPr>
            </w:pPr>
            <w:r>
              <w:rPr>
                <w:rFonts w:cs="宋体" w:hint="eastAsia"/>
                <w:b/>
                <w:bCs/>
                <w:color w:val="000000"/>
                <w:sz w:val="18"/>
                <w:szCs w:val="18"/>
              </w:rPr>
              <w:t>占比</w:t>
            </w:r>
          </w:p>
        </w:tc>
      </w:tr>
      <w:tr w:rsidR="005F0B5D">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5F0B5D" w:rsidRDefault="00086EB6">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t>0%-100%</w:t>
            </w:r>
          </w:p>
        </w:tc>
      </w:tr>
      <w:tr w:rsidR="005F0B5D">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5F0B5D" w:rsidRDefault="00086EB6">
            <w:pPr>
              <w:widowControl/>
              <w:jc w:val="left"/>
              <w:rPr>
                <w:rFonts w:cs="宋体"/>
                <w:color w:val="000000"/>
                <w:sz w:val="18"/>
                <w:szCs w:val="18"/>
              </w:rPr>
            </w:pPr>
            <w:r>
              <w:rPr>
                <w:rFonts w:cs="宋体" w:hint="eastAsia"/>
                <w:color w:val="000000"/>
                <w:sz w:val="18"/>
                <w:szCs w:val="18"/>
              </w:rPr>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lastRenderedPageBreak/>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lastRenderedPageBreak/>
              <w:t>0-100%</w:t>
            </w:r>
          </w:p>
        </w:tc>
      </w:tr>
      <w:tr w:rsidR="005F0B5D">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5F0B5D" w:rsidRDefault="00086EB6">
            <w:pPr>
              <w:widowControl/>
              <w:jc w:val="center"/>
              <w:rPr>
                <w:rFonts w:cs="宋体"/>
                <w:color w:val="000000"/>
                <w:sz w:val="18"/>
                <w:szCs w:val="18"/>
              </w:rPr>
            </w:pPr>
            <w:r>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t>100%</w:t>
            </w:r>
          </w:p>
        </w:tc>
      </w:tr>
    </w:tbl>
    <w:p w:rsidR="005F0B5D" w:rsidRDefault="00086EB6">
      <w:pPr>
        <w:pStyle w:val="2"/>
      </w:pPr>
      <w:r>
        <w:t>订立托管协议的原则</w:t>
      </w:r>
    </w:p>
    <w:p w:rsidR="005F0B5D" w:rsidRDefault="00086EB6">
      <w:pPr>
        <w:pStyle w:val="a0"/>
        <w:ind w:firstLine="420"/>
      </w:pPr>
      <w:r>
        <w:rPr>
          <w:rFonts w:hint="eastAsia"/>
        </w:rPr>
        <w:t>管理人和托管人本着平等自愿、诚实信用、充分保护投资人合法权益的原则，经协商一致，订立本托管协议。</w:t>
      </w:r>
    </w:p>
    <w:p w:rsidR="005F0B5D" w:rsidRDefault="00086EB6">
      <w:pPr>
        <w:pStyle w:val="1"/>
      </w:pPr>
      <w:bookmarkStart w:id="2" w:name="_Toc23103154"/>
      <w:r>
        <w:rPr>
          <w:rFonts w:hint="eastAsia"/>
        </w:rPr>
        <w:t>双方的权利和义务</w:t>
      </w:r>
      <w:bookmarkEnd w:id="2"/>
    </w:p>
    <w:p w:rsidR="005F0B5D" w:rsidRDefault="00086EB6">
      <w:pPr>
        <w:pStyle w:val="2"/>
      </w:pPr>
      <w:r>
        <w:t>管理人的权利和义务</w:t>
      </w:r>
    </w:p>
    <w:p w:rsidR="005F0B5D" w:rsidRDefault="00086EB6">
      <w:pPr>
        <w:pStyle w:val="3"/>
      </w:pPr>
      <w:r>
        <w:t>管理人的权利：</w:t>
      </w:r>
    </w:p>
    <w:p w:rsidR="005F0B5D" w:rsidRDefault="00086EB6">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5F0B5D" w:rsidRDefault="00086EB6">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5F0B5D" w:rsidRDefault="00086EB6">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5F0B5D" w:rsidRDefault="00086EB6">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5F0B5D" w:rsidRDefault="00086EB6">
      <w:pPr>
        <w:pStyle w:val="3"/>
      </w:pPr>
      <w:r>
        <w:rPr>
          <w:rFonts w:hint="eastAsia"/>
        </w:rPr>
        <w:t>管理人的义务：</w:t>
      </w:r>
    </w:p>
    <w:p w:rsidR="005F0B5D" w:rsidRDefault="00086EB6">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5F0B5D" w:rsidRDefault="00086EB6">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5F0B5D" w:rsidRDefault="00086EB6">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5F0B5D" w:rsidRDefault="00086EB6">
      <w:pPr>
        <w:numPr>
          <w:ilvl w:val="0"/>
          <w:numId w:val="4"/>
        </w:numPr>
        <w:rPr>
          <w:szCs w:val="21"/>
        </w:rPr>
      </w:pPr>
      <w:r>
        <w:rPr>
          <w:rFonts w:hint="eastAsia"/>
          <w:szCs w:val="21"/>
        </w:rPr>
        <w:t>对理财产品实行净值化管理，净值生成应当符合企业会计准则规定，及时反映基础金融资产的收益和风险，并提交乙方进行核算。</w:t>
      </w:r>
    </w:p>
    <w:p w:rsidR="005F0B5D" w:rsidRDefault="00086EB6">
      <w:pPr>
        <w:pStyle w:val="a0"/>
        <w:numPr>
          <w:ilvl w:val="0"/>
          <w:numId w:val="4"/>
        </w:numPr>
        <w:ind w:firstLineChars="0"/>
      </w:pPr>
      <w:r>
        <w:rPr>
          <w:rFonts w:hint="eastAsia"/>
          <w:lang w:val="en-US"/>
        </w:rPr>
        <w:t>承担理财产品净值计算和理财产品会计核算义务；</w:t>
      </w:r>
    </w:p>
    <w:p w:rsidR="005F0B5D" w:rsidRDefault="00086EB6">
      <w:pPr>
        <w:numPr>
          <w:ilvl w:val="0"/>
          <w:numId w:val="4"/>
        </w:numPr>
        <w:rPr>
          <w:szCs w:val="21"/>
        </w:rPr>
      </w:pPr>
      <w:r>
        <w:rPr>
          <w:szCs w:val="21"/>
        </w:rPr>
        <w:lastRenderedPageBreak/>
        <w:t>依法接受托管人</w:t>
      </w:r>
      <w:r>
        <w:rPr>
          <w:rFonts w:hint="eastAsia"/>
          <w:szCs w:val="21"/>
        </w:rPr>
        <w:t>对投资行为</w:t>
      </w:r>
      <w:r>
        <w:rPr>
          <w:szCs w:val="21"/>
        </w:rPr>
        <w:t>的监督；</w:t>
      </w:r>
    </w:p>
    <w:p w:rsidR="005F0B5D" w:rsidRDefault="00086EB6">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5F0B5D" w:rsidRDefault="00086EB6">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5F0B5D" w:rsidRDefault="00086EB6">
      <w:pPr>
        <w:numPr>
          <w:ilvl w:val="0"/>
          <w:numId w:val="4"/>
        </w:numPr>
        <w:rPr>
          <w:szCs w:val="21"/>
        </w:rPr>
      </w:pPr>
      <w:r>
        <w:rPr>
          <w:szCs w:val="21"/>
        </w:rPr>
        <w:t>保管理财产品财产投资活动的记录、账册、报表和其他相关资料15年以上;</w:t>
      </w:r>
    </w:p>
    <w:p w:rsidR="005F0B5D" w:rsidRDefault="00086EB6">
      <w:pPr>
        <w:numPr>
          <w:ilvl w:val="0"/>
          <w:numId w:val="4"/>
        </w:numPr>
        <w:rPr>
          <w:szCs w:val="21"/>
        </w:rPr>
      </w:pPr>
      <w:r>
        <w:rPr>
          <w:szCs w:val="21"/>
        </w:rPr>
        <w:t>依据本协议的规定向托管人支付托管费及双方约定的任何其他合理费用；</w:t>
      </w:r>
    </w:p>
    <w:p w:rsidR="005F0B5D" w:rsidRDefault="00086EB6">
      <w:pPr>
        <w:numPr>
          <w:ilvl w:val="0"/>
          <w:numId w:val="4"/>
        </w:numPr>
        <w:rPr>
          <w:szCs w:val="21"/>
        </w:rPr>
      </w:pPr>
      <w:r>
        <w:rPr>
          <w:szCs w:val="21"/>
        </w:rPr>
        <w:t>法律法规及理财产品文件规定的其他义务。</w:t>
      </w:r>
    </w:p>
    <w:p w:rsidR="005F0B5D" w:rsidRDefault="00086EB6">
      <w:pPr>
        <w:pStyle w:val="2"/>
      </w:pPr>
      <w:r>
        <w:rPr>
          <w:rFonts w:hint="eastAsia"/>
        </w:rPr>
        <w:t>托管人的权利和义务</w:t>
      </w:r>
    </w:p>
    <w:p w:rsidR="005F0B5D" w:rsidRDefault="00086EB6">
      <w:pPr>
        <w:pStyle w:val="3"/>
      </w:pPr>
      <w:r>
        <w:rPr>
          <w:rFonts w:hint="eastAsia"/>
        </w:rPr>
        <w:t>托管人的权利：</w:t>
      </w:r>
    </w:p>
    <w:p w:rsidR="005F0B5D" w:rsidRDefault="00086EB6">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5F0B5D" w:rsidRDefault="00086EB6">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5F0B5D" w:rsidRDefault="00086EB6">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5F0B5D" w:rsidRDefault="00086EB6">
      <w:pPr>
        <w:numPr>
          <w:ilvl w:val="0"/>
          <w:numId w:val="5"/>
        </w:numPr>
        <w:tabs>
          <w:tab w:val="clear" w:pos="840"/>
        </w:tabs>
        <w:ind w:left="180" w:firstLine="360"/>
        <w:rPr>
          <w:szCs w:val="21"/>
        </w:rPr>
      </w:pPr>
      <w:r>
        <w:rPr>
          <w:szCs w:val="21"/>
        </w:rPr>
        <w:t>法律法规、以及依据本协议制定的其他法律文件所规定的其他权利。</w:t>
      </w:r>
    </w:p>
    <w:p w:rsidR="005F0B5D" w:rsidRDefault="00086EB6">
      <w:pPr>
        <w:pStyle w:val="3"/>
      </w:pPr>
      <w:r>
        <w:rPr>
          <w:rFonts w:hint="eastAsia"/>
        </w:rPr>
        <w:t>托管人的义务：</w:t>
      </w:r>
    </w:p>
    <w:p w:rsidR="005F0B5D" w:rsidRDefault="00086EB6">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5F0B5D" w:rsidRDefault="00086EB6">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5F0B5D" w:rsidRDefault="00086EB6">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5F0B5D" w:rsidRDefault="00086EB6">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5F0B5D" w:rsidRDefault="00086EB6">
      <w:pPr>
        <w:pStyle w:val="a0"/>
        <w:ind w:firstLine="420"/>
      </w:pPr>
      <w:r>
        <w:rPr>
          <w:rFonts w:hint="eastAsia"/>
          <w:lang w:val="en-US"/>
        </w:rPr>
        <w:t>根据有关法律法规、监管政策以及理财产品的约定，对理财产品投资范围、投资对象进行监督。</w:t>
      </w:r>
    </w:p>
    <w:p w:rsidR="005F0B5D" w:rsidRDefault="00086EB6">
      <w:pPr>
        <w:numPr>
          <w:ilvl w:val="0"/>
          <w:numId w:val="6"/>
        </w:numPr>
        <w:tabs>
          <w:tab w:val="clear" w:pos="840"/>
          <w:tab w:val="left" w:pos="720"/>
        </w:tabs>
        <w:ind w:left="180" w:firstLine="360"/>
        <w:rPr>
          <w:szCs w:val="21"/>
        </w:rPr>
      </w:pPr>
      <w:r>
        <w:rPr>
          <w:szCs w:val="21"/>
        </w:rPr>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w:t>
      </w:r>
      <w:r>
        <w:rPr>
          <w:rFonts w:hint="eastAsia"/>
          <w:szCs w:val="21"/>
        </w:rPr>
        <w:lastRenderedPageBreak/>
        <w:t>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5F0B5D" w:rsidRDefault="00086EB6">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5F0B5D" w:rsidRDefault="00086EB6">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5F0B5D" w:rsidRDefault="00086EB6">
      <w:pPr>
        <w:numPr>
          <w:ilvl w:val="0"/>
          <w:numId w:val="6"/>
        </w:numPr>
        <w:tabs>
          <w:tab w:val="clear" w:pos="840"/>
          <w:tab w:val="left" w:pos="720"/>
        </w:tabs>
        <w:ind w:left="180" w:firstLine="360"/>
        <w:rPr>
          <w:szCs w:val="21"/>
        </w:rPr>
      </w:pPr>
      <w:r>
        <w:rPr>
          <w:szCs w:val="21"/>
        </w:rPr>
        <w:t>法律法规及理财产品文件规定的其他义务。</w:t>
      </w:r>
    </w:p>
    <w:p w:rsidR="005F0B5D" w:rsidRDefault="00086EB6">
      <w:pPr>
        <w:pStyle w:val="1"/>
      </w:pPr>
      <w:bookmarkStart w:id="3" w:name="_Toc23103155"/>
      <w:r>
        <w:rPr>
          <w:rFonts w:hint="eastAsia"/>
        </w:rPr>
        <w:t>托管资产保管</w:t>
      </w:r>
      <w:bookmarkEnd w:id="3"/>
    </w:p>
    <w:p w:rsidR="005F0B5D" w:rsidRDefault="00086EB6">
      <w:pPr>
        <w:pStyle w:val="2"/>
      </w:pPr>
      <w:r>
        <w:t>托管资产保管的原则</w:t>
      </w:r>
    </w:p>
    <w:p w:rsidR="005F0B5D" w:rsidRDefault="00086EB6">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5F0B5D" w:rsidRDefault="00086EB6">
      <w:pPr>
        <w:pStyle w:val="3"/>
      </w:pPr>
      <w:r>
        <w:t>托管资产应独立于管理人、托管人的自有财产。托管人为不同理财产品分别设置账务，实行严格的分账管理，确保托管资产的完整与独立。</w:t>
      </w:r>
    </w:p>
    <w:p w:rsidR="005F0B5D" w:rsidRDefault="00086EB6">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5F0B5D" w:rsidRDefault="00086EB6">
      <w:pPr>
        <w:pStyle w:val="3"/>
      </w:pPr>
      <w:r>
        <w:t>属于托管人实际有效控制下的托管资产在托管人保管期间的损坏、灭失，由托管人承担全部直接损失。</w:t>
      </w:r>
    </w:p>
    <w:p w:rsidR="005F0B5D" w:rsidRDefault="00086EB6">
      <w:pPr>
        <w:pStyle w:val="3"/>
      </w:pPr>
      <w:r>
        <w:t>如果因为不可抗力或其他非托管人自身原因造成托管人托管范围内的托管资产发生损坏、灭失，托管人免责。</w:t>
      </w:r>
    </w:p>
    <w:p w:rsidR="005F0B5D" w:rsidRDefault="00086EB6">
      <w:pPr>
        <w:pStyle w:val="3"/>
      </w:pPr>
      <w:r>
        <w:t>托管人对理财产品财产的保管并非对理财产品财产本金或收益的保证或承诺，托管人不承担理财产品的投资风险。</w:t>
      </w:r>
    </w:p>
    <w:p w:rsidR="005F0B5D" w:rsidRDefault="00086EB6">
      <w:pPr>
        <w:pStyle w:val="2"/>
      </w:pPr>
      <w:r>
        <w:t>理财产品的募集</w:t>
      </w:r>
    </w:p>
    <w:p w:rsidR="005F0B5D" w:rsidRDefault="00086EB6">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Pr>
          <w:rFonts w:hint="eastAsia"/>
        </w:rPr>
        <w:t>。</w:t>
      </w:r>
      <w:r>
        <w:t xml:space="preserve"> </w:t>
      </w:r>
    </w:p>
    <w:p w:rsidR="005F0B5D" w:rsidRDefault="00086EB6">
      <w:pPr>
        <w:pStyle w:val="3"/>
        <w:ind w:left="1260"/>
      </w:pPr>
      <w:r>
        <w:t>投资人赎回资金的派发</w:t>
      </w:r>
    </w:p>
    <w:p w:rsidR="005F0B5D" w:rsidRDefault="00086EB6">
      <w:pPr>
        <w:pStyle w:val="3"/>
      </w:pPr>
      <w:r>
        <w:t>投资人赎回理财产品份额的资金，托管人应根据管理人的</w:t>
      </w:r>
      <w:r>
        <w:rPr>
          <w:rFonts w:hint="eastAsia"/>
        </w:rPr>
        <w:t>有效</w:t>
      </w:r>
      <w:r>
        <w:t>指令进行划拨。</w:t>
      </w:r>
      <w:r>
        <w:rPr>
          <w:rFonts w:hint="eastAsia"/>
        </w:rPr>
        <w:lastRenderedPageBreak/>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5F0B5D" w:rsidRDefault="00086EB6">
      <w:pPr>
        <w:pStyle w:val="2"/>
      </w:pPr>
      <w:r>
        <w:t>理财产品银行托管账户的开立和管理</w:t>
      </w:r>
    </w:p>
    <w:p w:rsidR="005F0B5D" w:rsidRDefault="00086EB6">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5F0B5D" w:rsidRDefault="00086EB6">
      <w:pPr>
        <w:pStyle w:val="a0"/>
        <w:ind w:firstLine="420"/>
      </w:pPr>
      <w:r>
        <w:rPr>
          <w:rFonts w:hint="eastAsia"/>
        </w:rPr>
        <w:t>银行托管账户的开立和管理应符合《支付结算办法》及中国人民银行关于账户管理的规定及其他相关法律法规的规定。</w:t>
      </w:r>
    </w:p>
    <w:p w:rsidR="005F0B5D" w:rsidRDefault="00086EB6">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5F0B5D" w:rsidRDefault="00086EB6">
      <w:pPr>
        <w:pStyle w:val="3"/>
      </w:pPr>
      <w:r>
        <w:t>托管人不对银行托管账户垫支。</w:t>
      </w:r>
    </w:p>
    <w:p w:rsidR="005F0B5D" w:rsidRDefault="00086EB6">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5F0B5D" w:rsidRDefault="00086EB6">
      <w:pPr>
        <w:pStyle w:val="3"/>
      </w:pPr>
      <w:r>
        <w:t>除本协议另有规定外，未经管理人的</w:t>
      </w:r>
      <w:r>
        <w:rPr>
          <w:rFonts w:hint="eastAsia"/>
        </w:rPr>
        <w:t>有效</w:t>
      </w:r>
      <w:r>
        <w:t>指令托管人不得擅自动用银行托管账户的资产。</w:t>
      </w:r>
    </w:p>
    <w:p w:rsidR="005F0B5D" w:rsidRDefault="00086EB6">
      <w:pPr>
        <w:pStyle w:val="2"/>
      </w:pPr>
      <w:r>
        <w:t>理财产品相关</w:t>
      </w:r>
      <w:r>
        <w:rPr>
          <w:rFonts w:hint="eastAsia"/>
        </w:rPr>
        <w:t>资产</w:t>
      </w:r>
      <w:r>
        <w:t>账户的开立和管理</w:t>
      </w:r>
    </w:p>
    <w:p w:rsidR="005F0B5D" w:rsidRDefault="00086EB6">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进行债券交割和资金结算。</w:t>
      </w:r>
    </w:p>
    <w:p w:rsidR="005F0B5D" w:rsidRDefault="00086EB6">
      <w:pPr>
        <w:pStyle w:val="3"/>
      </w:pPr>
      <w:r>
        <w:rPr>
          <w:rFonts w:hint="eastAsia"/>
        </w:rPr>
        <w:t>理财产品购买开放式证券投资基金时，由管理人在基金公司注册登记机构为理财产品开立基金账户。</w:t>
      </w:r>
    </w:p>
    <w:p w:rsidR="005F0B5D" w:rsidRDefault="00086EB6">
      <w:pPr>
        <w:pStyle w:val="3"/>
      </w:pPr>
      <w:r>
        <w:rPr>
          <w:rFonts w:hint="eastAsia"/>
        </w:rPr>
        <w:lastRenderedPageBreak/>
        <w:t>由管理人开立的资产账户，管理人应将开户回执复印件加盖管理人印章后移交托管人；由托管人开立的资产账户，托管人应将开户回执复印件加盖托管人印章后移交管理人。</w:t>
      </w:r>
    </w:p>
    <w:p w:rsidR="005F0B5D" w:rsidRDefault="00086EB6">
      <w:pPr>
        <w:pStyle w:val="2"/>
        <w:ind w:left="0" w:firstLineChars="257" w:firstLine="540"/>
      </w:pPr>
      <w:r>
        <w:rPr>
          <w:rFonts w:hint="eastAsia"/>
        </w:rPr>
        <w:t xml:space="preserve"> </w:t>
      </w:r>
      <w:r>
        <w:rPr>
          <w:rFonts w:hint="eastAsia"/>
        </w:rPr>
        <w:t>相关文件资料的移交</w:t>
      </w:r>
    </w:p>
    <w:p w:rsidR="005F0B5D" w:rsidRDefault="00086EB6">
      <w:pPr>
        <w:pStyle w:val="a0"/>
        <w:ind w:firstLine="420"/>
      </w:pPr>
      <w:r>
        <w:rPr>
          <w:rFonts w:hint="eastAsia"/>
        </w:rPr>
        <w:t>甲方应在运作起始日或之前向乙方提交下列文件资料，甲方应保证所移交的理财产品文件样本内容真实、准确、完整及有效。</w:t>
      </w:r>
    </w:p>
    <w:p w:rsidR="005F0B5D" w:rsidRDefault="00086EB6">
      <w:pPr>
        <w:numPr>
          <w:ilvl w:val="0"/>
          <w:numId w:val="7"/>
        </w:numPr>
        <w:tabs>
          <w:tab w:val="left" w:pos="1080"/>
        </w:tabs>
        <w:rPr>
          <w:szCs w:val="21"/>
        </w:rPr>
      </w:pPr>
      <w:r>
        <w:rPr>
          <w:rFonts w:hint="eastAsia"/>
        </w:rPr>
        <w:t>划款指令</w:t>
      </w:r>
      <w:r>
        <w:rPr>
          <w:rFonts w:hint="eastAsia"/>
          <w:szCs w:val="21"/>
        </w:rPr>
        <w:t>及相关业务授权书；</w:t>
      </w:r>
    </w:p>
    <w:p w:rsidR="005F0B5D" w:rsidRDefault="00086EB6">
      <w:pPr>
        <w:numPr>
          <w:ilvl w:val="0"/>
          <w:numId w:val="7"/>
        </w:numPr>
        <w:tabs>
          <w:tab w:val="left" w:pos="1080"/>
        </w:tabs>
        <w:rPr>
          <w:szCs w:val="21"/>
        </w:rPr>
      </w:pPr>
      <w:r>
        <w:rPr>
          <w:rFonts w:hint="eastAsia"/>
          <w:szCs w:val="21"/>
        </w:rPr>
        <w:t>提供产品发行通知及成立通知；</w:t>
      </w:r>
    </w:p>
    <w:p w:rsidR="005F0B5D" w:rsidRDefault="00086EB6">
      <w:pPr>
        <w:numPr>
          <w:ilvl w:val="0"/>
          <w:numId w:val="7"/>
        </w:numPr>
        <w:tabs>
          <w:tab w:val="left" w:pos="1080"/>
        </w:tabs>
        <w:rPr>
          <w:szCs w:val="21"/>
        </w:rPr>
      </w:pPr>
      <w:r>
        <w:rPr>
          <w:rFonts w:hint="eastAsia"/>
          <w:b/>
          <w:szCs w:val="21"/>
        </w:rPr>
        <w:t>乙方</w:t>
      </w:r>
      <w:r>
        <w:rPr>
          <w:rFonts w:hint="eastAsia"/>
          <w:szCs w:val="21"/>
        </w:rPr>
        <w:t>要求提交的其他文件或资料。</w:t>
      </w:r>
    </w:p>
    <w:p w:rsidR="005F0B5D" w:rsidRDefault="00086EB6">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5F0B5D" w:rsidRDefault="00086EB6">
      <w:pPr>
        <w:pStyle w:val="2"/>
        <w:ind w:left="0" w:firstLineChars="257" w:firstLine="540"/>
      </w:pPr>
      <w:r>
        <w:rPr>
          <w:rFonts w:hint="eastAsia"/>
        </w:rPr>
        <w:t xml:space="preserve"> </w:t>
      </w:r>
      <w:r>
        <w:rPr>
          <w:rFonts w:hint="eastAsia"/>
        </w:rPr>
        <w:t>理财资金的追加和分配</w:t>
      </w:r>
    </w:p>
    <w:p w:rsidR="005F0B5D" w:rsidRDefault="00086EB6">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5F0B5D" w:rsidRDefault="00086EB6">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5F0B5D" w:rsidRDefault="00086EB6">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5F0B5D" w:rsidRDefault="00086EB6">
      <w:pPr>
        <w:pStyle w:val="1"/>
      </w:pPr>
      <w:bookmarkStart w:id="4" w:name="_Toc23103156"/>
      <w:r>
        <w:rPr>
          <w:rFonts w:hint="eastAsia"/>
        </w:rPr>
        <w:t>指令的发送、确认及执行</w:t>
      </w:r>
      <w:bookmarkEnd w:id="4"/>
    </w:p>
    <w:p w:rsidR="005F0B5D" w:rsidRDefault="00086EB6">
      <w:pPr>
        <w:pStyle w:val="2"/>
      </w:pPr>
      <w:r>
        <w:rPr>
          <w:rFonts w:hint="eastAsia"/>
        </w:rPr>
        <w:t>管理人与托管人之间指令的发送、确认及执行</w:t>
      </w:r>
    </w:p>
    <w:p w:rsidR="005F0B5D" w:rsidRDefault="00086EB6">
      <w:pPr>
        <w:pStyle w:val="3"/>
      </w:pPr>
      <w:r>
        <w:t>管理人对发送指令人员的授权</w:t>
      </w:r>
    </w:p>
    <w:p w:rsidR="005F0B5D" w:rsidRDefault="00086EB6">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5F0B5D" w:rsidRDefault="00086EB6">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规定管理人向托管人发送指令时托管人确认有权发送人员身份及指令内容的方法。授权通知必须加盖管理人公章（或授权业务章）。托管人应在收到“授权通知”当日将回函通过传真或邮件方式向管理人确认。“授权通知”在管理人收到托管人回函书面确认的当日生</w:t>
      </w:r>
      <w:r>
        <w:rPr>
          <w:rFonts w:hint="eastAsia"/>
        </w:rPr>
        <w:lastRenderedPageBreak/>
        <w:t>效。</w:t>
      </w:r>
    </w:p>
    <w:p w:rsidR="005F0B5D" w:rsidRDefault="00086EB6">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5F0B5D" w:rsidRDefault="00086EB6">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5F0B5D" w:rsidRDefault="00086EB6">
      <w:pPr>
        <w:pStyle w:val="3"/>
      </w:pPr>
      <w:r>
        <w:t>指令的内容</w:t>
      </w:r>
    </w:p>
    <w:p w:rsidR="005F0B5D" w:rsidRDefault="00086EB6">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5F0B5D" w:rsidRDefault="00086EB6">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5F0B5D" w:rsidRDefault="00086EB6">
      <w:pPr>
        <w:pStyle w:val="3"/>
      </w:pPr>
      <w:r>
        <w:t>指令的发送、确认及执行的时间和程序</w:t>
      </w:r>
    </w:p>
    <w:p w:rsidR="005F0B5D" w:rsidRDefault="00086EB6">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5F0B5D" w:rsidRDefault="00086EB6">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5F0B5D" w:rsidRDefault="00086EB6">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5F0B5D" w:rsidRDefault="00086EB6">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5F0B5D" w:rsidRDefault="00086EB6">
      <w:pPr>
        <w:pStyle w:val="3"/>
      </w:pPr>
      <w:r>
        <w:t>管理人发送错误指令的处理程序</w:t>
      </w:r>
    </w:p>
    <w:p w:rsidR="005F0B5D" w:rsidRDefault="00086EB6">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5F0B5D" w:rsidRDefault="00086EB6">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5F0B5D" w:rsidRDefault="00086EB6">
      <w:pPr>
        <w:pStyle w:val="a0"/>
        <w:numPr>
          <w:ilvl w:val="0"/>
          <w:numId w:val="11"/>
        </w:numPr>
        <w:tabs>
          <w:tab w:val="clear" w:pos="840"/>
        </w:tabs>
        <w:ind w:left="180" w:firstLineChars="0" w:firstLine="360"/>
      </w:pPr>
      <w:r>
        <w:rPr>
          <w:rFonts w:hint="eastAsia"/>
        </w:rPr>
        <w:t>如果托管人合理怀疑一项指令的内容、授权、来源或指令不符合任何安全程序，或者如果托管人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5F0B5D" w:rsidRDefault="00086EB6">
      <w:pPr>
        <w:pStyle w:val="a0"/>
        <w:numPr>
          <w:ilvl w:val="0"/>
          <w:numId w:val="11"/>
        </w:numPr>
        <w:tabs>
          <w:tab w:val="clear" w:pos="840"/>
        </w:tabs>
        <w:ind w:left="180" w:firstLineChars="0" w:firstLine="360"/>
      </w:pPr>
      <w:r>
        <w:rPr>
          <w:rFonts w:hint="eastAsia"/>
        </w:rPr>
        <w:t>如果托管人按照被授权人士以按本协议约定的方式发出的任何指令执行，只要</w:t>
      </w:r>
      <w:r>
        <w:rPr>
          <w:rFonts w:hint="eastAsia"/>
        </w:rPr>
        <w:lastRenderedPageBreak/>
        <w:t>托管人遵守了约定程序，管理人将对托管人因执行该指令而可能产生的任何损失负责。</w:t>
      </w:r>
    </w:p>
    <w:p w:rsidR="005F0B5D" w:rsidRDefault="00086EB6">
      <w:pPr>
        <w:pStyle w:val="3"/>
      </w:pPr>
      <w:r>
        <w:t>托管人未按照管理人指令执行的处理程序</w:t>
      </w:r>
    </w:p>
    <w:p w:rsidR="005F0B5D" w:rsidRDefault="00086EB6">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5F0B5D" w:rsidRDefault="00086EB6">
      <w:pPr>
        <w:pStyle w:val="3"/>
      </w:pPr>
      <w:r>
        <w:t>被授权人的更换程序</w:t>
      </w:r>
    </w:p>
    <w:p w:rsidR="005F0B5D" w:rsidRDefault="00086EB6">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5F0B5D" w:rsidRDefault="00086EB6">
      <w:pPr>
        <w:pStyle w:val="3"/>
      </w:pPr>
      <w:r>
        <w:t>其他事项</w:t>
      </w:r>
    </w:p>
    <w:p w:rsidR="005F0B5D" w:rsidRDefault="00086EB6">
      <w:pPr>
        <w:pStyle w:val="a0"/>
        <w:ind w:firstLine="420"/>
      </w:pPr>
      <w:r>
        <w:rPr>
          <w:rFonts w:hint="eastAsia"/>
        </w:rPr>
        <w:t>托管人因执行管理人的有效指令对理财产品财产造成的损失不承担任何赔偿责任。</w:t>
      </w:r>
    </w:p>
    <w:p w:rsidR="005F0B5D" w:rsidRDefault="00086EB6">
      <w:pPr>
        <w:pStyle w:val="a0"/>
        <w:ind w:firstLine="420"/>
      </w:pPr>
      <w:r>
        <w:rPr>
          <w:rFonts w:hint="eastAsia"/>
        </w:rPr>
        <w:t>本产品对外投资前，管理人需与托管人就本产品涉及银行间及交易所市场交易清算模式进行协商并约定操作流程。</w:t>
      </w:r>
    </w:p>
    <w:p w:rsidR="005F0B5D" w:rsidRDefault="00086EB6">
      <w:pPr>
        <w:pStyle w:val="1"/>
      </w:pPr>
      <w:bookmarkStart w:id="5" w:name="_Toc23103157"/>
      <w:r>
        <w:rPr>
          <w:rFonts w:hint="eastAsia"/>
        </w:rPr>
        <w:t>理财产品的会计核算</w:t>
      </w:r>
      <w:bookmarkEnd w:id="5"/>
    </w:p>
    <w:p w:rsidR="005F0B5D" w:rsidRDefault="00086EB6">
      <w:pPr>
        <w:pStyle w:val="2"/>
      </w:pPr>
      <w:r>
        <w:rPr>
          <w:rFonts w:hint="eastAsia"/>
        </w:rPr>
        <w:t>理财产品的估值</w:t>
      </w:r>
    </w:p>
    <w:p w:rsidR="005F0B5D" w:rsidRDefault="00086EB6">
      <w:pPr>
        <w:pStyle w:val="3"/>
        <w:ind w:left="426" w:firstLine="420"/>
      </w:pPr>
      <w:r>
        <w:rPr>
          <w:rFonts w:hint="eastAsia"/>
        </w:rPr>
        <w:t>理财产品的估值</w:t>
      </w:r>
    </w:p>
    <w:p w:rsidR="005F0B5D" w:rsidRDefault="00086EB6">
      <w:pPr>
        <w:pStyle w:val="a0"/>
        <w:numPr>
          <w:ilvl w:val="0"/>
          <w:numId w:val="12"/>
        </w:numPr>
        <w:ind w:firstLineChars="0"/>
      </w:pPr>
      <w:r>
        <w:t>估值目的及程序</w:t>
      </w:r>
    </w:p>
    <w:p w:rsidR="005F0B5D" w:rsidRDefault="00086EB6">
      <w:pPr>
        <w:pStyle w:val="a0"/>
        <w:ind w:firstLine="420"/>
      </w:pPr>
      <w:r>
        <w:rPr>
          <w:rFonts w:hint="eastAsia"/>
        </w:rPr>
        <w:t>理财产品估值目的是为了准确、真实地反映理财产品相关金融资产和金融负债的公允价值，并为理财产品份额的参与和退出等提供计价依据。</w:t>
      </w:r>
    </w:p>
    <w:p w:rsidR="005F0B5D" w:rsidRDefault="00086EB6">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5F0B5D" w:rsidRDefault="00086EB6">
      <w:pPr>
        <w:pStyle w:val="a0"/>
        <w:ind w:firstLine="420"/>
      </w:pPr>
      <w:r>
        <w:rPr>
          <w:rFonts w:hint="eastAsia"/>
        </w:rPr>
        <w:t>就与理财产品有关的会计问题，本理财产品的会计责任方是管理人，托管人承担复核责任。当管理人与托管人的估值结果不一致时，各方应本着勤勉尽责的态度重新计算核对。如经相关各方在平等基础上充分讨论后，仍无法达成一致的意见，以管理人对理财产品份额净</w:t>
      </w:r>
      <w:r>
        <w:rPr>
          <w:rFonts w:hint="eastAsia"/>
        </w:rPr>
        <w:lastRenderedPageBreak/>
        <w:t>值的计算结果为准。</w:t>
      </w:r>
    </w:p>
    <w:p w:rsidR="005F0B5D" w:rsidRDefault="00086EB6">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5F0B5D" w:rsidRDefault="00086EB6">
      <w:pPr>
        <w:pStyle w:val="3"/>
      </w:pPr>
      <w:r>
        <w:t>估值依据及原则</w:t>
      </w:r>
    </w:p>
    <w:p w:rsidR="005F0B5D" w:rsidRDefault="00086EB6">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5F0B5D" w:rsidRDefault="00086EB6">
      <w:pPr>
        <w:pStyle w:val="a0"/>
        <w:ind w:firstLine="420"/>
      </w:pPr>
      <w:r>
        <w:rPr>
          <w:rFonts w:hint="eastAsia"/>
        </w:rPr>
        <w:t>估值的基本原则：</w:t>
      </w:r>
    </w:p>
    <w:p w:rsidR="005F0B5D" w:rsidRDefault="00086EB6">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5F0B5D" w:rsidRDefault="00086EB6">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5F0B5D" w:rsidRDefault="00086EB6">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5F0B5D" w:rsidRDefault="00086EB6">
      <w:pPr>
        <w:pStyle w:val="3"/>
      </w:pPr>
      <w:r>
        <w:t>具体投资品种估值方法</w:t>
      </w:r>
    </w:p>
    <w:p w:rsidR="005F0B5D" w:rsidRDefault="00086EB6">
      <w:pPr>
        <w:pStyle w:val="a0"/>
        <w:numPr>
          <w:ilvl w:val="0"/>
          <w:numId w:val="14"/>
        </w:numPr>
        <w:ind w:firstLineChars="0"/>
      </w:pPr>
      <w:r>
        <w:rPr>
          <w:rFonts w:hint="eastAsia"/>
        </w:rPr>
        <w:t>以持有到期为目的的债券、同业存单</w:t>
      </w:r>
      <w:r>
        <w:t>：</w:t>
      </w:r>
    </w:p>
    <w:p w:rsidR="005F0B5D" w:rsidRDefault="00086EB6">
      <w:pPr>
        <w:pStyle w:val="a0"/>
        <w:ind w:left="420" w:firstLine="420"/>
      </w:pPr>
      <w:proofErr w:type="gramStart"/>
      <w:r>
        <w:t>按摊余成本</w:t>
      </w:r>
      <w:proofErr w:type="gramEnd"/>
      <w:r>
        <w:rPr>
          <w:rFonts w:hint="eastAsia"/>
        </w:rPr>
        <w:t>法</w:t>
      </w:r>
      <w:r>
        <w:t>估值</w:t>
      </w:r>
      <w:r>
        <w:rPr>
          <w:rFonts w:hint="eastAsia"/>
        </w:rPr>
        <w:t>，即估值对象以买入成本列示，按照票面利率或商定利率并考虑买入时的溢价与折价，在剩余期限内平均摊销，每日计提收益。</w:t>
      </w:r>
    </w:p>
    <w:p w:rsidR="005F0B5D" w:rsidRDefault="00086EB6">
      <w:pPr>
        <w:pStyle w:val="a0"/>
        <w:numPr>
          <w:ilvl w:val="0"/>
          <w:numId w:val="14"/>
        </w:numPr>
        <w:ind w:firstLineChars="0"/>
      </w:pPr>
      <w:r>
        <w:rPr>
          <w:rFonts w:hint="eastAsia"/>
        </w:rPr>
        <w:t>非以持有到期为目的的债券、同业存单</w:t>
      </w:r>
      <w:r>
        <w:t>：</w:t>
      </w:r>
    </w:p>
    <w:p w:rsidR="005F0B5D" w:rsidRDefault="00086EB6" w:rsidP="000F242B">
      <w:pPr>
        <w:pStyle w:val="a0"/>
        <w:ind w:left="420" w:firstLine="420"/>
      </w:pPr>
      <w:r>
        <w:rPr>
          <w:rFonts w:hint="eastAsia"/>
        </w:rPr>
        <w:t>以市值法估值，对于不具备活跃交易市场的债券，采用估值技术确定公允价值。在估值技术难以可靠计量公允价值的情况下，以成本法估值。</w:t>
      </w:r>
    </w:p>
    <w:p w:rsidR="005F0B5D" w:rsidRDefault="00086EB6">
      <w:pPr>
        <w:pStyle w:val="a0"/>
        <w:numPr>
          <w:ilvl w:val="0"/>
          <w:numId w:val="14"/>
        </w:numPr>
        <w:ind w:firstLineChars="0"/>
      </w:pPr>
      <w:r>
        <w:lastRenderedPageBreak/>
        <w:t>银行存款：</w:t>
      </w:r>
    </w:p>
    <w:p w:rsidR="005F0B5D" w:rsidRDefault="00086EB6">
      <w:pPr>
        <w:pStyle w:val="a0"/>
        <w:ind w:left="420" w:firstLine="420"/>
      </w:pPr>
      <w:r>
        <w:rPr>
          <w:rFonts w:hint="eastAsia"/>
        </w:rPr>
        <w:t>按照约定利率在持有期内逐日计提应收利息，在利息到账日以实收利息入账。</w:t>
      </w:r>
    </w:p>
    <w:p w:rsidR="005F0B5D" w:rsidRDefault="00086EB6">
      <w:pPr>
        <w:pStyle w:val="a0"/>
        <w:numPr>
          <w:ilvl w:val="0"/>
          <w:numId w:val="14"/>
        </w:numPr>
        <w:ind w:firstLineChars="0"/>
      </w:pPr>
      <w:r>
        <w:t>货币市场基金：</w:t>
      </w:r>
    </w:p>
    <w:p w:rsidR="005F0B5D" w:rsidRDefault="00086EB6">
      <w:pPr>
        <w:pStyle w:val="a0"/>
        <w:ind w:left="420" w:firstLine="420"/>
      </w:pPr>
      <w:r>
        <w:rPr>
          <w:rFonts w:hint="eastAsia"/>
        </w:rPr>
        <w:t>按照每日万份收益计提收益。</w:t>
      </w:r>
    </w:p>
    <w:p w:rsidR="005F0B5D" w:rsidRDefault="00086EB6" w:rsidP="000F242B">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5F0B5D" w:rsidRDefault="00086EB6">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5F0B5D" w:rsidRDefault="00086EB6" w:rsidP="000F242B">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5F0B5D" w:rsidRDefault="00086EB6">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5F0B5D" w:rsidRDefault="00086EB6" w:rsidP="000F242B">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5F0B5D" w:rsidRDefault="00086EB6">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其他固定收益类投资以本金列示，按预期利率逐日计提收益。</w:t>
      </w:r>
    </w:p>
    <w:p w:rsidR="005F0B5D" w:rsidRDefault="00086EB6" w:rsidP="000F242B">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规定不能客观反映理财计划资产公允价值的，或缺乏可参考的市场价格时，管理人可根据具体情况，在综合考虑市场成交价、市场报价、流动性、收益率曲线等多种因素基础上，按最能反映理财计划资产公允价值的方法建模估值。</w:t>
      </w:r>
    </w:p>
    <w:p w:rsidR="005F0B5D" w:rsidRDefault="00086EB6">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如有新增事项或变更事项，按国家最新规定或理财计划管理</w:t>
      </w:r>
      <w:proofErr w:type="gramStart"/>
      <w:r>
        <w:rPr>
          <w:rFonts w:ascii="Times New Roman" w:hAnsi="Times New Roman" w:hint="eastAsia"/>
          <w:bCs/>
          <w:szCs w:val="32"/>
          <w:lang w:val="en-US"/>
        </w:rPr>
        <w:t>人最新</w:t>
      </w:r>
      <w:proofErr w:type="gramEnd"/>
      <w:r>
        <w:rPr>
          <w:rFonts w:ascii="Times New Roman" w:hAnsi="Times New Roman" w:hint="eastAsia"/>
          <w:bCs/>
          <w:szCs w:val="32"/>
          <w:lang w:val="en-US"/>
        </w:rPr>
        <w:t>约定估值。</w:t>
      </w:r>
    </w:p>
    <w:p w:rsidR="005F0B5D" w:rsidRDefault="00086EB6" w:rsidP="000F242B">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如有确凿证据表明按上述方法进行估值不能客观反映其公允价值的，资产管理人可根据具体情况与资产托管人商定后，按最能反映公允价值的价格估值。</w:t>
      </w:r>
    </w:p>
    <w:p w:rsidR="005F0B5D" w:rsidRDefault="00086EB6">
      <w:pPr>
        <w:pStyle w:val="2"/>
      </w:pPr>
      <w:r>
        <w:rPr>
          <w:rFonts w:hint="eastAsia"/>
        </w:rPr>
        <w:t>理财产品的会计核算</w:t>
      </w:r>
    </w:p>
    <w:p w:rsidR="005F0B5D" w:rsidRDefault="00086EB6">
      <w:pPr>
        <w:pStyle w:val="3"/>
      </w:pPr>
      <w:r>
        <w:t>会计核算原则</w:t>
      </w:r>
    </w:p>
    <w:p w:rsidR="005F0B5D" w:rsidRDefault="00086EB6">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5F0B5D" w:rsidRDefault="00086EB6">
      <w:pPr>
        <w:pStyle w:val="3"/>
      </w:pPr>
      <w:r>
        <w:t>理财产品账册的建立</w:t>
      </w:r>
    </w:p>
    <w:p w:rsidR="005F0B5D" w:rsidRDefault="00086EB6">
      <w:pPr>
        <w:pStyle w:val="a0"/>
        <w:ind w:firstLine="420"/>
      </w:pPr>
      <w:r>
        <w:rPr>
          <w:rFonts w:hint="eastAsia"/>
        </w:rPr>
        <w:t>托管人应按照双方约定的单个理财产品的会计核算细则独立地设置、登录和保管该理财产品的全套账册。</w:t>
      </w:r>
    </w:p>
    <w:p w:rsidR="005F0B5D" w:rsidRDefault="00086EB6">
      <w:pPr>
        <w:pStyle w:val="3"/>
      </w:pPr>
      <w:r>
        <w:t>资金和账目的核对</w:t>
      </w:r>
    </w:p>
    <w:p w:rsidR="005F0B5D" w:rsidRDefault="00086EB6">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5F0B5D" w:rsidRDefault="00086EB6">
      <w:pPr>
        <w:pStyle w:val="2"/>
      </w:pPr>
      <w:r>
        <w:rPr>
          <w:rFonts w:hint="eastAsia"/>
        </w:rPr>
        <w:lastRenderedPageBreak/>
        <w:t>利息的处理</w:t>
      </w:r>
    </w:p>
    <w:p w:rsidR="005F0B5D" w:rsidRDefault="00086EB6">
      <w:pPr>
        <w:pStyle w:val="a0"/>
        <w:ind w:firstLine="420"/>
      </w:pPr>
      <w:r>
        <w:rPr>
          <w:rFonts w:hint="eastAsia"/>
        </w:rPr>
        <w:t>以管理人和托管人共同认可的方式共同商定本产品的利息收入处理。</w:t>
      </w:r>
    </w:p>
    <w:p w:rsidR="005F0B5D" w:rsidRDefault="00086EB6">
      <w:pPr>
        <w:pStyle w:val="1"/>
      </w:pPr>
      <w:bookmarkStart w:id="6" w:name="_Toc23103158"/>
      <w:r>
        <w:rPr>
          <w:rFonts w:hint="eastAsia"/>
        </w:rPr>
        <w:t>理财产品信息披露和报告</w:t>
      </w:r>
      <w:bookmarkEnd w:id="6"/>
    </w:p>
    <w:p w:rsidR="005F0B5D" w:rsidRDefault="00086EB6">
      <w:pPr>
        <w:pStyle w:val="2"/>
      </w:pPr>
      <w:r>
        <w:t>保密义务</w:t>
      </w:r>
    </w:p>
    <w:p w:rsidR="005F0B5D" w:rsidRDefault="00086EB6">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5F0B5D" w:rsidRDefault="00086EB6">
      <w:pPr>
        <w:pStyle w:val="2"/>
      </w:pPr>
      <w:r>
        <w:t>信息披露的内容</w:t>
      </w:r>
    </w:p>
    <w:p w:rsidR="005F0B5D" w:rsidRDefault="00086EB6">
      <w:pPr>
        <w:pStyle w:val="a0"/>
        <w:ind w:firstLine="420"/>
      </w:pPr>
      <w:r>
        <w:rPr>
          <w:rFonts w:hint="eastAsia"/>
        </w:rPr>
        <w:t>根据国家相关法律法规、国内监管机关有关理财业务的相关规定,管理人应定期向投资者披露产品净值、投资状况、投资表现、风险状况等信息。</w:t>
      </w:r>
    </w:p>
    <w:p w:rsidR="005F0B5D" w:rsidRDefault="00086EB6">
      <w:pPr>
        <w:pStyle w:val="2"/>
      </w:pPr>
      <w:r>
        <w:t>信息披露程序</w:t>
      </w:r>
    </w:p>
    <w:p w:rsidR="005F0B5D" w:rsidRDefault="00086EB6">
      <w:pPr>
        <w:pStyle w:val="a0"/>
        <w:ind w:firstLine="420"/>
      </w:pPr>
      <w:r>
        <w:rPr>
          <w:rFonts w:hint="eastAsia"/>
        </w:rPr>
        <w:t>管理人负责办理与理财产品有关的信息披露事宜，涉及产品理财对外披露的财务数据应是经与托管人复核一致的数据。</w:t>
      </w:r>
    </w:p>
    <w:p w:rsidR="005F0B5D" w:rsidRDefault="00086EB6">
      <w:pPr>
        <w:ind w:firstLineChars="200" w:firstLine="420"/>
        <w:rPr>
          <w:szCs w:val="21"/>
        </w:rPr>
      </w:pPr>
      <w:r>
        <w:rPr>
          <w:rFonts w:hint="eastAsia"/>
          <w:szCs w:val="21"/>
        </w:rPr>
        <w:t>管理人和托管人应积极配合、互相监督，保证其履行按照法定方式和限时披露的义务。</w:t>
      </w:r>
    </w:p>
    <w:p w:rsidR="005F0B5D" w:rsidRDefault="00086EB6">
      <w:pPr>
        <w:pStyle w:val="1"/>
      </w:pPr>
      <w:bookmarkStart w:id="7" w:name="_Toc514142005"/>
      <w:bookmarkStart w:id="8" w:name="_Toc23103159"/>
      <w:r>
        <w:rPr>
          <w:rFonts w:hint="eastAsia"/>
        </w:rPr>
        <w:t>监督责</w:t>
      </w:r>
      <w:r>
        <w:rPr>
          <w:rStyle w:val="1Char"/>
          <w:rFonts w:hint="eastAsia"/>
          <w:b/>
        </w:rPr>
        <w:t>任</w:t>
      </w:r>
      <w:bookmarkEnd w:id="7"/>
      <w:bookmarkEnd w:id="8"/>
    </w:p>
    <w:p w:rsidR="005F0B5D" w:rsidRDefault="00086EB6">
      <w:pPr>
        <w:pStyle w:val="2"/>
      </w:pPr>
      <w:r>
        <w:rPr>
          <w:rFonts w:hint="eastAsia"/>
        </w:rPr>
        <w:t>托管人对管理人的业务监督和核查</w:t>
      </w:r>
    </w:p>
    <w:p w:rsidR="005F0B5D" w:rsidRDefault="00086EB6">
      <w:pPr>
        <w:pStyle w:val="3"/>
      </w:pPr>
      <w:r>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5F0B5D" w:rsidRDefault="00086EB6">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w:t>
      </w:r>
      <w:r>
        <w:rPr>
          <w:rFonts w:hint="eastAsia"/>
          <w:color w:val="000000"/>
        </w:rPr>
        <w:lastRenderedPageBreak/>
        <w:t>及附件。</w:t>
      </w:r>
    </w:p>
    <w:p w:rsidR="005F0B5D" w:rsidRDefault="00086EB6">
      <w:pPr>
        <w:pStyle w:val="3"/>
      </w:pPr>
      <w:r>
        <w:t>管理人有义务配合和协助托管人对理财产品业务执行核查。</w:t>
      </w:r>
    </w:p>
    <w:p w:rsidR="005F0B5D" w:rsidRDefault="00086EB6">
      <w:pPr>
        <w:pStyle w:val="2"/>
      </w:pPr>
      <w:r>
        <w:rPr>
          <w:rFonts w:hint="eastAsia"/>
        </w:rPr>
        <w:t>管理人对托管人的业务监督和核查</w:t>
      </w:r>
    </w:p>
    <w:p w:rsidR="005F0B5D" w:rsidRDefault="00086EB6">
      <w:pPr>
        <w:pStyle w:val="a0"/>
        <w:ind w:firstLine="420"/>
      </w:pPr>
      <w:r>
        <w:rPr>
          <w:rFonts w:hint="eastAsia"/>
        </w:rPr>
        <w:t>根据理财产品合同及本协议规定，管理人对托管人履行托管职责的合法合</w:t>
      </w:r>
      <w:proofErr w:type="gramStart"/>
      <w:r>
        <w:rPr>
          <w:rFonts w:hint="eastAsia"/>
        </w:rPr>
        <w:t>规</w:t>
      </w:r>
      <w:proofErr w:type="gramEnd"/>
      <w:r>
        <w:rPr>
          <w:rFonts w:hint="eastAsia"/>
        </w:rPr>
        <w:t>性进行监督。</w:t>
      </w:r>
    </w:p>
    <w:p w:rsidR="005F0B5D" w:rsidRDefault="00086EB6">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5F0B5D" w:rsidRDefault="00086EB6">
      <w:pPr>
        <w:pStyle w:val="3"/>
      </w:pPr>
      <w:r>
        <w:t>托管人有义务配合和协助管理人依照托管协议及其附件对理财产品业务执行核查。</w:t>
      </w:r>
    </w:p>
    <w:p w:rsidR="005F0B5D" w:rsidRDefault="00086EB6">
      <w:pPr>
        <w:pStyle w:val="2"/>
      </w:pPr>
      <w:r>
        <w:rPr>
          <w:rFonts w:hint="eastAsia"/>
        </w:rPr>
        <w:t>托管人对管理人的业务监督范围</w:t>
      </w:r>
    </w:p>
    <w:p w:rsidR="005F0B5D" w:rsidRDefault="00086EB6">
      <w:pPr>
        <w:pStyle w:val="3"/>
      </w:pPr>
      <w:r>
        <w:rPr>
          <w:rFonts w:hint="eastAsia"/>
        </w:rPr>
        <w:t>托管人根据有关法律法规和产品说明书的约定，对下述产品投资范围、投资对象进行监督。</w:t>
      </w:r>
    </w:p>
    <w:p w:rsidR="005F0B5D" w:rsidRDefault="00086EB6">
      <w:pPr>
        <w:spacing w:afterLines="100" w:after="312"/>
        <w:ind w:leftChars="400" w:left="840" w:rightChars="-1" w:right="-2"/>
        <w:rPr>
          <w:bCs/>
          <w:color w:val="000000"/>
          <w:szCs w:val="21"/>
        </w:rPr>
      </w:pPr>
      <w:r>
        <w:rPr>
          <w:rFonts w:hint="eastAsia"/>
          <w:bCs/>
          <w:color w:val="000000"/>
          <w:szCs w:val="21"/>
        </w:rPr>
        <w:t>（1）该期产品募集资金的投资范围包括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p w:rsidR="005F0B5D" w:rsidRDefault="00086EB6">
      <w:pPr>
        <w:spacing w:afterLines="100" w:after="312"/>
        <w:ind w:leftChars="400" w:left="840" w:rightChars="-1" w:right="-2"/>
        <w:rPr>
          <w:bCs/>
          <w:color w:val="000000"/>
          <w:szCs w:val="21"/>
        </w:rPr>
      </w:pPr>
      <w:r>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Look w:val="04A0" w:firstRow="1" w:lastRow="0" w:firstColumn="1" w:lastColumn="0" w:noHBand="0" w:noVBand="1"/>
      </w:tblPr>
      <w:tblGrid>
        <w:gridCol w:w="5020"/>
        <w:gridCol w:w="1674"/>
      </w:tblGrid>
      <w:tr w:rsidR="005F0B5D">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5F0B5D" w:rsidRDefault="00086EB6">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5F0B5D" w:rsidRDefault="00086EB6">
            <w:pPr>
              <w:widowControl/>
              <w:jc w:val="center"/>
              <w:rPr>
                <w:rFonts w:ascii="仿宋_GB2312" w:cs="TT4761o00"/>
                <w:sz w:val="24"/>
                <w:szCs w:val="30"/>
              </w:rPr>
            </w:pPr>
            <w:r>
              <w:rPr>
                <w:rFonts w:cs="宋体" w:hint="eastAsia"/>
                <w:b/>
                <w:bCs/>
                <w:color w:val="000000"/>
                <w:sz w:val="18"/>
                <w:szCs w:val="18"/>
              </w:rPr>
              <w:t>占比</w:t>
            </w:r>
          </w:p>
        </w:tc>
      </w:tr>
      <w:tr w:rsidR="005F0B5D">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5F0B5D" w:rsidRDefault="00086EB6">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t>0%-100%</w:t>
            </w:r>
          </w:p>
        </w:tc>
      </w:tr>
      <w:tr w:rsidR="005F0B5D">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5F0B5D" w:rsidRDefault="00086EB6">
            <w:pPr>
              <w:widowControl/>
              <w:jc w:val="left"/>
              <w:rPr>
                <w:rFonts w:cs="宋体"/>
                <w:color w:val="000000"/>
                <w:sz w:val="18"/>
                <w:szCs w:val="18"/>
              </w:rPr>
            </w:pPr>
            <w:r>
              <w:rPr>
                <w:rFonts w:cs="宋体" w:hint="eastAsia"/>
                <w:color w:val="000000"/>
                <w:sz w:val="18"/>
                <w:szCs w:val="18"/>
              </w:rPr>
              <w:lastRenderedPageBreak/>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t>0-100%</w:t>
            </w:r>
          </w:p>
        </w:tc>
      </w:tr>
      <w:tr w:rsidR="005F0B5D">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5F0B5D" w:rsidRDefault="00086EB6">
            <w:pPr>
              <w:widowControl/>
              <w:jc w:val="center"/>
              <w:rPr>
                <w:rFonts w:cs="宋体"/>
                <w:color w:val="000000"/>
                <w:sz w:val="18"/>
                <w:szCs w:val="18"/>
              </w:rPr>
            </w:pPr>
            <w:r>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tcPr>
          <w:p w:rsidR="005F0B5D" w:rsidRDefault="00086EB6">
            <w:pPr>
              <w:jc w:val="center"/>
              <w:rPr>
                <w:rFonts w:cs="宋体"/>
                <w:color w:val="000000"/>
                <w:sz w:val="18"/>
                <w:szCs w:val="18"/>
              </w:rPr>
            </w:pPr>
            <w:r>
              <w:rPr>
                <w:rFonts w:cs="宋体"/>
                <w:color w:val="000000"/>
                <w:sz w:val="18"/>
                <w:szCs w:val="18"/>
              </w:rPr>
              <w:t>100%</w:t>
            </w:r>
          </w:p>
        </w:tc>
      </w:tr>
    </w:tbl>
    <w:p w:rsidR="005F0B5D" w:rsidRDefault="00086EB6">
      <w:pPr>
        <w:spacing w:afterLines="100" w:after="312"/>
        <w:ind w:right="-2"/>
        <w:rPr>
          <w:bCs/>
          <w:color w:val="000000"/>
          <w:szCs w:val="21"/>
        </w:rPr>
      </w:pPr>
      <w:r>
        <w:rPr>
          <w:rFonts w:hint="eastAsia"/>
          <w:bCs/>
          <w:color w:val="000000"/>
          <w:szCs w:val="21"/>
        </w:rPr>
        <w:t>注:以上比例为各类别资产占该产品资产总值的占比。</w:t>
      </w:r>
      <w:r>
        <w:rPr>
          <w:bCs/>
          <w:color w:val="000000"/>
          <w:szCs w:val="21"/>
        </w:rPr>
        <w:t>”</w:t>
      </w:r>
    </w:p>
    <w:p w:rsidR="005F0B5D" w:rsidRDefault="00086EB6">
      <w:pPr>
        <w:pStyle w:val="3"/>
      </w:pPr>
      <w:r>
        <w:rPr>
          <w:rFonts w:hint="eastAsia"/>
        </w:rPr>
        <w:t>托管人根据有关法律法规和产品说明书的约定，对下述产品投融资比例进行监督。</w:t>
      </w:r>
    </w:p>
    <w:p w:rsidR="005F0B5D" w:rsidRDefault="00086EB6">
      <w:pPr>
        <w:pStyle w:val="3"/>
        <w:numPr>
          <w:ilvl w:val="0"/>
          <w:numId w:val="15"/>
        </w:numPr>
      </w:pPr>
      <w:r>
        <w:t>本产品投资单只证券或者单只证券投资基金的市值不得超过本产品净资产的</w:t>
      </w:r>
      <w:r>
        <w:t>10%</w:t>
      </w:r>
      <w:r>
        <w:t>。</w:t>
      </w:r>
    </w:p>
    <w:p w:rsidR="005F0B5D" w:rsidRDefault="00086EB6">
      <w:pPr>
        <w:pStyle w:val="a0"/>
        <w:numPr>
          <w:ilvl w:val="0"/>
          <w:numId w:val="15"/>
        </w:numPr>
        <w:ind w:firstLineChars="0"/>
        <w:rPr>
          <w:lang w:val="en-US"/>
        </w:rPr>
      </w:pPr>
      <w:r>
        <w:rPr>
          <w:rFonts w:hint="eastAsia"/>
          <w:lang w:val="en-US"/>
        </w:rPr>
        <w:t>管理人</w:t>
      </w:r>
      <w:r>
        <w:rPr>
          <w:lang w:val="en-US"/>
        </w:rPr>
        <w:t>发行的全部公</w:t>
      </w:r>
      <w:proofErr w:type="gramStart"/>
      <w:r>
        <w:rPr>
          <w:lang w:val="en-US"/>
        </w:rPr>
        <w:t>募资产</w:t>
      </w:r>
      <w:proofErr w:type="gramEnd"/>
      <w:r>
        <w:rPr>
          <w:lang w:val="en-US"/>
        </w:rPr>
        <w:t>管理产品投资单只证券或者单只证券投资基金的市值不得超过该证券市值或者证券投资基金市值的30%。</w:t>
      </w:r>
    </w:p>
    <w:p w:rsidR="005F0B5D" w:rsidRDefault="00086EB6">
      <w:pPr>
        <w:pStyle w:val="a0"/>
        <w:numPr>
          <w:ilvl w:val="0"/>
          <w:numId w:val="15"/>
        </w:numPr>
        <w:ind w:firstLineChars="0"/>
      </w:pPr>
      <w:r>
        <w:rPr>
          <w:lang w:val="en-US"/>
        </w:rPr>
        <w:t>本产品总资产不得超过该产品净资产的140%。</w:t>
      </w:r>
    </w:p>
    <w:p w:rsidR="005F0B5D" w:rsidRDefault="00086EB6">
      <w:pPr>
        <w:pStyle w:val="1"/>
      </w:pPr>
      <w:bookmarkStart w:id="9" w:name="_Toc23103160"/>
      <w:r>
        <w:rPr>
          <w:rFonts w:hint="eastAsia"/>
        </w:rPr>
        <w:t>理财产品费用</w:t>
      </w:r>
      <w:bookmarkEnd w:id="9"/>
    </w:p>
    <w:p w:rsidR="005F0B5D" w:rsidRDefault="00086EB6">
      <w:pPr>
        <w:pStyle w:val="2"/>
        <w:ind w:left="709" w:hanging="283"/>
      </w:pPr>
      <w:r>
        <w:rPr>
          <w:rFonts w:hint="eastAsia"/>
        </w:rPr>
        <w:t>理财产品的费用包括管理费、托管费、资金汇划的费用以及其他各项合理开支和费用，理财产品的费用由理财产品财产承担，并具有优先受偿权。</w:t>
      </w:r>
    </w:p>
    <w:p w:rsidR="005F0B5D" w:rsidRDefault="00086EB6">
      <w:pPr>
        <w:pStyle w:val="3"/>
        <w:ind w:left="0" w:firstLine="540"/>
      </w:pPr>
      <w:r>
        <w:t>管理费</w:t>
      </w:r>
    </w:p>
    <w:p w:rsidR="005F0B5D" w:rsidRDefault="00086EB6">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5F0B5D" w:rsidRDefault="00086EB6">
      <w:pPr>
        <w:pStyle w:val="3"/>
        <w:ind w:left="0" w:firstLine="540"/>
      </w:pPr>
      <w:r>
        <w:rPr>
          <w:rFonts w:hint="eastAsia"/>
        </w:rPr>
        <w:t>托管费的计算和支付：</w:t>
      </w:r>
    </w:p>
    <w:p w:rsidR="005F0B5D" w:rsidRDefault="00086EB6">
      <w:pPr>
        <w:ind w:firstLineChars="200" w:firstLine="420"/>
        <w:rPr>
          <w:szCs w:val="21"/>
        </w:rPr>
      </w:pPr>
      <w:r>
        <w:rPr>
          <w:rFonts w:hint="eastAsia"/>
          <w:szCs w:val="21"/>
        </w:rPr>
        <w:t>在通常情况下，托管费按前一日资产管理计划财产净值的年费率计提。计算方法如下：</w:t>
      </w:r>
    </w:p>
    <w:p w:rsidR="005F0B5D" w:rsidRDefault="00086EB6">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8842BE">
        <w:rPr>
          <w:rFonts w:hint="eastAsia"/>
          <w:szCs w:val="21"/>
          <w:highlight w:val="yellow"/>
          <w:u w:val="single"/>
        </w:rPr>
        <w:t>5</w:t>
      </w:r>
      <w:r>
        <w:rPr>
          <w:rFonts w:hint="eastAsia"/>
          <w:szCs w:val="21"/>
        </w:rPr>
        <w:t>%</w:t>
      </w:r>
    </w:p>
    <w:p w:rsidR="005F0B5D" w:rsidRDefault="00086EB6">
      <w:pPr>
        <w:ind w:firstLineChars="200" w:firstLine="420"/>
        <w:rPr>
          <w:szCs w:val="21"/>
        </w:rPr>
      </w:pPr>
      <w:r>
        <w:rPr>
          <w:rFonts w:hint="eastAsia"/>
          <w:szCs w:val="21"/>
        </w:rPr>
        <w:t>H为每日应计提的委托财产托管费</w:t>
      </w:r>
    </w:p>
    <w:p w:rsidR="005F0B5D" w:rsidRDefault="00086EB6">
      <w:pPr>
        <w:ind w:firstLineChars="200" w:firstLine="420"/>
        <w:rPr>
          <w:szCs w:val="21"/>
        </w:rPr>
      </w:pPr>
      <w:r>
        <w:rPr>
          <w:rFonts w:hint="eastAsia"/>
          <w:szCs w:val="21"/>
        </w:rPr>
        <w:lastRenderedPageBreak/>
        <w:t>E为前一日资产管理计划财产净值</w:t>
      </w:r>
    </w:p>
    <w:p w:rsidR="005F0B5D" w:rsidRDefault="00086EB6">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5F0B5D" w:rsidRDefault="00086EB6">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5F0B5D" w:rsidRDefault="00086EB6">
      <w:pPr>
        <w:pStyle w:val="2"/>
        <w:ind w:left="709" w:hanging="283"/>
      </w:pPr>
      <w:r>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托管账户中主动扣收。</w:t>
      </w:r>
    </w:p>
    <w:p w:rsidR="005F0B5D" w:rsidRDefault="00086EB6">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5F0B5D" w:rsidRDefault="00086EB6">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5F0B5D" w:rsidRDefault="00086EB6">
      <w:pPr>
        <w:pStyle w:val="1"/>
      </w:pPr>
      <w:bookmarkStart w:id="10" w:name="_Toc23103161"/>
      <w:r>
        <w:rPr>
          <w:rFonts w:hint="eastAsia"/>
        </w:rPr>
        <w:t>理财产品有关文件和档案的保存</w:t>
      </w:r>
      <w:bookmarkEnd w:id="10"/>
    </w:p>
    <w:p w:rsidR="005F0B5D" w:rsidRDefault="00086EB6">
      <w:pPr>
        <w:pStyle w:val="2"/>
      </w:pPr>
      <w:r>
        <w:t>会计档案的保存</w:t>
      </w:r>
    </w:p>
    <w:p w:rsidR="005F0B5D" w:rsidRDefault="00086EB6">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5F0B5D" w:rsidRDefault="00086EB6">
      <w:pPr>
        <w:pStyle w:val="3"/>
      </w:pPr>
      <w:r>
        <w:rPr>
          <w:rFonts w:hint="eastAsia"/>
        </w:rPr>
        <w:t>为理财产品财产管理和托管之目的，非原件保管一方需要使用上述原件的，保管原件一方应提供复印件并加盖业务章后提供给对方。</w:t>
      </w:r>
    </w:p>
    <w:p w:rsidR="005F0B5D" w:rsidRDefault="00086EB6">
      <w:pPr>
        <w:pStyle w:val="2"/>
      </w:pPr>
      <w:r>
        <w:t>保密</w:t>
      </w:r>
    </w:p>
    <w:p w:rsidR="005F0B5D" w:rsidRDefault="00086EB6">
      <w:pPr>
        <w:pStyle w:val="a0"/>
        <w:ind w:firstLine="420"/>
      </w:pPr>
      <w:r>
        <w:rPr>
          <w:rFonts w:hint="eastAsia"/>
        </w:rPr>
        <w:lastRenderedPageBreak/>
        <w:t>托管人和管理人对所保管的理财产品有关文件和档案应遵守保密义务，但法律、行政法规或相关监管当局要求披露的除外。</w:t>
      </w:r>
    </w:p>
    <w:p w:rsidR="005F0B5D" w:rsidRDefault="00086EB6">
      <w:pPr>
        <w:pStyle w:val="1"/>
      </w:pPr>
      <w:bookmarkStart w:id="11" w:name="_Ref236051721"/>
      <w:bookmarkStart w:id="12" w:name="_Toc23103162"/>
      <w:r>
        <w:rPr>
          <w:rFonts w:hint="eastAsia"/>
        </w:rPr>
        <w:t>理财产品的终止与清算</w:t>
      </w:r>
      <w:bookmarkEnd w:id="11"/>
      <w:bookmarkEnd w:id="12"/>
    </w:p>
    <w:p w:rsidR="005F0B5D" w:rsidRDefault="00086EB6">
      <w:pPr>
        <w:pStyle w:val="2"/>
      </w:pPr>
      <w:r>
        <w:rPr>
          <w:rFonts w:hint="eastAsia"/>
        </w:rPr>
        <w:t>理财产品的终止条件</w:t>
      </w:r>
    </w:p>
    <w:p w:rsidR="005F0B5D" w:rsidRDefault="00086EB6">
      <w:pPr>
        <w:pStyle w:val="a0"/>
        <w:ind w:firstLine="420"/>
      </w:pPr>
      <w:r>
        <w:rPr>
          <w:rFonts w:hint="eastAsia"/>
        </w:rPr>
        <w:t>单个理财产品终止的条件依据单个理财产品文件上的具体约定确定。</w:t>
      </w:r>
    </w:p>
    <w:p w:rsidR="005F0B5D" w:rsidRDefault="00086EB6">
      <w:pPr>
        <w:pStyle w:val="2"/>
      </w:pPr>
      <w:r>
        <w:rPr>
          <w:rFonts w:hint="eastAsia"/>
        </w:rPr>
        <w:t>理财产品的终止清算</w:t>
      </w:r>
    </w:p>
    <w:p w:rsidR="005F0B5D" w:rsidRDefault="00086EB6">
      <w:pPr>
        <w:pStyle w:val="a0"/>
        <w:ind w:firstLine="420"/>
      </w:pPr>
      <w:r>
        <w:rPr>
          <w:rFonts w:hint="eastAsia"/>
        </w:rPr>
        <w:t>理财产品终止时，</w:t>
      </w:r>
      <w:r>
        <w:t>由管理人发布理财产品清算公告</w:t>
      </w:r>
      <w:r>
        <w:rPr>
          <w:rFonts w:hint="eastAsia"/>
        </w:rPr>
        <w:t>，清算公告中如涉及理财产品的财务数据应是经托管人核对一致的数据。</w:t>
      </w:r>
    </w:p>
    <w:p w:rsidR="005F0B5D" w:rsidRDefault="00086EB6">
      <w:pPr>
        <w:pStyle w:val="a0"/>
        <w:ind w:firstLine="420"/>
      </w:pPr>
      <w:r>
        <w:rPr>
          <w:rFonts w:hint="eastAsia"/>
        </w:rPr>
        <w:t>托管人按照管理人的划款指令进行相关款项的划付。</w:t>
      </w:r>
    </w:p>
    <w:p w:rsidR="005F0B5D" w:rsidRDefault="00086EB6">
      <w:pPr>
        <w:pStyle w:val="1"/>
      </w:pPr>
      <w:bookmarkStart w:id="13" w:name="_Toc23103163"/>
      <w:r>
        <w:rPr>
          <w:rFonts w:hint="eastAsia"/>
        </w:rPr>
        <w:t>免责条款</w:t>
      </w:r>
      <w:bookmarkEnd w:id="13"/>
    </w:p>
    <w:p w:rsidR="005F0B5D" w:rsidRDefault="00086EB6">
      <w:pPr>
        <w:pStyle w:val="a0"/>
        <w:ind w:firstLine="420"/>
      </w:pPr>
      <w:r>
        <w:rPr>
          <w:rFonts w:hint="eastAsia"/>
        </w:rPr>
        <w:t>托管人不对由于下列原因没有履行其协议职责而造成的损失负责：</w:t>
      </w:r>
    </w:p>
    <w:p w:rsidR="005F0B5D" w:rsidRDefault="00086EB6">
      <w:pPr>
        <w:pStyle w:val="2"/>
      </w:pPr>
      <w:r>
        <w:rPr>
          <w:rFonts w:hint="eastAsia"/>
        </w:rPr>
        <w:t>不可抗力</w:t>
      </w:r>
    </w:p>
    <w:p w:rsidR="005F0B5D" w:rsidRDefault="00086EB6">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5F0B5D" w:rsidRDefault="00086EB6">
      <w:pPr>
        <w:pStyle w:val="a0"/>
        <w:ind w:firstLine="420"/>
        <w:rPr>
          <w:szCs w:val="21"/>
        </w:rPr>
      </w:pPr>
      <w:r>
        <w:rPr>
          <w:rFonts w:hint="eastAsia"/>
        </w:rPr>
        <w:t>发生不可抗力事件时，双方应共同努力在可能的情况下采取合理措施最大程度的降低理财产品财产的损失和风险。</w:t>
      </w:r>
    </w:p>
    <w:p w:rsidR="005F0B5D" w:rsidRDefault="00086EB6">
      <w:pPr>
        <w:pStyle w:val="2"/>
      </w:pPr>
      <w:r>
        <w:rPr>
          <w:rFonts w:hint="eastAsia"/>
        </w:rPr>
        <w:t>其他责任限制</w:t>
      </w:r>
    </w:p>
    <w:p w:rsidR="005F0B5D" w:rsidRDefault="00086EB6">
      <w:pPr>
        <w:pStyle w:val="3"/>
      </w:pPr>
      <w:r>
        <w:t>托管人不承担按照中国银监会的规定或当时有效的法律法规作为或不作为而造成的损失；</w:t>
      </w:r>
    </w:p>
    <w:p w:rsidR="005F0B5D" w:rsidRDefault="00086EB6">
      <w:pPr>
        <w:pStyle w:val="3"/>
      </w:pPr>
      <w:r>
        <w:t>托管人仅应履行本协议明文规定的职责，包括执行按本协议及其附件规定发出的任何指令。托管人不承担任何默示的职责和义务。</w:t>
      </w:r>
    </w:p>
    <w:p w:rsidR="005F0B5D" w:rsidRDefault="00086EB6">
      <w:pPr>
        <w:pStyle w:val="3"/>
      </w:pPr>
      <w:r>
        <w:lastRenderedPageBreak/>
        <w:t>托管人对由于按照管理人有效指令行事而造成的损失不承担责任。</w:t>
      </w:r>
    </w:p>
    <w:p w:rsidR="005F0B5D" w:rsidRDefault="00086EB6">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5F0B5D" w:rsidRDefault="00086EB6">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5F0B5D" w:rsidRDefault="00086EB6">
      <w:pPr>
        <w:pStyle w:val="3"/>
      </w:pPr>
      <w:r>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5F0B5D" w:rsidRDefault="00086EB6">
      <w:pPr>
        <w:pStyle w:val="3"/>
      </w:pPr>
      <w:r>
        <w:t>在收取证券时，托管人应履行合理尽责义务，但不保证或担保其收到的任何证券的真实性、价值或有效性。</w:t>
      </w:r>
    </w:p>
    <w:p w:rsidR="005F0B5D" w:rsidRDefault="00086EB6">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5F0B5D" w:rsidRDefault="00086EB6">
      <w:pPr>
        <w:pStyle w:val="1"/>
      </w:pPr>
      <w:bookmarkStart w:id="14" w:name="_Toc23103164"/>
      <w:r>
        <w:rPr>
          <w:rFonts w:hint="eastAsia"/>
        </w:rPr>
        <w:t>托管协议的生效、修改和终止</w:t>
      </w:r>
      <w:bookmarkEnd w:id="14"/>
    </w:p>
    <w:p w:rsidR="005F0B5D" w:rsidRDefault="00086EB6">
      <w:pPr>
        <w:pStyle w:val="2"/>
      </w:pPr>
      <w:r>
        <w:rPr>
          <w:rFonts w:hint="eastAsia"/>
        </w:rPr>
        <w:t>本协议的有效期</w:t>
      </w:r>
    </w:p>
    <w:p w:rsidR="005F0B5D" w:rsidRDefault="00086EB6">
      <w:pPr>
        <w:pStyle w:val="a0"/>
        <w:ind w:firstLine="420"/>
      </w:pPr>
      <w:r>
        <w:rPr>
          <w:rFonts w:hint="eastAsia"/>
        </w:rPr>
        <w:t>本协议经双方当事人加盖公章（或合同专用章）以及双方法定代表人/负责人或授权代理人签字（或盖章）后于签署之日起生效。本协议的有效期自生效日起至下列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5F0B5D" w:rsidRDefault="00086EB6">
      <w:pPr>
        <w:pStyle w:val="2"/>
      </w:pPr>
      <w:bookmarkStart w:id="15" w:name="_Ref236051676"/>
      <w:r>
        <w:rPr>
          <w:rFonts w:hint="eastAsia"/>
        </w:rPr>
        <w:t>发生以下情况，本托管协议终止：</w:t>
      </w:r>
      <w:bookmarkEnd w:id="15"/>
    </w:p>
    <w:p w:rsidR="005F0B5D" w:rsidRDefault="00086EB6">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5F0B5D" w:rsidRDefault="00086EB6">
      <w:pPr>
        <w:pStyle w:val="3"/>
      </w:pPr>
      <w:r>
        <w:t>本协议生效未满</w:t>
      </w:r>
      <w:r>
        <w:t>3</w:t>
      </w:r>
      <w:r>
        <w:t>个完整年度，</w:t>
      </w:r>
      <w:r>
        <w:rPr>
          <w:rFonts w:hint="eastAsia"/>
        </w:rPr>
        <w:t>但</w:t>
      </w:r>
      <w:r>
        <w:t>管理人和托管人达成一致意见，同意终止本托管协议；</w:t>
      </w:r>
    </w:p>
    <w:p w:rsidR="005F0B5D" w:rsidRDefault="00086EB6">
      <w:pPr>
        <w:pStyle w:val="3"/>
      </w:pPr>
      <w:bookmarkStart w:id="16" w:name="_Ref236051763"/>
      <w:r>
        <w:t>托管人依法解散、被依法撤销、被依法宣告破产或被监管部门撤销托管业务资格而导致的由其他托管人接管理财产品财产；</w:t>
      </w:r>
      <w:bookmarkEnd w:id="16"/>
    </w:p>
    <w:p w:rsidR="005F0B5D" w:rsidRDefault="00086EB6">
      <w:pPr>
        <w:pStyle w:val="3"/>
      </w:pPr>
      <w:bookmarkStart w:id="17" w:name="_Ref236051765"/>
      <w:r>
        <w:t>管理人依法解散、被依法撤销、被依法宣告破产或被监管部门撤销理财业务资</w:t>
      </w:r>
      <w:r>
        <w:lastRenderedPageBreak/>
        <w:t>格而导致的由其他管理人接管其理财产品管理权；</w:t>
      </w:r>
      <w:bookmarkEnd w:id="17"/>
    </w:p>
    <w:p w:rsidR="005F0B5D" w:rsidRDefault="00086EB6">
      <w:pPr>
        <w:pStyle w:val="3"/>
      </w:pPr>
      <w:r>
        <w:t>发生法律法规规定的终止事项。</w:t>
      </w:r>
    </w:p>
    <w:p w:rsidR="005F0B5D" w:rsidRDefault="00086EB6">
      <w:pPr>
        <w:pStyle w:val="2"/>
      </w:pPr>
      <w:r>
        <w:rPr>
          <w:rFonts w:hint="eastAsia"/>
        </w:rPr>
        <w:t>协议终止的处理</w:t>
      </w:r>
    </w:p>
    <w:p w:rsidR="005F0B5D" w:rsidRDefault="00086EB6">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5F0B5D" w:rsidRDefault="00086EB6">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5F0B5D" w:rsidRDefault="00086EB6">
      <w:pPr>
        <w:pStyle w:val="1"/>
      </w:pPr>
      <w:bookmarkStart w:id="18" w:name="_Toc238352123"/>
      <w:bookmarkStart w:id="19" w:name="_Toc238352124"/>
      <w:bookmarkStart w:id="20" w:name="_Toc23103165"/>
      <w:bookmarkEnd w:id="18"/>
      <w:bookmarkEnd w:id="19"/>
      <w:r>
        <w:rPr>
          <w:rFonts w:hint="eastAsia"/>
        </w:rPr>
        <w:t>其他事项</w:t>
      </w:r>
      <w:bookmarkEnd w:id="20"/>
    </w:p>
    <w:p w:rsidR="005F0B5D" w:rsidRDefault="00086EB6">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5F0B5D" w:rsidRDefault="00086EB6">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5F0B5D" w:rsidRDefault="00086EB6">
      <w:pPr>
        <w:pStyle w:val="2"/>
        <w:ind w:left="851" w:hanging="425"/>
      </w:pPr>
      <w:r>
        <w:t>管理人和托管人在履行本协议及其各附件的各项条款过程中形成的通知、报告、函件等书面文件（含复印件和传真件），均构成本协议的一部分，与本协议具有同等的法律效力。</w:t>
      </w:r>
    </w:p>
    <w:p w:rsidR="005F0B5D" w:rsidRDefault="00086EB6">
      <w:pPr>
        <w:pStyle w:val="2"/>
        <w:ind w:left="851" w:hanging="425"/>
      </w:pPr>
      <w:r>
        <w:t>若执行本协议过程中管理人和托管人双方发生分歧，双方应本着保护理财产品财产和理财产品投资人的利益的原则共同协商解决。</w:t>
      </w:r>
    </w:p>
    <w:p w:rsidR="005F0B5D" w:rsidRDefault="00086EB6">
      <w:pPr>
        <w:pStyle w:val="2"/>
        <w:ind w:left="851" w:hanging="425"/>
      </w:pPr>
      <w:r>
        <w:t>本协议非经管理人和托管人双方书面同意，不得修改。</w:t>
      </w:r>
    </w:p>
    <w:p w:rsidR="005F0B5D" w:rsidRDefault="00086EB6">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5F0B5D" w:rsidRDefault="00086EB6">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5F0B5D" w:rsidRDefault="00086EB6">
      <w:pPr>
        <w:pStyle w:val="2"/>
        <w:ind w:left="851" w:hanging="425"/>
      </w:pPr>
      <w:r>
        <w:t>本托管协议壹式肆份，管理人和托管人分别持有贰份，每份具有同等的法律效力。</w:t>
      </w:r>
    </w:p>
    <w:p w:rsidR="005F0B5D" w:rsidRDefault="005F0B5D"/>
    <w:p w:rsidR="005F0B5D" w:rsidRDefault="00086EB6">
      <w:pPr>
        <w:rPr>
          <w:szCs w:val="21"/>
        </w:rPr>
      </w:pPr>
      <w:r>
        <w:rPr>
          <w:szCs w:val="21"/>
        </w:rPr>
        <w:br w:type="page"/>
      </w:r>
      <w:r>
        <w:rPr>
          <w:rFonts w:hint="eastAsia"/>
          <w:szCs w:val="21"/>
        </w:rPr>
        <w:lastRenderedPageBreak/>
        <w:t>（本页为签署页，无正文）</w:t>
      </w:r>
    </w:p>
    <w:p w:rsidR="005F0B5D" w:rsidRDefault="005F0B5D">
      <w:pPr>
        <w:rPr>
          <w:szCs w:val="21"/>
        </w:rPr>
      </w:pPr>
    </w:p>
    <w:p w:rsidR="005F0B5D" w:rsidRDefault="00086EB6">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5F0B5D" w:rsidRDefault="005F0B5D">
      <w:pPr>
        <w:rPr>
          <w:szCs w:val="21"/>
        </w:rPr>
      </w:pPr>
    </w:p>
    <w:p w:rsidR="005F0B5D" w:rsidRDefault="005F0B5D">
      <w:pPr>
        <w:pStyle w:val="a0"/>
        <w:ind w:firstLine="420"/>
      </w:pPr>
    </w:p>
    <w:p w:rsidR="005F0B5D" w:rsidRDefault="005F0B5D">
      <w:pPr>
        <w:rPr>
          <w:szCs w:val="21"/>
        </w:rPr>
      </w:pPr>
    </w:p>
    <w:p w:rsidR="005F0B5D" w:rsidRDefault="00086EB6">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5F0B5D" w:rsidRDefault="005F0B5D">
      <w:pPr>
        <w:rPr>
          <w:b/>
          <w:szCs w:val="21"/>
        </w:rPr>
      </w:pPr>
    </w:p>
    <w:p w:rsidR="005F0B5D" w:rsidRDefault="00086EB6">
      <w:pPr>
        <w:rPr>
          <w:b/>
          <w:szCs w:val="21"/>
        </w:rPr>
      </w:pPr>
      <w:r>
        <w:rPr>
          <w:rFonts w:hint="eastAsia"/>
          <w:b/>
          <w:szCs w:val="21"/>
        </w:rPr>
        <w:t>法定代表人/负责人或授权代理人（签字或盖章）：</w:t>
      </w:r>
      <w:r>
        <w:rPr>
          <w:b/>
          <w:szCs w:val="21"/>
        </w:rPr>
        <w:t xml:space="preserve"> </w:t>
      </w:r>
    </w:p>
    <w:p w:rsidR="005F0B5D" w:rsidRDefault="005F0B5D">
      <w:pPr>
        <w:rPr>
          <w:b/>
          <w:szCs w:val="21"/>
        </w:rPr>
      </w:pPr>
    </w:p>
    <w:p w:rsidR="005F0B5D" w:rsidRDefault="005F0B5D">
      <w:pPr>
        <w:rPr>
          <w:b/>
          <w:szCs w:val="21"/>
        </w:rPr>
      </w:pPr>
    </w:p>
    <w:p w:rsidR="005F0B5D" w:rsidRDefault="005F0B5D">
      <w:pPr>
        <w:pStyle w:val="a0"/>
        <w:ind w:firstLine="420"/>
      </w:pPr>
    </w:p>
    <w:p w:rsidR="005F0B5D" w:rsidRDefault="005F0B5D">
      <w:pPr>
        <w:rPr>
          <w:szCs w:val="21"/>
        </w:rPr>
      </w:pPr>
    </w:p>
    <w:p w:rsidR="005F0B5D" w:rsidRDefault="005F0B5D">
      <w:pPr>
        <w:pStyle w:val="a0"/>
        <w:ind w:firstLine="420"/>
        <w:rPr>
          <w:lang w:val="en-US"/>
        </w:rPr>
      </w:pPr>
    </w:p>
    <w:p w:rsidR="005F0B5D" w:rsidRDefault="005F0B5D">
      <w:pPr>
        <w:rPr>
          <w:szCs w:val="21"/>
        </w:rPr>
      </w:pPr>
    </w:p>
    <w:p w:rsidR="005F0B5D" w:rsidRDefault="00086EB6">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5F0B5D" w:rsidRDefault="005F0B5D">
      <w:pPr>
        <w:rPr>
          <w:b/>
          <w:szCs w:val="21"/>
        </w:rPr>
      </w:pPr>
    </w:p>
    <w:p w:rsidR="005F0B5D" w:rsidRDefault="005F0B5D">
      <w:pPr>
        <w:rPr>
          <w:b/>
          <w:szCs w:val="21"/>
        </w:rPr>
      </w:pPr>
    </w:p>
    <w:p w:rsidR="005F0B5D" w:rsidRDefault="00086EB6">
      <w:pPr>
        <w:rPr>
          <w:b/>
          <w:szCs w:val="21"/>
        </w:rPr>
      </w:pPr>
      <w:r>
        <w:rPr>
          <w:rFonts w:hint="eastAsia"/>
          <w:b/>
          <w:szCs w:val="21"/>
        </w:rPr>
        <w:t>法定代表人/负责人或授权代理人（签字或盖章）：</w:t>
      </w:r>
    </w:p>
    <w:p w:rsidR="005F0B5D" w:rsidRDefault="005F0B5D">
      <w:pPr>
        <w:rPr>
          <w:szCs w:val="21"/>
        </w:rPr>
      </w:pPr>
    </w:p>
    <w:p w:rsidR="005F0B5D" w:rsidRDefault="005F0B5D">
      <w:pPr>
        <w:rPr>
          <w:szCs w:val="21"/>
        </w:rPr>
      </w:pPr>
    </w:p>
    <w:p w:rsidR="005F0B5D" w:rsidRDefault="005F0B5D">
      <w:pPr>
        <w:rPr>
          <w:szCs w:val="21"/>
        </w:rPr>
      </w:pPr>
    </w:p>
    <w:p w:rsidR="005F0B5D" w:rsidRDefault="005F0B5D">
      <w:pPr>
        <w:pStyle w:val="a0"/>
        <w:ind w:firstLine="420"/>
      </w:pPr>
    </w:p>
    <w:p w:rsidR="005F0B5D" w:rsidRDefault="005F0B5D">
      <w:pPr>
        <w:pStyle w:val="a0"/>
        <w:ind w:firstLine="420"/>
      </w:pPr>
    </w:p>
    <w:p w:rsidR="005F0B5D" w:rsidRDefault="00086EB6">
      <w:pPr>
        <w:pStyle w:val="a9"/>
        <w:pageBreakBefore/>
        <w:spacing w:before="78" w:after="312"/>
        <w:rPr>
          <w:color w:val="000000"/>
          <w:sz w:val="21"/>
          <w:szCs w:val="21"/>
        </w:rPr>
      </w:pPr>
      <w:bookmarkStart w:id="21" w:name="_Toc396222290"/>
      <w:bookmarkStart w:id="22" w:name="_Toc23103166"/>
      <w:r>
        <w:rPr>
          <w:rFonts w:hint="eastAsia"/>
          <w:color w:val="000000"/>
          <w:sz w:val="21"/>
          <w:szCs w:val="21"/>
        </w:rPr>
        <w:lastRenderedPageBreak/>
        <w:t>附件一：划款指令及相关业务授权书（格式）</w:t>
      </w:r>
      <w:bookmarkEnd w:id="21"/>
      <w:bookmarkEnd w:id="22"/>
    </w:p>
    <w:p w:rsidR="005F0B5D" w:rsidRDefault="005F0B5D">
      <w:pPr>
        <w:rPr>
          <w:color w:val="000000"/>
        </w:rPr>
      </w:pPr>
    </w:p>
    <w:p w:rsidR="005F0B5D" w:rsidRDefault="00086EB6">
      <w:pPr>
        <w:rPr>
          <w:color w:val="000000"/>
        </w:rPr>
      </w:pPr>
      <w:r>
        <w:rPr>
          <w:rFonts w:hint="eastAsia"/>
          <w:color w:val="000000"/>
        </w:rPr>
        <w:t>致：上海浦东发展银行股份有限公司</w:t>
      </w:r>
    </w:p>
    <w:p w:rsidR="005F0B5D" w:rsidRDefault="00086EB6">
      <w:pPr>
        <w:rPr>
          <w:color w:val="000000"/>
        </w:rPr>
      </w:pPr>
      <w:r>
        <w:rPr>
          <w:rFonts w:hint="eastAsia"/>
          <w:color w:val="000000"/>
        </w:rPr>
        <w:t>敬启者：</w:t>
      </w:r>
    </w:p>
    <w:p w:rsidR="005F0B5D" w:rsidRDefault="00086EB6">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w:t>
      </w:r>
      <w:r>
        <w:rPr>
          <w:rFonts w:hint="eastAsia"/>
          <w:b/>
          <w:bCs/>
          <w:color w:val="000000"/>
        </w:rPr>
        <w:t>浦发银行鑫盈利系列1年定开12号</w:t>
      </w:r>
      <w:r>
        <w:rPr>
          <w:rFonts w:hint="eastAsia"/>
          <w:color w:val="000000"/>
        </w:rPr>
        <w:t>银行理财托管协议》（以下简称“该协议”）出具本函。该协议中所定义的词语在本函中应具有相同的含义。</w:t>
      </w:r>
    </w:p>
    <w:p w:rsidR="005F0B5D" w:rsidRDefault="00086EB6">
      <w:pPr>
        <w:pStyle w:val="a0"/>
        <w:ind w:firstLine="420"/>
        <w:rPr>
          <w:color w:val="000000"/>
        </w:rPr>
      </w:pPr>
      <w:r>
        <w:rPr>
          <w:rFonts w:hint="eastAsia"/>
          <w:color w:val="000000"/>
        </w:rPr>
        <w:t>在本协议有限期间，我司作为管理人特对下述人员及印章的授权事宜说明如下：</w:t>
      </w:r>
    </w:p>
    <w:p w:rsidR="005F0B5D" w:rsidRDefault="00086EB6">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5F0B5D" w:rsidRDefault="00086EB6">
      <w:pPr>
        <w:pStyle w:val="a0"/>
        <w:ind w:firstLine="420"/>
        <w:rPr>
          <w:color w:val="000000"/>
        </w:rPr>
      </w:pPr>
      <w:r>
        <w:rPr>
          <w:rFonts w:hint="eastAsia"/>
          <w:color w:val="000000"/>
        </w:rPr>
        <w:t>授权签发人（预留签字或名章）：</w:t>
      </w:r>
    </w:p>
    <w:p w:rsidR="005F0B5D" w:rsidRDefault="005F0B5D">
      <w:pPr>
        <w:pStyle w:val="a0"/>
        <w:ind w:firstLine="420"/>
        <w:rPr>
          <w:color w:val="000000"/>
        </w:rPr>
      </w:pPr>
    </w:p>
    <w:p w:rsidR="005F0B5D" w:rsidRDefault="005F0B5D">
      <w:pPr>
        <w:pStyle w:val="a0"/>
        <w:ind w:firstLineChars="0" w:firstLine="0"/>
        <w:rPr>
          <w:color w:val="000000"/>
        </w:rPr>
      </w:pPr>
    </w:p>
    <w:p w:rsidR="005F0B5D" w:rsidRDefault="00086EB6">
      <w:pPr>
        <w:pStyle w:val="a0"/>
        <w:ind w:firstLine="420"/>
        <w:rPr>
          <w:color w:val="000000"/>
        </w:rPr>
      </w:pPr>
      <w:r>
        <w:rPr>
          <w:rFonts w:hint="eastAsia"/>
          <w:color w:val="000000"/>
        </w:rPr>
        <w:t>划款指令签发业务章（预留印鉴章）</w:t>
      </w:r>
      <w:r>
        <w:rPr>
          <w:color w:val="000000"/>
        </w:rPr>
        <w:t>:</w:t>
      </w:r>
    </w:p>
    <w:p w:rsidR="005F0B5D" w:rsidRDefault="005F0B5D">
      <w:pPr>
        <w:pStyle w:val="a0"/>
        <w:ind w:firstLineChars="0" w:firstLine="0"/>
        <w:rPr>
          <w:color w:val="000000"/>
        </w:rPr>
      </w:pPr>
    </w:p>
    <w:p w:rsidR="005F0B5D" w:rsidRDefault="005F0B5D">
      <w:pPr>
        <w:pStyle w:val="a0"/>
        <w:ind w:firstLine="420"/>
        <w:rPr>
          <w:color w:val="000000"/>
        </w:rPr>
      </w:pPr>
    </w:p>
    <w:p w:rsidR="005F0B5D" w:rsidRDefault="00086EB6">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5F0B5D" w:rsidRDefault="00086EB6">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5F0B5D" w:rsidRDefault="005F0B5D">
      <w:pPr>
        <w:pStyle w:val="a0"/>
        <w:ind w:firstLine="420"/>
        <w:rPr>
          <w:color w:val="000000"/>
        </w:rPr>
      </w:pPr>
    </w:p>
    <w:p w:rsidR="005F0B5D" w:rsidRDefault="00086EB6">
      <w:pPr>
        <w:pStyle w:val="a0"/>
        <w:ind w:firstLine="420"/>
        <w:rPr>
          <w:color w:val="000000"/>
        </w:rPr>
      </w:pPr>
      <w:r>
        <w:rPr>
          <w:rFonts w:hint="eastAsia"/>
          <w:color w:val="000000"/>
        </w:rPr>
        <w:t>业务专用章（预留印鉴章）：</w:t>
      </w:r>
    </w:p>
    <w:p w:rsidR="005F0B5D" w:rsidRDefault="005F0B5D">
      <w:pPr>
        <w:rPr>
          <w:color w:val="000000"/>
        </w:rPr>
      </w:pPr>
    </w:p>
    <w:p w:rsidR="005F0B5D" w:rsidRDefault="00086EB6">
      <w:pPr>
        <w:jc w:val="right"/>
        <w:rPr>
          <w:color w:val="000000"/>
        </w:rPr>
      </w:pPr>
      <w:r>
        <w:rPr>
          <w:color w:val="000000"/>
          <w:u w:val="single"/>
        </w:rPr>
        <w:t xml:space="preserve">     </w:t>
      </w:r>
      <w:r>
        <w:rPr>
          <w:rFonts w:hint="eastAsia"/>
          <w:color w:val="000000"/>
        </w:rPr>
        <w:t>公司（公章或合同章）：</w:t>
      </w:r>
    </w:p>
    <w:p w:rsidR="005F0B5D" w:rsidRDefault="005F0B5D">
      <w:pPr>
        <w:rPr>
          <w:color w:val="000000"/>
        </w:rPr>
      </w:pPr>
    </w:p>
    <w:p w:rsidR="005F0B5D" w:rsidRDefault="00086EB6">
      <w:pPr>
        <w:rPr>
          <w:color w:val="000000"/>
        </w:rPr>
      </w:pPr>
      <w:r>
        <w:rPr>
          <w:color w:val="000000"/>
        </w:rPr>
        <w:t xml:space="preserve">                                   </w:t>
      </w:r>
      <w:r w:rsidR="000F242B">
        <w:rPr>
          <w:color w:val="000000"/>
        </w:rPr>
        <w:t xml:space="preserve">        </w:t>
      </w:r>
      <w:r>
        <w:rPr>
          <w:color w:val="000000"/>
        </w:rPr>
        <w:t xml:space="preserve">   </w:t>
      </w:r>
      <w:r>
        <w:rPr>
          <w:rFonts w:hint="eastAsia"/>
          <w:color w:val="000000"/>
        </w:rPr>
        <w:t>法定代表人或授权人（签字或签章）：</w:t>
      </w:r>
    </w:p>
    <w:p w:rsidR="005F0B5D" w:rsidRDefault="005F0B5D">
      <w:pPr>
        <w:rPr>
          <w:color w:val="000000"/>
        </w:rPr>
      </w:pPr>
    </w:p>
    <w:p w:rsidR="005F0B5D" w:rsidRDefault="00086EB6">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5F0B5D" w:rsidRDefault="005F0B5D">
      <w:pPr>
        <w:pStyle w:val="a9"/>
        <w:spacing w:beforeLines="0" w:afterLines="0"/>
        <w:jc w:val="left"/>
      </w:pPr>
    </w:p>
    <w:sectPr w:rsidR="005F0B5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D1" w:rsidRDefault="008A4BD1">
      <w:pPr>
        <w:spacing w:line="240" w:lineRule="auto"/>
      </w:pPr>
      <w:r>
        <w:separator/>
      </w:r>
    </w:p>
  </w:endnote>
  <w:endnote w:type="continuationSeparator" w:id="0">
    <w:p w:rsidR="008A4BD1" w:rsidRDefault="008A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T4761o0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5D" w:rsidRDefault="00086EB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0B5D" w:rsidRDefault="005F0B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5D" w:rsidRDefault="00086EB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D7E8A">
      <w:rPr>
        <w:rStyle w:val="aa"/>
        <w:noProof/>
      </w:rPr>
      <w:t>1</w:t>
    </w:r>
    <w:r>
      <w:rPr>
        <w:rStyle w:val="aa"/>
      </w:rPr>
      <w:fldChar w:fldCharType="end"/>
    </w:r>
  </w:p>
  <w:p w:rsidR="005F0B5D" w:rsidRDefault="005F0B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D1" w:rsidRDefault="008A4BD1">
      <w:pPr>
        <w:spacing w:line="240" w:lineRule="auto"/>
      </w:pPr>
      <w:r>
        <w:separator/>
      </w:r>
    </w:p>
  </w:footnote>
  <w:footnote w:type="continuationSeparator" w:id="0">
    <w:p w:rsidR="008A4BD1" w:rsidRDefault="008A4B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5D" w:rsidRDefault="00086EB6">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86EB6"/>
    <w:rsid w:val="0009512F"/>
    <w:rsid w:val="00095D99"/>
    <w:rsid w:val="000A2549"/>
    <w:rsid w:val="000B10F6"/>
    <w:rsid w:val="000B3F3C"/>
    <w:rsid w:val="000C0040"/>
    <w:rsid w:val="000C1CAE"/>
    <w:rsid w:val="000C3E5B"/>
    <w:rsid w:val="000D0CFA"/>
    <w:rsid w:val="000E32F1"/>
    <w:rsid w:val="000E5B19"/>
    <w:rsid w:val="000E7942"/>
    <w:rsid w:val="000F1CCA"/>
    <w:rsid w:val="000F1ED7"/>
    <w:rsid w:val="000F242B"/>
    <w:rsid w:val="00103728"/>
    <w:rsid w:val="001040B9"/>
    <w:rsid w:val="00107E0F"/>
    <w:rsid w:val="001104EF"/>
    <w:rsid w:val="00112421"/>
    <w:rsid w:val="00121440"/>
    <w:rsid w:val="001218B4"/>
    <w:rsid w:val="00126BE1"/>
    <w:rsid w:val="00142785"/>
    <w:rsid w:val="00144205"/>
    <w:rsid w:val="0014620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44E82"/>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0B5D"/>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181C"/>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842BE"/>
    <w:rsid w:val="0089032C"/>
    <w:rsid w:val="00892665"/>
    <w:rsid w:val="008931CE"/>
    <w:rsid w:val="00896562"/>
    <w:rsid w:val="008A4BD1"/>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D7E8A"/>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B6F69"/>
    <w:rsid w:val="00DC06EF"/>
    <w:rsid w:val="00DC4D9D"/>
    <w:rsid w:val="00DC5784"/>
    <w:rsid w:val="00DC5C13"/>
    <w:rsid w:val="00DD1DA7"/>
    <w:rsid w:val="00DD5F59"/>
    <w:rsid w:val="00DE1CA9"/>
    <w:rsid w:val="00DE4999"/>
    <w:rsid w:val="00DF0486"/>
    <w:rsid w:val="00DF4A42"/>
    <w:rsid w:val="00E038B5"/>
    <w:rsid w:val="00E04EBC"/>
    <w:rsid w:val="00E05D5D"/>
    <w:rsid w:val="00E06014"/>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 w:val="0E7959AA"/>
    <w:rsid w:val="13B95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92E69F-AC91-48E6-9BFC-F7D9ECC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qFormat/>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880930-8241-430F-8359-E0E0CC26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4</TotalTime>
  <Pages>1</Pages>
  <Words>2306</Words>
  <Characters>13149</Characters>
  <Application>Microsoft Office Word</Application>
  <DocSecurity>0</DocSecurity>
  <Lines>109</Lines>
  <Paragraphs>30</Paragraphs>
  <ScaleCrop>false</ScaleCrop>
  <Company>spdb</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9</cp:revision>
  <cp:lastPrinted>2018-06-19T01:32:00Z</cp:lastPrinted>
  <dcterms:created xsi:type="dcterms:W3CDTF">2019-10-27T13:40:00Z</dcterms:created>
  <dcterms:modified xsi:type="dcterms:W3CDTF">2019-10-29T05:18:00Z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