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C1A" w:rsidRDefault="00E61C1A" w:rsidP="00E61C1A">
      <w:pPr>
        <w:snapToGrid w:val="0"/>
        <w:spacing w:line="360" w:lineRule="auto"/>
        <w:jc w:val="center"/>
        <w:rPr>
          <w:rFonts w:ascii="仿宋_GB2312" w:eastAsia="仿宋_GB2312"/>
          <w:b/>
          <w:bCs/>
          <w:sz w:val="24"/>
          <w:szCs w:val="24"/>
          <w:vertAlign w:val="superscript"/>
        </w:rPr>
      </w:pPr>
      <w:r>
        <w:rPr>
          <w:rFonts w:ascii="仿宋_GB2312" w:eastAsia="仿宋_GB2312" w:hint="eastAsia"/>
          <w:b/>
          <w:bCs/>
          <w:color w:val="000000"/>
          <w:sz w:val="24"/>
          <w:szCs w:val="24"/>
        </w:rPr>
        <w:t>公募理财产品定期</w:t>
      </w:r>
      <w:r>
        <w:rPr>
          <w:rFonts w:ascii="仿宋_GB2312" w:eastAsia="仿宋_GB2312" w:hint="eastAsia"/>
          <w:b/>
          <w:bCs/>
          <w:sz w:val="24"/>
          <w:szCs w:val="24"/>
        </w:rPr>
        <w:t>报告</w:t>
      </w:r>
    </w:p>
    <w:p w:rsidR="00E61C1A" w:rsidRDefault="00E61C1A" w:rsidP="00E61C1A">
      <w:pPr>
        <w:snapToGrid w:val="0"/>
        <w:spacing w:line="360" w:lineRule="auto"/>
        <w:rPr>
          <w:rFonts w:ascii="仿宋_GB2312" w:eastAsia="仿宋_GB2312"/>
          <w:b/>
          <w:bCs/>
          <w:sz w:val="24"/>
          <w:szCs w:val="24"/>
          <w:vertAlign w:val="superscript"/>
        </w:rPr>
      </w:pPr>
      <w:r>
        <w:rPr>
          <w:rFonts w:ascii="仿宋_GB2312" w:eastAsia="仿宋_GB2312" w:hint="eastAsia"/>
          <w:b/>
          <w:sz w:val="24"/>
          <w:szCs w:val="24"/>
        </w:rPr>
        <w:t>1</w:t>
      </w:r>
      <w:r>
        <w:rPr>
          <w:rFonts w:hint="eastAsia"/>
          <w:b/>
          <w:sz w:val="24"/>
          <w:szCs w:val="24"/>
        </w:rPr>
        <w:t> </w:t>
      </w:r>
      <w:r>
        <w:rPr>
          <w:rFonts w:ascii="仿宋_GB2312" w:eastAsia="仿宋_GB2312" w:hint="eastAsia"/>
          <w:b/>
          <w:sz w:val="24"/>
          <w:szCs w:val="24"/>
        </w:rPr>
        <w:t>.重要提示</w:t>
      </w:r>
    </w:p>
    <w:tbl>
      <w:tblPr>
        <w:tblW w:w="9072" w:type="dxa"/>
        <w:tblBorders>
          <w:top w:val="single" w:sz="4" w:space="0" w:color="auto"/>
          <w:left w:val="single" w:sz="8" w:space="0" w:color="auto"/>
          <w:bottom w:val="single" w:sz="8" w:space="0" w:color="auto"/>
          <w:right w:val="single" w:sz="8" w:space="0" w:color="auto"/>
        </w:tblBorders>
        <w:tblLayout w:type="fixed"/>
        <w:tblCellMar>
          <w:left w:w="0" w:type="dxa"/>
          <w:right w:w="0" w:type="dxa"/>
        </w:tblCellMar>
        <w:tblLook w:val="04A0" w:firstRow="1" w:lastRow="0" w:firstColumn="1" w:lastColumn="0" w:noHBand="0" w:noVBand="1"/>
      </w:tblPr>
      <w:tblGrid>
        <w:gridCol w:w="9072"/>
      </w:tblGrid>
      <w:tr w:rsidR="00E61C1A" w:rsidTr="00B00579">
        <w:trPr>
          <w:trHeight w:val="2514"/>
        </w:trPr>
        <w:tc>
          <w:tcPr>
            <w:tcW w:w="9072" w:type="dxa"/>
            <w:tcMar>
              <w:top w:w="0" w:type="dxa"/>
              <w:left w:w="108" w:type="dxa"/>
              <w:bottom w:w="0" w:type="dxa"/>
              <w:right w:w="108" w:type="dxa"/>
            </w:tcMar>
          </w:tcPr>
          <w:p w:rsidR="00F864D2" w:rsidRDefault="00F864D2" w:rsidP="00F864D2">
            <w:pPr>
              <w:snapToGrid w:val="0"/>
              <w:spacing w:line="360" w:lineRule="auto"/>
              <w:ind w:firstLine="360"/>
              <w:jc w:val="left"/>
              <w:rPr>
                <w:rFonts w:ascii="仿宋_GB2312" w:eastAsia="仿宋_GB2312" w:hAnsi="Calibri" w:cs="宋体"/>
                <w:color w:val="404040"/>
                <w:sz w:val="24"/>
                <w:szCs w:val="24"/>
              </w:rPr>
            </w:pPr>
            <w:r>
              <w:rPr>
                <w:rFonts w:ascii="仿宋_GB2312" w:eastAsia="仿宋_GB2312" w:hint="eastAsia"/>
                <w:color w:val="404040"/>
                <w:sz w:val="24"/>
                <w:szCs w:val="24"/>
              </w:rPr>
              <w:t>产品管理人保证本报告所载资料不存在虚假记载、误导性陈述或重大遗漏，并对其内容的真实性、准确性和完整性负责。</w:t>
            </w:r>
          </w:p>
          <w:p w:rsidR="00F864D2" w:rsidRDefault="00F864D2" w:rsidP="00F864D2">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 xml:space="preserve">产品托管人上海浦东发展银行根据本产品合同规定，复核了本报告中的财务指标、净值表现、投资组合报告等内容，保证复核内容不存在虚假记载、误导性陈述或者重大遗漏。　</w:t>
            </w:r>
          </w:p>
          <w:p w:rsidR="00F864D2" w:rsidRDefault="00F864D2" w:rsidP="00F864D2">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 xml:space="preserve">产品管理人承诺以诚实信用、勤勉尽责的原则管理和运用产品资产，但不保证产品一定盈利。　　</w:t>
            </w:r>
          </w:p>
          <w:p w:rsidR="00F864D2" w:rsidRDefault="00F864D2" w:rsidP="00F864D2">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产品的过往业绩并不代表其未来表现。投资有风险，投资者在做出投资决策前应仔细阅读本产品的销售文件。</w:t>
            </w:r>
          </w:p>
          <w:p w:rsidR="00E61C1A" w:rsidRDefault="00F864D2" w:rsidP="00F864D2">
            <w:pPr>
              <w:snapToGrid w:val="0"/>
              <w:spacing w:line="360" w:lineRule="auto"/>
              <w:ind w:firstLine="360"/>
              <w:jc w:val="left"/>
              <w:rPr>
                <w:rFonts w:ascii="仿宋_GB2312" w:eastAsia="仿宋_GB2312" w:hAnsi="Calibri" w:cs="宋体"/>
                <w:color w:val="404040"/>
                <w:sz w:val="24"/>
                <w:szCs w:val="24"/>
              </w:rPr>
            </w:pPr>
            <w:r>
              <w:rPr>
                <w:rFonts w:ascii="仿宋_GB2312" w:eastAsia="仿宋_GB2312" w:hint="eastAsia"/>
                <w:color w:val="404040"/>
                <w:sz w:val="24"/>
                <w:szCs w:val="24"/>
              </w:rPr>
              <w:t>本报告中财务资料未经审计。</w:t>
            </w:r>
          </w:p>
        </w:tc>
      </w:tr>
    </w:tbl>
    <w:p w:rsidR="00E61C1A" w:rsidRDefault="00E61C1A" w:rsidP="00E61C1A">
      <w:pPr>
        <w:snapToGrid w:val="0"/>
        <w:spacing w:line="360" w:lineRule="auto"/>
        <w:rPr>
          <w:rFonts w:ascii="仿宋_GB2312" w:eastAsia="仿宋_GB2312"/>
          <w:b/>
          <w:sz w:val="24"/>
          <w:szCs w:val="24"/>
        </w:rPr>
      </w:pPr>
      <w:r>
        <w:rPr>
          <w:rFonts w:ascii="仿宋_GB2312" w:eastAsia="仿宋_GB2312" w:hint="eastAsia"/>
          <w:b/>
          <w:sz w:val="24"/>
          <w:szCs w:val="24"/>
        </w:rPr>
        <w:t>2.</w:t>
      </w:r>
      <w:r>
        <w:rPr>
          <w:rFonts w:ascii="仿宋_GB2312" w:eastAsia="仿宋_GB2312" w:hint="eastAsia"/>
          <w:b/>
          <w:sz w:val="24"/>
          <w:szCs w:val="24"/>
        </w:rPr>
        <w:t> </w:t>
      </w:r>
      <w:r>
        <w:rPr>
          <w:rFonts w:ascii="仿宋_GB2312" w:eastAsia="仿宋_GB2312" w:hint="eastAsia"/>
          <w:b/>
          <w:sz w:val="24"/>
          <w:szCs w:val="24"/>
        </w:rPr>
        <w:t>产品概况</w:t>
      </w:r>
    </w:p>
    <w:tbl>
      <w:tblPr>
        <w:tblW w:w="907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9"/>
        <w:gridCol w:w="4853"/>
      </w:tblGrid>
      <w:tr w:rsidR="00E61C1A" w:rsidTr="00B00579">
        <w:tc>
          <w:tcPr>
            <w:tcW w:w="4219" w:type="dxa"/>
            <w:tcMar>
              <w:top w:w="0" w:type="dxa"/>
              <w:left w:w="108" w:type="dxa"/>
              <w:bottom w:w="0" w:type="dxa"/>
              <w:right w:w="108" w:type="dxa"/>
            </w:tcMar>
            <w:vAlign w:val="center"/>
          </w:tcPr>
          <w:p w:rsidR="00E61C1A" w:rsidRDefault="00E61C1A" w:rsidP="00B00579">
            <w:pPr>
              <w:snapToGrid w:val="0"/>
              <w:spacing w:line="360" w:lineRule="auto"/>
              <w:ind w:firstLine="480"/>
              <w:jc w:val="center"/>
              <w:rPr>
                <w:rFonts w:ascii="仿宋_GB2312" w:eastAsia="仿宋_GB2312" w:hAnsi="Calibri" w:cs="宋体"/>
                <w:color w:val="FF0000"/>
                <w:sz w:val="24"/>
                <w:szCs w:val="24"/>
              </w:rPr>
            </w:pPr>
            <w:r w:rsidRPr="009106D5">
              <w:rPr>
                <w:rFonts w:ascii="仿宋_GB2312" w:eastAsia="仿宋_GB2312" w:hAnsiTheme="minorEastAsia" w:hint="eastAsia"/>
                <w:kern w:val="0"/>
                <w:sz w:val="24"/>
                <w:szCs w:val="24"/>
              </w:rPr>
              <w:t>产品名称</w:t>
            </w:r>
          </w:p>
        </w:tc>
        <w:tc>
          <w:tcPr>
            <w:tcW w:w="4853" w:type="dxa"/>
            <w:tcMar>
              <w:top w:w="0" w:type="dxa"/>
              <w:left w:w="108" w:type="dxa"/>
              <w:bottom w:w="0" w:type="dxa"/>
              <w:right w:w="108" w:type="dxa"/>
            </w:tcMar>
            <w:vAlign w:val="center"/>
          </w:tcPr>
          <w:p w:rsidR="00E61C1A" w:rsidRDefault="001814DB" w:rsidP="00B00579">
            <w:pPr>
              <w:snapToGrid w:val="0"/>
              <w:spacing w:line="360" w:lineRule="auto"/>
              <w:jc w:val="center"/>
              <w:rPr>
                <w:rFonts w:ascii="仿宋_GB2312" w:eastAsia="仿宋_GB2312" w:hAnsi="Calibri" w:cs="宋体"/>
                <w:color w:val="000000"/>
                <w:sz w:val="24"/>
                <w:szCs w:val="24"/>
              </w:rPr>
            </w:pPr>
            <w:r>
              <w:rPr>
                <w:rFonts w:ascii="仿宋_GB2312" w:eastAsia="仿宋_GB2312" w:hAnsi="Calibri" w:cs="宋体"/>
                <w:color w:val="000000"/>
                <w:sz w:val="24"/>
                <w:szCs w:val="24"/>
              </w:rPr>
              <w:t>浦发银行鑫盈利系列1年定开6号理财产品</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产品代码</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olor w:val="000000"/>
                <w:kern w:val="0"/>
                <w:sz w:val="24"/>
                <w:szCs w:val="24"/>
              </w:rPr>
            </w:pPr>
            <w:r>
              <w:rPr>
                <w:rFonts w:ascii="仿宋_GB2312" w:eastAsia="仿宋_GB2312" w:hAnsi="Calibri" w:cs="宋体"/>
                <w:color w:val="000000"/>
                <w:sz w:val="24"/>
                <w:szCs w:val="24"/>
              </w:rPr>
              <w:t>2301202506(销售代码:2301202812/2301202813/2301202814/2301202815)</w:t>
            </w:r>
          </w:p>
        </w:tc>
      </w:tr>
      <w:tr w:rsidR="00E61C1A" w:rsidTr="00B00579">
        <w:tblPrEx>
          <w:tblBorders>
            <w:top w:val="none" w:sz="0"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产品登记编码</w:t>
            </w:r>
            <w:r w:rsidRPr="009106D5">
              <w:rPr>
                <w:rStyle w:val="a9"/>
                <w:rFonts w:ascii="仿宋_GB2312" w:eastAsia="仿宋_GB2312" w:hAnsiTheme="minorEastAsia"/>
                <w:kern w:val="0"/>
                <w:sz w:val="24"/>
                <w:szCs w:val="24"/>
              </w:rPr>
              <w:footnoteReference w:id="1"/>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C1031020000006</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产品类型</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固定收益类</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产品成立日</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2020-05-20</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报告期末产品份额总额</w:t>
            </w:r>
          </w:p>
        </w:tc>
        <w:tc>
          <w:tcPr>
            <w:tcW w:w="4853" w:type="dxa"/>
            <w:tcMar>
              <w:top w:w="0" w:type="dxa"/>
              <w:left w:w="108" w:type="dxa"/>
              <w:bottom w:w="0" w:type="dxa"/>
              <w:right w:w="108" w:type="dxa"/>
            </w:tcMar>
            <w:vAlign w:val="center"/>
          </w:tcPr>
          <w:p w:rsidR="00E61C1A" w:rsidRDefault="00442040" w:rsidP="00B00579">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608,902,320.13</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kern w:val="0"/>
                <w:sz w:val="24"/>
                <w:szCs w:val="24"/>
              </w:rPr>
            </w:pPr>
            <w:r w:rsidRPr="009106D5">
              <w:rPr>
                <w:rFonts w:ascii="仿宋_GB2312" w:eastAsia="仿宋_GB2312" w:hAnsiTheme="minorEastAsia" w:hint="eastAsia"/>
                <w:kern w:val="0"/>
                <w:sz w:val="24"/>
                <w:szCs w:val="24"/>
              </w:rPr>
              <w:t>报告期末产品杠杆水平</w:t>
            </w:r>
          </w:p>
        </w:tc>
        <w:tc>
          <w:tcPr>
            <w:tcW w:w="4853" w:type="dxa"/>
            <w:tcMar>
              <w:top w:w="0" w:type="dxa"/>
              <w:left w:w="108" w:type="dxa"/>
              <w:bottom w:w="0" w:type="dxa"/>
              <w:right w:w="108" w:type="dxa"/>
            </w:tcMar>
            <w:vAlign w:val="center"/>
          </w:tcPr>
          <w:p w:rsidR="00E61C1A" w:rsidRDefault="00442040" w:rsidP="00B00579">
            <w:pPr>
              <w:adjustRightInd w:val="0"/>
              <w:snapToGrid w:val="0"/>
              <w:spacing w:line="360" w:lineRule="auto"/>
              <w:ind w:firstLine="420"/>
              <w:jc w:val="center"/>
              <w:rPr>
                <w:rFonts w:ascii="仿宋_GB2312" w:eastAsia="仿宋_GB2312" w:hAnsiTheme="minorEastAsia" w:cs="宋体"/>
                <w:color w:val="000000"/>
                <w:sz w:val="24"/>
                <w:szCs w:val="24"/>
              </w:rPr>
            </w:pPr>
            <w:r>
              <w:rPr>
                <w:rFonts w:ascii="仿宋_GB2312" w:eastAsia="仿宋_GB2312" w:hAnsiTheme="minorEastAsia" w:cs="宋体"/>
                <w:color w:val="000000"/>
                <w:sz w:val="24"/>
                <w:szCs w:val="24"/>
              </w:rPr>
              <w:t>100.66%</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业绩比较基准</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2301202812 : 3.60%-4.10%</w:t>
            </w:r>
            <w:r>
              <w:rPr>
                <w:rFonts w:ascii="仿宋_GB2312" w:eastAsia="仿宋_GB2312" w:hAnsi="Calibri" w:cs="宋体"/>
                <w:color w:val="000000"/>
                <w:sz w:val="24"/>
                <w:szCs w:val="24"/>
              </w:rPr>
              <w:br/>
              <w:t>2301202813 : 3.63%-4.13%</w:t>
            </w:r>
            <w:r>
              <w:rPr>
                <w:rFonts w:ascii="仿宋_GB2312" w:eastAsia="仿宋_GB2312" w:hAnsi="Calibri" w:cs="宋体"/>
                <w:color w:val="000000"/>
                <w:sz w:val="24"/>
                <w:szCs w:val="24"/>
              </w:rPr>
              <w:br/>
              <w:t>2301202814 : 3.65%-4.15%</w:t>
            </w:r>
            <w:r>
              <w:rPr>
                <w:rFonts w:ascii="仿宋_GB2312" w:eastAsia="仿宋_GB2312" w:hAnsi="Calibri" w:cs="宋体"/>
                <w:color w:val="000000"/>
                <w:sz w:val="24"/>
                <w:szCs w:val="24"/>
              </w:rPr>
              <w:br/>
              <w:t>2301202815 : 3.70%-4.20%</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Pr="009106D5" w:rsidRDefault="00E61C1A" w:rsidP="00B00579">
            <w:pPr>
              <w:adjustRightInd w:val="0"/>
              <w:snapToGrid w:val="0"/>
              <w:spacing w:line="360" w:lineRule="auto"/>
              <w:ind w:firstLine="480"/>
              <w:jc w:val="center"/>
              <w:rPr>
                <w:rFonts w:ascii="仿宋_GB2312" w:eastAsia="仿宋_GB2312" w:hAnsiTheme="minorEastAsia" w:cs="宋体"/>
                <w:sz w:val="24"/>
                <w:szCs w:val="24"/>
              </w:rPr>
            </w:pPr>
            <w:r w:rsidRPr="009106D5">
              <w:rPr>
                <w:rFonts w:ascii="仿宋_GB2312" w:eastAsia="仿宋_GB2312" w:hAnsiTheme="minorEastAsia" w:hint="eastAsia"/>
                <w:kern w:val="0"/>
                <w:sz w:val="24"/>
                <w:szCs w:val="24"/>
              </w:rPr>
              <w:t>风险等级</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Calibri" w:cs="宋体"/>
                <w:color w:val="000000"/>
                <w:sz w:val="24"/>
                <w:szCs w:val="24"/>
              </w:rPr>
              <w:t>较低风险</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Default="00E61C1A" w:rsidP="00B00579">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t>产品管理人</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ind w:firstLineChars="100" w:firstLine="240"/>
              <w:jc w:val="center"/>
              <w:rPr>
                <w:rFonts w:ascii="仿宋_GB2312" w:eastAsia="仿宋_GB2312" w:hAnsiTheme="minorEastAsia" w:cs="宋体"/>
                <w:color w:val="000000"/>
                <w:sz w:val="24"/>
                <w:szCs w:val="24"/>
              </w:rPr>
            </w:pPr>
            <w:r>
              <w:rPr>
                <w:rFonts w:ascii="仿宋_GB2312" w:eastAsia="仿宋_GB2312" w:hAnsiTheme="minorEastAsia" w:cs="宋体" w:hint="eastAsia"/>
                <w:color w:val="000000"/>
                <w:sz w:val="24"/>
                <w:szCs w:val="24"/>
              </w:rPr>
              <w:t>上海浦东发展银行</w:t>
            </w:r>
          </w:p>
        </w:tc>
      </w:tr>
      <w:tr w:rsidR="00E61C1A" w:rsidTr="00B00579">
        <w:tblPrEx>
          <w:tblBorders>
            <w:bottom w:val="single" w:sz="4" w:space="0" w:color="auto"/>
          </w:tblBorders>
        </w:tblPrEx>
        <w:tc>
          <w:tcPr>
            <w:tcW w:w="4219" w:type="dxa"/>
            <w:tcMar>
              <w:top w:w="0" w:type="dxa"/>
              <w:left w:w="108" w:type="dxa"/>
              <w:bottom w:w="0" w:type="dxa"/>
              <w:right w:w="108" w:type="dxa"/>
            </w:tcMar>
            <w:vAlign w:val="center"/>
          </w:tcPr>
          <w:p w:rsidR="00E61C1A" w:rsidRDefault="00E61C1A" w:rsidP="00B00579">
            <w:pPr>
              <w:adjustRightInd w:val="0"/>
              <w:snapToGrid w:val="0"/>
              <w:spacing w:line="360" w:lineRule="auto"/>
              <w:ind w:firstLine="480"/>
              <w:jc w:val="center"/>
              <w:rPr>
                <w:rFonts w:ascii="仿宋_GB2312" w:eastAsia="仿宋_GB2312" w:hAnsiTheme="minorEastAsia" w:cs="宋体"/>
                <w:color w:val="000000" w:themeColor="text1"/>
                <w:sz w:val="24"/>
                <w:szCs w:val="24"/>
              </w:rPr>
            </w:pPr>
            <w:r>
              <w:rPr>
                <w:rFonts w:ascii="仿宋_GB2312" w:eastAsia="仿宋_GB2312" w:hAnsiTheme="minorEastAsia" w:hint="eastAsia"/>
                <w:color w:val="000000" w:themeColor="text1"/>
                <w:kern w:val="0"/>
                <w:sz w:val="24"/>
                <w:szCs w:val="24"/>
              </w:rPr>
              <w:lastRenderedPageBreak/>
              <w:t>产品托管人</w:t>
            </w:r>
          </w:p>
        </w:tc>
        <w:tc>
          <w:tcPr>
            <w:tcW w:w="4853" w:type="dxa"/>
            <w:tcMar>
              <w:top w:w="0" w:type="dxa"/>
              <w:left w:w="108" w:type="dxa"/>
              <w:bottom w:w="0" w:type="dxa"/>
              <w:right w:w="108" w:type="dxa"/>
            </w:tcMar>
            <w:vAlign w:val="center"/>
          </w:tcPr>
          <w:p w:rsidR="00E61C1A" w:rsidRDefault="00E61C1A" w:rsidP="00B00579">
            <w:pPr>
              <w:adjustRightInd w:val="0"/>
              <w:snapToGrid w:val="0"/>
              <w:spacing w:line="360" w:lineRule="auto"/>
              <w:jc w:val="center"/>
              <w:rPr>
                <w:rFonts w:ascii="仿宋_GB2312" w:eastAsia="仿宋_GB2312" w:hAnsiTheme="minorEastAsia" w:cs="宋体"/>
                <w:color w:val="000000"/>
                <w:sz w:val="24"/>
                <w:szCs w:val="24"/>
              </w:rPr>
            </w:pPr>
            <w:r>
              <w:rPr>
                <w:rFonts w:ascii="仿宋_GB2312" w:eastAsia="仿宋_GB2312" w:hAnsiTheme="minorEastAsia" w:cs="宋体" w:hint="eastAsia"/>
                <w:color w:val="000000"/>
                <w:sz w:val="24"/>
                <w:szCs w:val="24"/>
              </w:rPr>
              <w:t xml:space="preserve">  上海浦东发展银行</w:t>
            </w:r>
          </w:p>
        </w:tc>
      </w:tr>
    </w:tbl>
    <w:p w:rsidR="00E61C1A" w:rsidRDefault="00E61C1A" w:rsidP="00E61C1A">
      <w:pPr>
        <w:rPr>
          <w:rFonts w:ascii="仿宋_GB2312" w:eastAsia="仿宋_GB2312" w:hAnsi="Calibri"/>
          <w:sz w:val="24"/>
          <w:szCs w:val="24"/>
        </w:rPr>
      </w:pPr>
    </w:p>
    <w:p w:rsidR="004E272F" w:rsidRDefault="004E272F" w:rsidP="004E272F">
      <w:pPr>
        <w:snapToGrid w:val="0"/>
        <w:spacing w:line="360" w:lineRule="auto"/>
        <w:rPr>
          <w:rFonts w:ascii="仿宋_GB2312" w:eastAsia="仿宋_GB2312"/>
          <w:b/>
          <w:sz w:val="24"/>
          <w:szCs w:val="24"/>
        </w:rPr>
      </w:pPr>
      <w:r>
        <w:rPr>
          <w:rFonts w:ascii="仿宋_GB2312" w:eastAsia="仿宋_GB2312" w:hint="eastAsia"/>
          <w:b/>
          <w:sz w:val="24"/>
          <w:szCs w:val="24"/>
        </w:rPr>
        <w:t>3</w:t>
      </w:r>
      <w:r w:rsidRPr="004E272F">
        <w:rPr>
          <w:rFonts w:ascii="仿宋_GB2312" w:eastAsia="仿宋_GB2312"/>
          <w:b/>
          <w:sz w:val="24"/>
          <w:szCs w:val="24"/>
        </w:rPr>
        <w:t>.</w:t>
      </w:r>
      <w:r>
        <w:rPr>
          <w:rFonts w:ascii="仿宋_GB2312" w:eastAsia="仿宋_GB2312" w:hint="eastAsia"/>
          <w:b/>
          <w:sz w:val="24"/>
          <w:szCs w:val="24"/>
        </w:rPr>
        <w:t>产品净值表现</w:t>
      </w:r>
    </w:p>
    <w:p w:rsidR="004E272F" w:rsidRDefault="004E272F" w:rsidP="004E272F">
      <w:pPr>
        <w:snapToGrid w:val="0"/>
        <w:spacing w:line="360" w:lineRule="auto"/>
        <w:ind w:firstLine="482"/>
        <w:rPr>
          <w:rFonts w:ascii="仿宋_GB2312" w:eastAsia="仿宋_GB2312"/>
          <w:b/>
          <w:bCs/>
          <w:sz w:val="24"/>
          <w:szCs w:val="24"/>
        </w:rPr>
      </w:pPr>
      <w:r>
        <w:rPr>
          <w:rFonts w:ascii="仿宋_GB2312" w:eastAsia="仿宋_GB2312" w:hint="eastAsia"/>
          <w:b/>
          <w:bCs/>
          <w:sz w:val="24"/>
          <w:szCs w:val="24"/>
        </w:rPr>
        <w:t>3.1 净值表现</w:t>
      </w:r>
    </w:p>
    <w:p w:rsidR="004E272F" w:rsidRPr="00B9403A" w:rsidRDefault="004E272F" w:rsidP="004E272F">
      <w:pPr>
        <w:snapToGrid w:val="0"/>
        <w:spacing w:line="360" w:lineRule="auto"/>
        <w:ind w:left="5143" w:hanging="5143"/>
        <w:rPr>
          <w:rFonts w:ascii="仿宋_GB2312" w:eastAsia="仿宋_GB2312"/>
          <w:sz w:val="24"/>
          <w:szCs w:val="24"/>
        </w:rPr>
      </w:pPr>
      <w:r>
        <w:rPr>
          <w:sz w:val="24"/>
          <w:szCs w:val="24"/>
        </w:rPr>
        <w:t xml:space="preserve">                                                                               </w:t>
      </w:r>
      <w:r>
        <w:rPr>
          <w:sz w:val="24"/>
          <w:szCs w:val="24"/>
        </w:rPr>
        <w:t>单位：人民币</w:t>
      </w:r>
      <w:r>
        <w:rPr>
          <w:sz w:val="24"/>
          <w:szCs w:val="24"/>
        </w:rPr>
        <w:t>(CNY)</w:t>
      </w:r>
    </w:p>
    <w:tbl>
      <w:tblPr>
        <w:tblStyle w:val="ab"/>
        <w:tblW w:w="9072" w:type="dxa"/>
        <w:tblLayout w:type="fixed"/>
        <w:tblLook w:val="04A0" w:firstRow="1" w:lastRow="0" w:firstColumn="1" w:lastColumn="0" w:noHBand="0" w:noVBand="1"/>
      </w:tblPr>
      <w:tblGrid>
        <w:gridCol w:w="4361"/>
        <w:gridCol w:w="4711"/>
      </w:tblGrid>
      <w:tr w:rsidR="004E272F" w:rsidTr="00B00579">
        <w:tc>
          <w:tcPr>
            <w:tcW w:w="4361" w:type="dxa"/>
          </w:tcPr>
          <w:p w:rsidR="004E272F" w:rsidRDefault="004E272F" w:rsidP="004E272F">
            <w:pPr>
              <w:pStyle w:val="aa"/>
              <w:snapToGrid w:val="0"/>
              <w:spacing w:before="0" w:beforeAutospacing="0" w:after="0" w:afterAutospacing="0" w:line="360" w:lineRule="auto"/>
              <w:ind w:firstLineChars="200" w:firstLine="480"/>
              <w:jc w:val="center"/>
              <w:rPr>
                <w:rFonts w:ascii="仿宋_GB2312" w:eastAsia="仿宋_GB2312"/>
                <w:kern w:val="2"/>
              </w:rPr>
            </w:pPr>
            <w:r>
              <w:rPr>
                <w:rFonts w:ascii="仿宋_GB2312" w:eastAsia="仿宋_GB2312" w:hint="eastAsia"/>
                <w:kern w:val="2"/>
              </w:rPr>
              <w:t>产品净值表现</w:t>
            </w:r>
          </w:p>
        </w:tc>
        <w:tc>
          <w:tcPr>
            <w:tcW w:w="4711" w:type="dxa"/>
          </w:tcPr>
          <w:p w:rsidR="004E272F" w:rsidRDefault="004E272F" w:rsidP="00B00579">
            <w:pPr>
              <w:snapToGrid w:val="0"/>
              <w:spacing w:line="360" w:lineRule="auto"/>
              <w:ind w:firstLineChars="200" w:firstLine="480"/>
              <w:jc w:val="center"/>
              <w:rPr>
                <w:rFonts w:ascii="仿宋_GB2312" w:eastAsia="仿宋_GB2312" w:hAnsi="Calibri" w:cs="宋体"/>
                <w:color w:val="000000"/>
                <w:sz w:val="24"/>
                <w:szCs w:val="24"/>
              </w:rPr>
            </w:pPr>
            <w:r>
              <w:rPr>
                <w:rFonts w:ascii="仿宋_GB2312" w:eastAsia="仿宋_GB2312" w:hint="eastAsia"/>
                <w:color w:val="000000"/>
                <w:sz w:val="24"/>
                <w:szCs w:val="24"/>
              </w:rPr>
              <w:t>报告期（2022-01-01至2022-03-31）</w:t>
            </w:r>
          </w:p>
        </w:tc>
      </w:tr>
      <w:tr w:rsidR="004E272F" w:rsidTr="00B00579">
        <w:tc>
          <w:tcPr>
            <w:tcW w:w="4361" w:type="dxa"/>
          </w:tcPr>
          <w:p w:rsidR="004E272F" w:rsidRDefault="004E272F" w:rsidP="00B2798E">
            <w:pPr>
              <w:pStyle w:val="aa"/>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1.期末产品资产净值</w:t>
            </w:r>
          </w:p>
        </w:tc>
        <w:tc>
          <w:tcPr>
            <w:tcW w:w="4711" w:type="dxa"/>
          </w:tcPr>
          <w:p w:rsidR="004E272F" w:rsidRDefault="00367DBF" w:rsidP="00781652">
            <w:pPr>
              <w:snapToGrid w:val="0"/>
              <w:spacing w:line="360" w:lineRule="auto"/>
              <w:jc w:val="left"/>
              <w:rPr>
                <w:rFonts w:ascii="仿宋_GB2312" w:eastAsia="仿宋_GB2312" w:hAnsi="Calibri" w:cs="宋体"/>
                <w:color w:val="000000"/>
                <w:sz w:val="24"/>
                <w:szCs w:val="24"/>
              </w:rPr>
            </w:pPr>
            <w:r>
              <w:rPr>
                <w:rFonts w:ascii="仿宋_GB2312" w:eastAsia="仿宋_GB2312" w:hAnsi="Calibri" w:cs="宋体"/>
                <w:color w:val="000000"/>
                <w:sz w:val="24"/>
                <w:szCs w:val="24"/>
              </w:rPr>
              <w:t>2301202812 : 516,142,221.05</w:t>
            </w:r>
            <w:r>
              <w:rPr>
                <w:rFonts w:ascii="仿宋_GB2312" w:eastAsia="仿宋_GB2312" w:hAnsi="Calibri" w:cs="宋体"/>
                <w:color w:val="000000"/>
                <w:sz w:val="24"/>
                <w:szCs w:val="24"/>
              </w:rPr>
              <w:br/>
              <w:t>2301202813 : 18,585,566.00</w:t>
            </w:r>
            <w:r>
              <w:rPr>
                <w:rFonts w:ascii="仿宋_GB2312" w:eastAsia="仿宋_GB2312" w:hAnsi="Calibri" w:cs="宋体"/>
                <w:color w:val="000000"/>
                <w:sz w:val="24"/>
                <w:szCs w:val="24"/>
              </w:rPr>
              <w:br/>
              <w:t>2301202814 : 23,359,989.96</w:t>
            </w:r>
            <w:r>
              <w:rPr>
                <w:rFonts w:ascii="仿宋_GB2312" w:eastAsia="仿宋_GB2312" w:hAnsi="Calibri" w:cs="宋体"/>
                <w:color w:val="000000"/>
                <w:sz w:val="24"/>
                <w:szCs w:val="24"/>
              </w:rPr>
              <w:br/>
              <w:t>2301202815 : 93,581,980.85</w:t>
            </w:r>
          </w:p>
        </w:tc>
      </w:tr>
      <w:tr w:rsidR="004E272F" w:rsidTr="00B00579">
        <w:trPr>
          <w:trHeight w:val="158"/>
        </w:trPr>
        <w:tc>
          <w:tcPr>
            <w:tcW w:w="4361" w:type="dxa"/>
          </w:tcPr>
          <w:p w:rsidR="004E272F" w:rsidRDefault="004E272F" w:rsidP="00B2798E">
            <w:pPr>
              <w:pStyle w:val="aa"/>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2.期末产品份额净值</w:t>
            </w:r>
          </w:p>
        </w:tc>
        <w:tc>
          <w:tcPr>
            <w:tcW w:w="4711" w:type="dxa"/>
          </w:tcPr>
          <w:p w:rsidR="004E272F" w:rsidRDefault="00367DBF" w:rsidP="00781652">
            <w:pPr>
              <w:adjustRightInd w:val="0"/>
              <w:snapToGrid w:val="0"/>
              <w:spacing w:line="360" w:lineRule="auto"/>
              <w:jc w:val="left"/>
              <w:rPr>
                <w:rFonts w:ascii="仿宋_GB2312" w:eastAsia="仿宋_GB2312" w:hAnsiTheme="minorEastAsia"/>
                <w:color w:val="000000"/>
                <w:sz w:val="24"/>
                <w:szCs w:val="24"/>
              </w:rPr>
            </w:pPr>
            <w:r>
              <w:rPr>
                <w:rFonts w:ascii="仿宋_GB2312" w:eastAsia="仿宋_GB2312" w:hAnsi="Calibri" w:cs="宋体"/>
                <w:color w:val="000000"/>
                <w:sz w:val="24"/>
                <w:szCs w:val="24"/>
              </w:rPr>
              <w:t>2301202812 : 1.0699</w:t>
            </w:r>
            <w:r>
              <w:rPr>
                <w:rFonts w:ascii="仿宋_GB2312" w:eastAsia="仿宋_GB2312" w:hAnsi="Calibri" w:cs="宋体"/>
                <w:color w:val="000000"/>
                <w:sz w:val="24"/>
                <w:szCs w:val="24"/>
              </w:rPr>
              <w:br/>
              <w:t>2301202813 : 1.0707</w:t>
            </w:r>
            <w:r>
              <w:rPr>
                <w:rFonts w:ascii="仿宋_GB2312" w:eastAsia="仿宋_GB2312" w:hAnsi="Calibri" w:cs="宋体"/>
                <w:color w:val="000000"/>
                <w:sz w:val="24"/>
                <w:szCs w:val="24"/>
              </w:rPr>
              <w:br/>
              <w:t>2301202814 : 1.0709</w:t>
            </w:r>
            <w:r>
              <w:rPr>
                <w:rFonts w:ascii="仿宋_GB2312" w:eastAsia="仿宋_GB2312" w:hAnsi="Calibri" w:cs="宋体"/>
                <w:color w:val="000000"/>
                <w:sz w:val="24"/>
                <w:szCs w:val="24"/>
              </w:rPr>
              <w:br/>
              <w:t>2301202815 : 1.0717</w:t>
            </w:r>
          </w:p>
        </w:tc>
      </w:tr>
      <w:tr w:rsidR="004E272F" w:rsidTr="00B00579">
        <w:trPr>
          <w:trHeight w:val="158"/>
        </w:trPr>
        <w:tc>
          <w:tcPr>
            <w:tcW w:w="4361" w:type="dxa"/>
          </w:tcPr>
          <w:p w:rsidR="004E272F" w:rsidRDefault="004E272F" w:rsidP="00B2798E">
            <w:pPr>
              <w:pStyle w:val="aa"/>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3.期末产品份额累计净值</w:t>
            </w:r>
          </w:p>
        </w:tc>
        <w:tc>
          <w:tcPr>
            <w:tcW w:w="4711" w:type="dxa"/>
          </w:tcPr>
          <w:p w:rsidR="004E272F" w:rsidRDefault="00130728" w:rsidP="00781652">
            <w:pPr>
              <w:adjustRightInd w:val="0"/>
              <w:snapToGrid w:val="0"/>
              <w:spacing w:line="360" w:lineRule="auto"/>
              <w:jc w:val="left"/>
              <w:rPr>
                <w:rFonts w:ascii="仿宋_GB2312" w:eastAsia="仿宋_GB2312" w:hAnsiTheme="minorEastAsia"/>
                <w:color w:val="000000"/>
                <w:sz w:val="24"/>
                <w:szCs w:val="24"/>
              </w:rPr>
            </w:pPr>
            <w:r>
              <w:rPr>
                <w:rFonts w:ascii="仿宋_GB2312" w:eastAsia="仿宋_GB2312" w:hAnsi="Calibri" w:cs="宋体"/>
                <w:color w:val="000000"/>
                <w:sz w:val="24"/>
                <w:szCs w:val="24"/>
              </w:rPr>
              <w:t>2301202812 : 1.0699</w:t>
            </w:r>
            <w:r>
              <w:rPr>
                <w:rFonts w:ascii="仿宋_GB2312" w:eastAsia="仿宋_GB2312" w:hAnsi="Calibri" w:cs="宋体"/>
                <w:color w:val="000000"/>
                <w:sz w:val="24"/>
                <w:szCs w:val="24"/>
              </w:rPr>
              <w:br/>
              <w:t>2301202813 : 1.0707</w:t>
            </w:r>
            <w:r>
              <w:rPr>
                <w:rFonts w:ascii="仿宋_GB2312" w:eastAsia="仿宋_GB2312" w:hAnsi="Calibri" w:cs="宋体"/>
                <w:color w:val="000000"/>
                <w:sz w:val="24"/>
                <w:szCs w:val="24"/>
              </w:rPr>
              <w:br/>
              <w:t>2301202814 : 1.0709</w:t>
            </w:r>
            <w:r>
              <w:rPr>
                <w:rFonts w:ascii="仿宋_GB2312" w:eastAsia="仿宋_GB2312" w:hAnsi="Calibri" w:cs="宋体"/>
                <w:color w:val="000000"/>
                <w:sz w:val="24"/>
                <w:szCs w:val="24"/>
              </w:rPr>
              <w:br/>
              <w:t>2301202815 : 1.0717</w:t>
            </w:r>
          </w:p>
        </w:tc>
      </w:tr>
      <w:tr w:rsidR="004E272F" w:rsidTr="00B00579">
        <w:trPr>
          <w:trHeight w:val="158"/>
        </w:trPr>
        <w:tc>
          <w:tcPr>
            <w:tcW w:w="4361" w:type="dxa"/>
          </w:tcPr>
          <w:p w:rsidR="004E272F" w:rsidRDefault="00B2798E" w:rsidP="00B2798E">
            <w:pPr>
              <w:pStyle w:val="aa"/>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4</w:t>
            </w:r>
            <w:r w:rsidRPr="00B2798E">
              <w:rPr>
                <w:rFonts w:ascii="仿宋_GB2312" w:eastAsia="仿宋_GB2312"/>
                <w:kern w:val="2"/>
              </w:rPr>
              <w:t>.</w:t>
            </w:r>
            <w:r w:rsidR="004E272F">
              <w:rPr>
                <w:rFonts w:ascii="仿宋_GB2312" w:eastAsia="仿宋_GB2312" w:hint="eastAsia"/>
                <w:kern w:val="2"/>
              </w:rPr>
              <w:t>每万份收益</w:t>
            </w:r>
          </w:p>
        </w:tc>
        <w:tc>
          <w:tcPr>
            <w:tcW w:w="4711" w:type="dxa"/>
          </w:tcPr>
          <w:p w:rsidR="004E272F" w:rsidRDefault="00130728" w:rsidP="00781652">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w:t>
            </w:r>
          </w:p>
        </w:tc>
      </w:tr>
    </w:tbl>
    <w:tbl>
      <w:tblPr>
        <w:tblW w:w="9072" w:type="dxa"/>
        <w:tblBorders>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61"/>
        <w:gridCol w:w="4711"/>
      </w:tblGrid>
      <w:tr w:rsidR="004E272F" w:rsidTr="00B00579">
        <w:trPr>
          <w:trHeight w:val="158"/>
        </w:trPr>
        <w:tc>
          <w:tcPr>
            <w:tcW w:w="4361" w:type="dxa"/>
            <w:tcMar>
              <w:top w:w="0" w:type="dxa"/>
              <w:left w:w="108" w:type="dxa"/>
              <w:bottom w:w="0" w:type="dxa"/>
              <w:right w:w="108" w:type="dxa"/>
            </w:tcMar>
          </w:tcPr>
          <w:p w:rsidR="004E272F" w:rsidRDefault="00B2798E" w:rsidP="00B2798E">
            <w:pPr>
              <w:pStyle w:val="aa"/>
              <w:snapToGrid w:val="0"/>
              <w:spacing w:before="0" w:beforeAutospacing="0" w:after="0" w:afterAutospacing="0" w:line="360" w:lineRule="auto"/>
              <w:ind w:firstLineChars="200" w:firstLine="480"/>
              <w:rPr>
                <w:rFonts w:ascii="仿宋_GB2312" w:eastAsia="仿宋_GB2312"/>
                <w:kern w:val="2"/>
              </w:rPr>
            </w:pPr>
            <w:r>
              <w:rPr>
                <w:rFonts w:ascii="仿宋_GB2312" w:eastAsia="仿宋_GB2312" w:hint="eastAsia"/>
                <w:kern w:val="2"/>
              </w:rPr>
              <w:t>5</w:t>
            </w:r>
            <w:r w:rsidRPr="00B2798E">
              <w:rPr>
                <w:rFonts w:ascii="仿宋_GB2312" w:eastAsia="仿宋_GB2312"/>
                <w:kern w:val="2"/>
              </w:rPr>
              <w:t>.</w:t>
            </w:r>
            <w:proofErr w:type="gramStart"/>
            <w:r w:rsidR="004E272F">
              <w:rPr>
                <w:rFonts w:ascii="仿宋_GB2312" w:eastAsia="仿宋_GB2312" w:hint="eastAsia"/>
                <w:kern w:val="2"/>
              </w:rPr>
              <w:t>七日年化收益率</w:t>
            </w:r>
            <w:proofErr w:type="gramEnd"/>
          </w:p>
        </w:tc>
        <w:tc>
          <w:tcPr>
            <w:tcW w:w="4711" w:type="dxa"/>
            <w:tcMar>
              <w:top w:w="0" w:type="dxa"/>
              <w:left w:w="108" w:type="dxa"/>
              <w:bottom w:w="0" w:type="dxa"/>
              <w:right w:w="108" w:type="dxa"/>
            </w:tcMar>
          </w:tcPr>
          <w:p w:rsidR="004E272F" w:rsidRDefault="00130728" w:rsidP="00781652">
            <w:pPr>
              <w:snapToGrid w:val="0"/>
              <w:spacing w:line="360" w:lineRule="auto"/>
              <w:jc w:val="left"/>
              <w:rPr>
                <w:rFonts w:ascii="仿宋_GB2312" w:eastAsia="仿宋_GB2312"/>
                <w:color w:val="000000"/>
                <w:sz w:val="24"/>
                <w:szCs w:val="24"/>
              </w:rPr>
            </w:pPr>
            <w:r>
              <w:rPr>
                <w:rFonts w:ascii="仿宋_GB2312" w:eastAsia="仿宋_GB2312" w:hAnsi="Calibri" w:cs="宋体"/>
                <w:color w:val="000000"/>
                <w:sz w:val="24"/>
                <w:szCs w:val="24"/>
              </w:rPr>
              <w:t>-</w:t>
            </w:r>
          </w:p>
        </w:tc>
      </w:tr>
    </w:tbl>
    <w:p w:rsidR="00564E1C" w:rsidRDefault="00564E1C" w:rsidP="00564E1C">
      <w:pPr>
        <w:snapToGrid w:val="0"/>
        <w:spacing w:line="360" w:lineRule="auto"/>
        <w:rPr>
          <w:rFonts w:ascii="仿宋_GB2312" w:eastAsia="仿宋_GB2312"/>
          <w:b/>
          <w:sz w:val="24"/>
          <w:szCs w:val="24"/>
        </w:rPr>
      </w:pPr>
      <w:r>
        <w:rPr>
          <w:rFonts w:ascii="仿宋_GB2312" w:eastAsia="仿宋_GB2312" w:hint="eastAsia"/>
          <w:b/>
          <w:sz w:val="24"/>
          <w:szCs w:val="24"/>
        </w:rPr>
        <w:t>4.投资组合报告</w:t>
      </w:r>
    </w:p>
    <w:p w:rsidR="00564E1C" w:rsidRDefault="00564E1C" w:rsidP="00564E1C">
      <w:pPr>
        <w:spacing w:line="360" w:lineRule="auto"/>
        <w:ind w:firstLine="482"/>
        <w:rPr>
          <w:rFonts w:ascii="仿宋_GB2312" w:eastAsia="仿宋_GB2312"/>
          <w:b/>
          <w:bCs/>
          <w:sz w:val="24"/>
          <w:szCs w:val="24"/>
        </w:rPr>
      </w:pPr>
      <w:r>
        <w:rPr>
          <w:rFonts w:ascii="仿宋_GB2312" w:eastAsia="仿宋_GB2312" w:hint="eastAsia"/>
          <w:b/>
          <w:bCs/>
          <w:sz w:val="24"/>
          <w:szCs w:val="24"/>
        </w:rPr>
        <w:t>4.1 报告期末产品资产组合情况</w:t>
      </w:r>
    </w:p>
    <w:p w:rsidR="00564E1C" w:rsidRPr="00FD1998" w:rsidRDefault="00564E1C" w:rsidP="00564E1C">
      <w:pPr>
        <w:rPr>
          <w:rFonts w:ascii="仿宋_GB2312" w:eastAsia="仿宋_GB2312" w:hAnsi="Calibri"/>
          <w:sz w:val="24"/>
          <w:szCs w:val="24"/>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81"/>
        <w:gridCol w:w="2620"/>
        <w:gridCol w:w="2694"/>
        <w:gridCol w:w="2477"/>
      </w:tblGrid>
      <w:tr w:rsidR="00564E1C" w:rsidTr="00B00579">
        <w:trPr>
          <w:trHeight w:val="415"/>
        </w:trPr>
        <w:tc>
          <w:tcPr>
            <w:tcW w:w="1281"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hint="eastAsia"/>
                <w:sz w:val="24"/>
                <w:szCs w:val="24"/>
              </w:rPr>
              <w:t>序号</w:t>
            </w:r>
          </w:p>
        </w:tc>
        <w:tc>
          <w:tcPr>
            <w:tcW w:w="2620"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项目</w:t>
            </w:r>
          </w:p>
        </w:tc>
        <w:tc>
          <w:tcPr>
            <w:tcW w:w="2694"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sz w:val="24"/>
                <w:szCs w:val="24"/>
              </w:rPr>
              <w:t>金额（元）</w:t>
            </w:r>
          </w:p>
        </w:tc>
        <w:tc>
          <w:tcPr>
            <w:tcW w:w="2477"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Theme="minorEastAsia" w:hint="eastAsia"/>
                <w:sz w:val="24"/>
                <w:szCs w:val="24"/>
              </w:rPr>
              <w:t>占产品资产净值比例</w:t>
            </w:r>
          </w:p>
        </w:tc>
      </w:tr>
      <w:tr w:rsidR="00564E1C" w:rsidRPr="00BE0BA1" w:rsidTr="00B00579">
        <w:trPr>
          <w:trHeight w:val="20"/>
        </w:trPr>
        <w:tc>
          <w:tcPr>
            <w:tcW w:w="1281"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Calibri" w:cs="宋体"/>
                <w:color w:val="000000"/>
                <w:sz w:val="24"/>
                <w:szCs w:val="24"/>
              </w:rPr>
              <w:t>1</w:t>
            </w:r>
          </w:p>
        </w:tc>
        <w:tc>
          <w:tcPr>
            <w:tcW w:w="2620"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Calibri" w:cs="宋体"/>
                <w:color w:val="000000"/>
                <w:sz w:val="24"/>
                <w:szCs w:val="24"/>
              </w:rPr>
              <w:t>银行存款</w:t>
            </w:r>
          </w:p>
        </w:tc>
        <w:tc>
          <w:tcPr>
            <w:tcW w:w="2694" w:type="dxa"/>
            <w:vAlign w:val="center"/>
          </w:tcPr>
          <w:p w:rsidR="00564E1C"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Calibri" w:cs="宋体"/>
                <w:color w:val="000000"/>
                <w:sz w:val="24"/>
                <w:szCs w:val="24"/>
              </w:rPr>
              <w:t>1,455,428.78</w:t>
            </w:r>
          </w:p>
        </w:tc>
        <w:tc>
          <w:tcPr>
            <w:tcW w:w="2477" w:type="dxa"/>
            <w:vAlign w:val="center"/>
          </w:tcPr>
          <w:p w:rsidR="00564E1C" w:rsidRPr="00BE0BA1" w:rsidRDefault="00564E1C" w:rsidP="00B00579">
            <w:pPr>
              <w:adjustRightInd w:val="0"/>
              <w:snapToGrid w:val="0"/>
              <w:spacing w:line="360" w:lineRule="auto"/>
              <w:jc w:val="center"/>
              <w:rPr>
                <w:rFonts w:ascii="仿宋_GB2312" w:eastAsia="仿宋_GB2312" w:hAnsiTheme="minorEastAsia"/>
                <w:sz w:val="24"/>
                <w:szCs w:val="24"/>
              </w:rPr>
            </w:pPr>
            <w:r>
              <w:rPr>
                <w:rFonts w:ascii="仿宋_GB2312" w:eastAsia="仿宋_GB2312" w:hAnsi="Calibri" w:cs="宋体"/>
                <w:color w:val="000000"/>
                <w:sz w:val="24"/>
                <w:szCs w:val="24"/>
              </w:rPr>
              <w:t>0.22%</w:t>
            </w:r>
          </w:p>
        </w:tc>
      </w:tr>
      <w:tr w:rsidR="00AB21F8">
        <w:tc>
          <w:tcPr>
            <w:tcW w:w="1281" w:type="dxa"/>
            <w:vAlign w:val="center"/>
          </w:tcPr>
          <w:p w:rsidR="00AB21F8" w:rsidRDefault="0061019B">
            <w:pPr>
              <w:jc w:val="center"/>
            </w:pPr>
            <w:r>
              <w:rPr>
                <w:rFonts w:ascii="仿宋_GB2312" w:eastAsia="仿宋_GB2312" w:hAnsi="Calibri" w:cs="宋体"/>
                <w:color w:val="000000"/>
                <w:sz w:val="24"/>
              </w:rPr>
              <w:t>2</w:t>
            </w:r>
          </w:p>
        </w:tc>
        <w:tc>
          <w:tcPr>
            <w:tcW w:w="2620" w:type="dxa"/>
            <w:vAlign w:val="center"/>
          </w:tcPr>
          <w:p w:rsidR="00AB21F8" w:rsidRDefault="0061019B">
            <w:pPr>
              <w:jc w:val="center"/>
            </w:pPr>
            <w:r>
              <w:rPr>
                <w:rFonts w:ascii="仿宋_GB2312" w:eastAsia="仿宋_GB2312" w:hAnsi="Calibri" w:cs="宋体"/>
                <w:color w:val="000000"/>
                <w:sz w:val="24"/>
              </w:rPr>
              <w:t>债券投资</w:t>
            </w:r>
          </w:p>
        </w:tc>
        <w:tc>
          <w:tcPr>
            <w:tcW w:w="2694" w:type="dxa"/>
            <w:vAlign w:val="center"/>
          </w:tcPr>
          <w:p w:rsidR="00AB21F8" w:rsidRDefault="0061019B">
            <w:pPr>
              <w:jc w:val="center"/>
            </w:pPr>
            <w:r>
              <w:rPr>
                <w:rFonts w:ascii="仿宋_GB2312" w:eastAsia="仿宋_GB2312" w:hAnsi="Calibri" w:cs="宋体"/>
                <w:color w:val="000000"/>
                <w:sz w:val="24"/>
              </w:rPr>
              <w:t>640,163,200.00</w:t>
            </w:r>
          </w:p>
        </w:tc>
        <w:tc>
          <w:tcPr>
            <w:tcW w:w="2477" w:type="dxa"/>
            <w:vAlign w:val="center"/>
          </w:tcPr>
          <w:p w:rsidR="00AB21F8" w:rsidRDefault="0061019B">
            <w:pPr>
              <w:jc w:val="center"/>
            </w:pPr>
            <w:r>
              <w:rPr>
                <w:rFonts w:ascii="仿宋_GB2312" w:eastAsia="仿宋_GB2312" w:hAnsi="Calibri" w:cs="宋体"/>
                <w:color w:val="000000"/>
                <w:sz w:val="24"/>
              </w:rPr>
              <w:t>98.23%</w:t>
            </w:r>
          </w:p>
        </w:tc>
      </w:tr>
      <w:tr w:rsidR="00AB21F8">
        <w:tc>
          <w:tcPr>
            <w:tcW w:w="1281" w:type="dxa"/>
            <w:vAlign w:val="center"/>
          </w:tcPr>
          <w:p w:rsidR="00AB21F8" w:rsidRDefault="0061019B">
            <w:pPr>
              <w:jc w:val="center"/>
            </w:pPr>
            <w:r>
              <w:rPr>
                <w:rFonts w:ascii="仿宋_GB2312" w:eastAsia="仿宋_GB2312" w:hAnsi="Calibri" w:cs="宋体"/>
                <w:color w:val="000000"/>
                <w:sz w:val="24"/>
              </w:rPr>
              <w:t>3</w:t>
            </w:r>
          </w:p>
        </w:tc>
        <w:tc>
          <w:tcPr>
            <w:tcW w:w="2620" w:type="dxa"/>
            <w:vAlign w:val="center"/>
          </w:tcPr>
          <w:p w:rsidR="00AB21F8" w:rsidRDefault="0061019B">
            <w:pPr>
              <w:jc w:val="center"/>
            </w:pPr>
            <w:r>
              <w:rPr>
                <w:rFonts w:ascii="仿宋_GB2312" w:eastAsia="仿宋_GB2312" w:hAnsi="Calibri" w:cs="宋体"/>
                <w:color w:val="000000"/>
                <w:sz w:val="24"/>
              </w:rPr>
              <w:t>资产支持证券投资</w:t>
            </w:r>
          </w:p>
        </w:tc>
        <w:tc>
          <w:tcPr>
            <w:tcW w:w="2694" w:type="dxa"/>
            <w:vAlign w:val="center"/>
          </w:tcPr>
          <w:p w:rsidR="00AB21F8" w:rsidRDefault="0061019B">
            <w:pPr>
              <w:jc w:val="center"/>
            </w:pPr>
            <w:r>
              <w:rPr>
                <w:rFonts w:ascii="仿宋_GB2312" w:eastAsia="仿宋_GB2312" w:hAnsi="Calibri" w:cs="宋体"/>
                <w:color w:val="000000"/>
                <w:sz w:val="24"/>
              </w:rPr>
              <w:t>-</w:t>
            </w:r>
          </w:p>
        </w:tc>
        <w:tc>
          <w:tcPr>
            <w:tcW w:w="2477" w:type="dxa"/>
            <w:vAlign w:val="center"/>
          </w:tcPr>
          <w:p w:rsidR="00AB21F8" w:rsidRDefault="0061019B">
            <w:pPr>
              <w:jc w:val="center"/>
            </w:pPr>
            <w:r>
              <w:rPr>
                <w:rFonts w:ascii="仿宋_GB2312" w:eastAsia="仿宋_GB2312" w:hAnsi="Calibri" w:cs="宋体"/>
                <w:color w:val="000000"/>
                <w:sz w:val="24"/>
              </w:rPr>
              <w:t>-</w:t>
            </w:r>
          </w:p>
        </w:tc>
      </w:tr>
      <w:tr w:rsidR="00AB21F8">
        <w:tc>
          <w:tcPr>
            <w:tcW w:w="1281" w:type="dxa"/>
            <w:vAlign w:val="center"/>
          </w:tcPr>
          <w:p w:rsidR="00AB21F8" w:rsidRDefault="0061019B">
            <w:pPr>
              <w:jc w:val="center"/>
            </w:pPr>
            <w:r>
              <w:rPr>
                <w:rFonts w:ascii="仿宋_GB2312" w:eastAsia="仿宋_GB2312" w:hAnsi="Calibri" w:cs="宋体"/>
                <w:color w:val="000000"/>
                <w:sz w:val="24"/>
              </w:rPr>
              <w:t>4</w:t>
            </w:r>
          </w:p>
        </w:tc>
        <w:tc>
          <w:tcPr>
            <w:tcW w:w="2620" w:type="dxa"/>
            <w:vAlign w:val="center"/>
          </w:tcPr>
          <w:p w:rsidR="00AB21F8" w:rsidRDefault="0061019B">
            <w:pPr>
              <w:jc w:val="center"/>
            </w:pPr>
            <w:r>
              <w:rPr>
                <w:rFonts w:ascii="仿宋_GB2312" w:eastAsia="仿宋_GB2312" w:hAnsi="Calibri" w:cs="宋体"/>
                <w:color w:val="000000"/>
                <w:sz w:val="24"/>
              </w:rPr>
              <w:t>信托计划</w:t>
            </w:r>
          </w:p>
        </w:tc>
        <w:tc>
          <w:tcPr>
            <w:tcW w:w="2694" w:type="dxa"/>
            <w:vAlign w:val="center"/>
          </w:tcPr>
          <w:p w:rsidR="00AB21F8" w:rsidRDefault="0061019B">
            <w:pPr>
              <w:jc w:val="center"/>
            </w:pPr>
            <w:r>
              <w:rPr>
                <w:rFonts w:ascii="仿宋_GB2312" w:eastAsia="仿宋_GB2312" w:hAnsi="Calibri" w:cs="宋体"/>
                <w:color w:val="000000"/>
                <w:sz w:val="24"/>
              </w:rPr>
              <w:t>-</w:t>
            </w:r>
          </w:p>
        </w:tc>
        <w:tc>
          <w:tcPr>
            <w:tcW w:w="2477" w:type="dxa"/>
            <w:vAlign w:val="center"/>
          </w:tcPr>
          <w:p w:rsidR="00AB21F8" w:rsidRDefault="0061019B">
            <w:pPr>
              <w:jc w:val="center"/>
            </w:pPr>
            <w:r>
              <w:rPr>
                <w:rFonts w:ascii="仿宋_GB2312" w:eastAsia="仿宋_GB2312" w:hAnsi="Calibri" w:cs="宋体"/>
                <w:color w:val="000000"/>
                <w:sz w:val="24"/>
              </w:rPr>
              <w:t>-</w:t>
            </w:r>
          </w:p>
        </w:tc>
      </w:tr>
      <w:tr w:rsidR="00AB21F8">
        <w:tc>
          <w:tcPr>
            <w:tcW w:w="1281" w:type="dxa"/>
            <w:vAlign w:val="center"/>
          </w:tcPr>
          <w:p w:rsidR="00AB21F8" w:rsidRDefault="0061019B">
            <w:pPr>
              <w:jc w:val="center"/>
            </w:pPr>
            <w:r>
              <w:rPr>
                <w:rFonts w:ascii="仿宋_GB2312" w:eastAsia="仿宋_GB2312" w:hAnsi="Calibri" w:cs="宋体"/>
                <w:color w:val="000000"/>
                <w:sz w:val="24"/>
              </w:rPr>
              <w:t>5</w:t>
            </w:r>
          </w:p>
        </w:tc>
        <w:tc>
          <w:tcPr>
            <w:tcW w:w="2620" w:type="dxa"/>
            <w:vAlign w:val="center"/>
          </w:tcPr>
          <w:p w:rsidR="00AB21F8" w:rsidRDefault="0061019B">
            <w:pPr>
              <w:jc w:val="center"/>
            </w:pPr>
            <w:r>
              <w:rPr>
                <w:rFonts w:ascii="仿宋_GB2312" w:eastAsia="仿宋_GB2312" w:hAnsi="Calibri" w:cs="宋体"/>
                <w:color w:val="000000"/>
                <w:sz w:val="24"/>
              </w:rPr>
              <w:t>资产管理计划</w:t>
            </w:r>
          </w:p>
        </w:tc>
        <w:tc>
          <w:tcPr>
            <w:tcW w:w="2694" w:type="dxa"/>
            <w:vAlign w:val="center"/>
          </w:tcPr>
          <w:p w:rsidR="00AB21F8" w:rsidRDefault="0061019B">
            <w:pPr>
              <w:jc w:val="center"/>
            </w:pPr>
            <w:r>
              <w:rPr>
                <w:rFonts w:ascii="仿宋_GB2312" w:eastAsia="仿宋_GB2312" w:hAnsi="Calibri" w:cs="宋体"/>
                <w:color w:val="000000"/>
                <w:sz w:val="24"/>
              </w:rPr>
              <w:t>-</w:t>
            </w:r>
          </w:p>
        </w:tc>
        <w:tc>
          <w:tcPr>
            <w:tcW w:w="2477" w:type="dxa"/>
            <w:vAlign w:val="center"/>
          </w:tcPr>
          <w:p w:rsidR="00AB21F8" w:rsidRDefault="0061019B">
            <w:pPr>
              <w:jc w:val="center"/>
            </w:pPr>
            <w:r>
              <w:rPr>
                <w:rFonts w:ascii="仿宋_GB2312" w:eastAsia="仿宋_GB2312" w:hAnsi="Calibri" w:cs="宋体"/>
                <w:color w:val="000000"/>
                <w:sz w:val="24"/>
              </w:rPr>
              <w:t>-</w:t>
            </w:r>
          </w:p>
        </w:tc>
      </w:tr>
      <w:tr w:rsidR="00AB21F8">
        <w:tc>
          <w:tcPr>
            <w:tcW w:w="1281" w:type="dxa"/>
            <w:vAlign w:val="center"/>
          </w:tcPr>
          <w:p w:rsidR="00AB21F8" w:rsidRDefault="0061019B">
            <w:pPr>
              <w:jc w:val="center"/>
            </w:pPr>
            <w:r>
              <w:rPr>
                <w:rFonts w:ascii="仿宋_GB2312" w:eastAsia="仿宋_GB2312" w:hAnsi="Calibri" w:cs="宋体"/>
                <w:color w:val="000000"/>
                <w:sz w:val="24"/>
              </w:rPr>
              <w:t>6</w:t>
            </w:r>
          </w:p>
        </w:tc>
        <w:tc>
          <w:tcPr>
            <w:tcW w:w="2620" w:type="dxa"/>
            <w:vAlign w:val="center"/>
          </w:tcPr>
          <w:p w:rsidR="00AB21F8" w:rsidRDefault="0061019B">
            <w:pPr>
              <w:jc w:val="center"/>
            </w:pPr>
            <w:r>
              <w:rPr>
                <w:rFonts w:ascii="仿宋_GB2312" w:eastAsia="仿宋_GB2312" w:hAnsi="Calibri" w:cs="宋体"/>
                <w:color w:val="000000"/>
                <w:sz w:val="24"/>
              </w:rPr>
              <w:t>净值类资产管理计划</w:t>
            </w:r>
          </w:p>
        </w:tc>
        <w:tc>
          <w:tcPr>
            <w:tcW w:w="2694" w:type="dxa"/>
            <w:vAlign w:val="center"/>
          </w:tcPr>
          <w:p w:rsidR="00AB21F8" w:rsidRDefault="0061019B">
            <w:pPr>
              <w:jc w:val="center"/>
            </w:pPr>
            <w:r>
              <w:rPr>
                <w:rFonts w:ascii="仿宋_GB2312" w:eastAsia="仿宋_GB2312" w:hAnsi="Calibri" w:cs="宋体"/>
                <w:color w:val="000000"/>
                <w:sz w:val="24"/>
              </w:rPr>
              <w:t>-</w:t>
            </w:r>
          </w:p>
        </w:tc>
        <w:tc>
          <w:tcPr>
            <w:tcW w:w="2477" w:type="dxa"/>
            <w:vAlign w:val="center"/>
          </w:tcPr>
          <w:p w:rsidR="00AB21F8" w:rsidRDefault="0061019B">
            <w:pPr>
              <w:jc w:val="center"/>
            </w:pPr>
            <w:r>
              <w:rPr>
                <w:rFonts w:ascii="仿宋_GB2312" w:eastAsia="仿宋_GB2312" w:hAnsi="Calibri" w:cs="宋体"/>
                <w:color w:val="000000"/>
                <w:sz w:val="24"/>
              </w:rPr>
              <w:t>-</w:t>
            </w:r>
          </w:p>
        </w:tc>
      </w:tr>
      <w:tr w:rsidR="00AB21F8">
        <w:tc>
          <w:tcPr>
            <w:tcW w:w="1281" w:type="dxa"/>
            <w:vAlign w:val="center"/>
          </w:tcPr>
          <w:p w:rsidR="00AB21F8" w:rsidRDefault="0061019B">
            <w:pPr>
              <w:jc w:val="center"/>
            </w:pPr>
            <w:r>
              <w:rPr>
                <w:rFonts w:ascii="仿宋_GB2312" w:eastAsia="仿宋_GB2312" w:hAnsi="Calibri" w:cs="宋体"/>
                <w:color w:val="000000"/>
                <w:sz w:val="24"/>
              </w:rPr>
              <w:t>7</w:t>
            </w:r>
          </w:p>
        </w:tc>
        <w:tc>
          <w:tcPr>
            <w:tcW w:w="2620" w:type="dxa"/>
            <w:vAlign w:val="center"/>
          </w:tcPr>
          <w:p w:rsidR="00AB21F8" w:rsidRDefault="0061019B">
            <w:pPr>
              <w:jc w:val="center"/>
            </w:pPr>
            <w:r>
              <w:rPr>
                <w:rFonts w:ascii="仿宋_GB2312" w:eastAsia="仿宋_GB2312" w:hAnsi="Calibri" w:cs="宋体"/>
                <w:color w:val="000000"/>
                <w:sz w:val="24"/>
              </w:rPr>
              <w:t>资金拆出</w:t>
            </w:r>
          </w:p>
        </w:tc>
        <w:tc>
          <w:tcPr>
            <w:tcW w:w="2694" w:type="dxa"/>
            <w:vAlign w:val="center"/>
          </w:tcPr>
          <w:p w:rsidR="00AB21F8" w:rsidRDefault="0061019B">
            <w:pPr>
              <w:jc w:val="center"/>
            </w:pPr>
            <w:r>
              <w:rPr>
                <w:rFonts w:ascii="仿宋_GB2312" w:eastAsia="仿宋_GB2312" w:hAnsi="Calibri" w:cs="宋体"/>
                <w:color w:val="000000"/>
                <w:sz w:val="24"/>
              </w:rPr>
              <w:t>-</w:t>
            </w:r>
          </w:p>
        </w:tc>
        <w:tc>
          <w:tcPr>
            <w:tcW w:w="2477" w:type="dxa"/>
            <w:vAlign w:val="center"/>
          </w:tcPr>
          <w:p w:rsidR="00AB21F8" w:rsidRDefault="0061019B">
            <w:pPr>
              <w:jc w:val="center"/>
            </w:pPr>
            <w:r>
              <w:rPr>
                <w:rFonts w:ascii="仿宋_GB2312" w:eastAsia="仿宋_GB2312" w:hAnsi="Calibri" w:cs="宋体"/>
                <w:color w:val="000000"/>
                <w:sz w:val="24"/>
              </w:rPr>
              <w:t>-</w:t>
            </w:r>
          </w:p>
        </w:tc>
      </w:tr>
      <w:tr w:rsidR="00AB21F8">
        <w:tc>
          <w:tcPr>
            <w:tcW w:w="1281" w:type="dxa"/>
            <w:vAlign w:val="center"/>
          </w:tcPr>
          <w:p w:rsidR="00AB21F8" w:rsidRDefault="0061019B">
            <w:pPr>
              <w:jc w:val="center"/>
            </w:pPr>
            <w:r>
              <w:rPr>
                <w:rFonts w:ascii="仿宋_GB2312" w:eastAsia="仿宋_GB2312" w:hAnsi="Calibri" w:cs="宋体"/>
                <w:color w:val="000000"/>
                <w:sz w:val="24"/>
              </w:rPr>
              <w:t>8</w:t>
            </w:r>
          </w:p>
        </w:tc>
        <w:tc>
          <w:tcPr>
            <w:tcW w:w="2620" w:type="dxa"/>
            <w:vAlign w:val="center"/>
          </w:tcPr>
          <w:p w:rsidR="00AB21F8" w:rsidRDefault="0061019B">
            <w:pPr>
              <w:jc w:val="center"/>
            </w:pPr>
            <w:r>
              <w:rPr>
                <w:rFonts w:ascii="仿宋_GB2312" w:eastAsia="仿宋_GB2312" w:hAnsi="Calibri" w:cs="宋体"/>
                <w:color w:val="000000"/>
                <w:sz w:val="24"/>
              </w:rPr>
              <w:t>结算备付金</w:t>
            </w:r>
          </w:p>
        </w:tc>
        <w:tc>
          <w:tcPr>
            <w:tcW w:w="2694" w:type="dxa"/>
            <w:vAlign w:val="center"/>
          </w:tcPr>
          <w:p w:rsidR="00AB21F8" w:rsidRDefault="0061019B">
            <w:pPr>
              <w:jc w:val="center"/>
            </w:pPr>
            <w:r>
              <w:rPr>
                <w:rFonts w:ascii="仿宋_GB2312" w:eastAsia="仿宋_GB2312" w:hAnsi="Calibri" w:cs="宋体"/>
                <w:color w:val="000000"/>
                <w:sz w:val="24"/>
              </w:rPr>
              <w:t>-</w:t>
            </w:r>
          </w:p>
        </w:tc>
        <w:tc>
          <w:tcPr>
            <w:tcW w:w="2477" w:type="dxa"/>
            <w:vAlign w:val="center"/>
          </w:tcPr>
          <w:p w:rsidR="00AB21F8" w:rsidRDefault="0061019B">
            <w:pPr>
              <w:jc w:val="center"/>
            </w:pPr>
            <w:r>
              <w:rPr>
                <w:rFonts w:ascii="仿宋_GB2312" w:eastAsia="仿宋_GB2312" w:hAnsi="Calibri" w:cs="宋体"/>
                <w:color w:val="000000"/>
                <w:sz w:val="24"/>
              </w:rPr>
              <w:t>-</w:t>
            </w:r>
          </w:p>
        </w:tc>
      </w:tr>
      <w:tr w:rsidR="00AB21F8">
        <w:tc>
          <w:tcPr>
            <w:tcW w:w="1281" w:type="dxa"/>
            <w:vAlign w:val="center"/>
          </w:tcPr>
          <w:p w:rsidR="00AB21F8" w:rsidRDefault="0061019B">
            <w:pPr>
              <w:jc w:val="center"/>
            </w:pPr>
            <w:r>
              <w:rPr>
                <w:rFonts w:ascii="仿宋_GB2312" w:eastAsia="仿宋_GB2312" w:hAnsi="Calibri" w:cs="宋体"/>
                <w:color w:val="000000"/>
                <w:sz w:val="24"/>
              </w:rPr>
              <w:lastRenderedPageBreak/>
              <w:t>9</w:t>
            </w:r>
          </w:p>
        </w:tc>
        <w:tc>
          <w:tcPr>
            <w:tcW w:w="2620" w:type="dxa"/>
            <w:vAlign w:val="center"/>
          </w:tcPr>
          <w:p w:rsidR="00AB21F8" w:rsidRDefault="0061019B">
            <w:pPr>
              <w:jc w:val="center"/>
            </w:pPr>
            <w:r>
              <w:rPr>
                <w:rFonts w:ascii="仿宋_GB2312" w:eastAsia="仿宋_GB2312" w:hAnsi="Calibri" w:cs="宋体"/>
                <w:color w:val="000000"/>
                <w:sz w:val="24"/>
              </w:rPr>
              <w:t>买入返售金融资产</w:t>
            </w:r>
          </w:p>
        </w:tc>
        <w:tc>
          <w:tcPr>
            <w:tcW w:w="2694" w:type="dxa"/>
            <w:vAlign w:val="center"/>
          </w:tcPr>
          <w:p w:rsidR="00AB21F8" w:rsidRDefault="0061019B">
            <w:pPr>
              <w:jc w:val="center"/>
            </w:pPr>
            <w:r>
              <w:rPr>
                <w:rFonts w:ascii="仿宋_GB2312" w:eastAsia="仿宋_GB2312" w:hAnsi="Calibri" w:cs="宋体"/>
                <w:color w:val="000000"/>
                <w:sz w:val="24"/>
              </w:rPr>
              <w:t>-</w:t>
            </w:r>
          </w:p>
        </w:tc>
        <w:tc>
          <w:tcPr>
            <w:tcW w:w="2477" w:type="dxa"/>
            <w:vAlign w:val="center"/>
          </w:tcPr>
          <w:p w:rsidR="00AB21F8" w:rsidRDefault="0061019B">
            <w:pPr>
              <w:jc w:val="center"/>
            </w:pPr>
            <w:r>
              <w:rPr>
                <w:rFonts w:ascii="仿宋_GB2312" w:eastAsia="仿宋_GB2312" w:hAnsi="Calibri" w:cs="宋体"/>
                <w:color w:val="000000"/>
                <w:sz w:val="24"/>
              </w:rPr>
              <w:t>-</w:t>
            </w:r>
          </w:p>
        </w:tc>
      </w:tr>
      <w:tr w:rsidR="00AB21F8">
        <w:tc>
          <w:tcPr>
            <w:tcW w:w="1281" w:type="dxa"/>
            <w:vAlign w:val="center"/>
          </w:tcPr>
          <w:p w:rsidR="00AB21F8" w:rsidRDefault="0061019B">
            <w:pPr>
              <w:jc w:val="center"/>
            </w:pPr>
            <w:r>
              <w:rPr>
                <w:rFonts w:ascii="仿宋_GB2312" w:eastAsia="仿宋_GB2312" w:hAnsi="Calibri" w:cs="宋体"/>
                <w:color w:val="000000"/>
                <w:sz w:val="24"/>
              </w:rPr>
              <w:t>1</w:t>
            </w:r>
            <w:r w:rsidR="008F3C17">
              <w:rPr>
                <w:rFonts w:ascii="仿宋_GB2312" w:eastAsia="仿宋_GB2312" w:hAnsi="Calibri" w:cs="宋体" w:hint="eastAsia"/>
                <w:color w:val="000000"/>
                <w:sz w:val="24"/>
              </w:rPr>
              <w:t>0</w:t>
            </w:r>
            <w:bookmarkStart w:id="0" w:name="_GoBack"/>
            <w:bookmarkEnd w:id="0"/>
          </w:p>
        </w:tc>
        <w:tc>
          <w:tcPr>
            <w:tcW w:w="2620" w:type="dxa"/>
            <w:vAlign w:val="center"/>
          </w:tcPr>
          <w:p w:rsidR="00AB21F8" w:rsidRDefault="0061019B">
            <w:pPr>
              <w:jc w:val="center"/>
            </w:pPr>
            <w:r>
              <w:rPr>
                <w:rFonts w:ascii="仿宋_GB2312" w:eastAsia="仿宋_GB2312" w:hAnsi="Calibri" w:cs="宋体"/>
                <w:color w:val="000000"/>
                <w:sz w:val="24"/>
              </w:rPr>
              <w:t>应收利息</w:t>
            </w:r>
          </w:p>
        </w:tc>
        <w:tc>
          <w:tcPr>
            <w:tcW w:w="2694" w:type="dxa"/>
            <w:vAlign w:val="center"/>
          </w:tcPr>
          <w:p w:rsidR="00AB21F8" w:rsidRPr="008F3C17" w:rsidRDefault="008F3C17" w:rsidP="008F3C17">
            <w:pPr>
              <w:jc w:val="center"/>
              <w:rPr>
                <w:rFonts w:eastAsia="宋体" w:cs="Arial" w:hint="eastAsia"/>
                <w:sz w:val="24"/>
              </w:rPr>
            </w:pPr>
            <w:r w:rsidRPr="008F3C17">
              <w:rPr>
                <w:rFonts w:ascii="仿宋_GB2312" w:eastAsia="仿宋_GB2312" w:hAnsi="Calibri" w:cs="宋体" w:hint="eastAsia"/>
                <w:color w:val="000000"/>
                <w:sz w:val="24"/>
              </w:rPr>
              <w:t>14,347,444.71</w:t>
            </w:r>
          </w:p>
        </w:tc>
        <w:tc>
          <w:tcPr>
            <w:tcW w:w="2477" w:type="dxa"/>
            <w:vAlign w:val="center"/>
          </w:tcPr>
          <w:p w:rsidR="00AB21F8" w:rsidRDefault="008F3C17">
            <w:pPr>
              <w:jc w:val="center"/>
            </w:pPr>
            <w:r>
              <w:rPr>
                <w:rFonts w:ascii="仿宋_GB2312" w:eastAsia="仿宋_GB2312" w:hAnsi="Calibri" w:cs="宋体" w:hint="eastAsia"/>
                <w:color w:val="000000"/>
                <w:sz w:val="24"/>
              </w:rPr>
              <w:t>2</w:t>
            </w:r>
            <w:r w:rsidR="0061019B">
              <w:rPr>
                <w:rFonts w:ascii="仿宋_GB2312" w:eastAsia="仿宋_GB2312" w:hAnsi="Calibri" w:cs="宋体"/>
                <w:color w:val="000000"/>
                <w:sz w:val="24"/>
              </w:rPr>
              <w:t>.</w:t>
            </w:r>
            <w:r>
              <w:rPr>
                <w:rFonts w:ascii="仿宋_GB2312" w:eastAsia="仿宋_GB2312" w:hAnsi="Calibri" w:cs="宋体" w:hint="eastAsia"/>
                <w:color w:val="000000"/>
                <w:sz w:val="24"/>
              </w:rPr>
              <w:t>20</w:t>
            </w:r>
            <w:r w:rsidR="0061019B">
              <w:rPr>
                <w:rFonts w:ascii="仿宋_GB2312" w:eastAsia="仿宋_GB2312" w:hAnsi="Calibri" w:cs="宋体"/>
                <w:color w:val="000000"/>
                <w:sz w:val="24"/>
              </w:rPr>
              <w:t>%</w:t>
            </w:r>
          </w:p>
        </w:tc>
      </w:tr>
      <w:tr w:rsidR="00AB21F8">
        <w:tc>
          <w:tcPr>
            <w:tcW w:w="1281" w:type="dxa"/>
            <w:vAlign w:val="center"/>
          </w:tcPr>
          <w:p w:rsidR="00AB21F8" w:rsidRDefault="00AB21F8">
            <w:pPr>
              <w:jc w:val="center"/>
            </w:pPr>
          </w:p>
        </w:tc>
        <w:tc>
          <w:tcPr>
            <w:tcW w:w="2620" w:type="dxa"/>
            <w:vAlign w:val="center"/>
          </w:tcPr>
          <w:p w:rsidR="00AB21F8" w:rsidRDefault="0061019B">
            <w:pPr>
              <w:jc w:val="center"/>
            </w:pPr>
            <w:r>
              <w:rPr>
                <w:rFonts w:ascii="仿宋_GB2312" w:eastAsia="仿宋_GB2312" w:hAnsi="Calibri" w:cs="宋体"/>
                <w:color w:val="000000"/>
                <w:sz w:val="24"/>
              </w:rPr>
              <w:t>合计</w:t>
            </w:r>
          </w:p>
        </w:tc>
        <w:tc>
          <w:tcPr>
            <w:tcW w:w="2694" w:type="dxa"/>
            <w:vAlign w:val="center"/>
          </w:tcPr>
          <w:p w:rsidR="00AB21F8" w:rsidRDefault="0061019B">
            <w:pPr>
              <w:jc w:val="center"/>
            </w:pPr>
            <w:r>
              <w:rPr>
                <w:rFonts w:ascii="仿宋_GB2312" w:eastAsia="仿宋_GB2312" w:hAnsi="Calibri" w:cs="宋体"/>
                <w:color w:val="000000"/>
                <w:sz w:val="24"/>
              </w:rPr>
              <w:t>655,966,073.49</w:t>
            </w:r>
          </w:p>
        </w:tc>
        <w:tc>
          <w:tcPr>
            <w:tcW w:w="2477" w:type="dxa"/>
            <w:vAlign w:val="center"/>
          </w:tcPr>
          <w:p w:rsidR="00AB21F8" w:rsidRDefault="0061019B">
            <w:pPr>
              <w:jc w:val="center"/>
            </w:pPr>
            <w:r>
              <w:rPr>
                <w:rFonts w:ascii="仿宋_GB2312" w:eastAsia="仿宋_GB2312" w:hAnsi="Calibri" w:cs="宋体"/>
                <w:color w:val="000000"/>
                <w:sz w:val="24"/>
              </w:rPr>
              <w:t>100.66%</w:t>
            </w:r>
          </w:p>
        </w:tc>
      </w:tr>
    </w:tbl>
    <w:p w:rsidR="00DE496A" w:rsidRDefault="00DE496A" w:rsidP="00DE496A">
      <w:pPr>
        <w:spacing w:line="360" w:lineRule="auto"/>
        <w:ind w:firstLine="482"/>
        <w:rPr>
          <w:rFonts w:ascii="仿宋_GB2312" w:eastAsia="仿宋_GB2312" w:hAnsi="Calibri"/>
          <w:sz w:val="24"/>
          <w:szCs w:val="24"/>
        </w:rPr>
      </w:pPr>
      <w:r w:rsidRPr="00756460">
        <w:rPr>
          <w:rFonts w:ascii="仿宋_GB2312" w:eastAsia="仿宋_GB2312" w:hint="eastAsia"/>
          <w:b/>
          <w:bCs/>
          <w:sz w:val="24"/>
          <w:szCs w:val="24"/>
        </w:rPr>
        <w:t>4.2 报告期内产品投资策略和组合流动性风险分析</w:t>
      </w:r>
    </w:p>
    <w:p w:rsidR="00DE496A" w:rsidRPr="00172304" w:rsidRDefault="00172304" w:rsidP="00172304">
      <w:pPr>
        <w:snapToGrid w:val="0"/>
        <w:spacing w:line="360" w:lineRule="auto"/>
        <w:ind w:firstLine="360"/>
        <w:jc w:val="left"/>
        <w:rPr>
          <w:rFonts w:ascii="仿宋_GB2312" w:eastAsia="仿宋_GB2312"/>
          <w:color w:val="404040"/>
          <w:sz w:val="24"/>
          <w:szCs w:val="24"/>
        </w:rPr>
      </w:pPr>
      <w:r>
        <w:rPr>
          <w:rFonts w:ascii="仿宋_GB2312" w:eastAsia="仿宋_GB2312" w:hint="eastAsia"/>
          <w:color w:val="404040"/>
          <w:sz w:val="24"/>
          <w:szCs w:val="24"/>
        </w:rPr>
        <w:t>报告期内，十年期国债收益率季末收在2.773%，债券收益率整体呈震荡趋势。本产品采用市值法估值，以配置中</w:t>
      </w:r>
      <w:proofErr w:type="gramStart"/>
      <w:r>
        <w:rPr>
          <w:rFonts w:ascii="仿宋_GB2312" w:eastAsia="仿宋_GB2312" w:hint="eastAsia"/>
          <w:color w:val="404040"/>
          <w:sz w:val="24"/>
          <w:szCs w:val="24"/>
        </w:rPr>
        <w:t>短久期</w:t>
      </w:r>
      <w:proofErr w:type="gramEnd"/>
      <w:r>
        <w:rPr>
          <w:rFonts w:ascii="仿宋_GB2312" w:eastAsia="仿宋_GB2312" w:hint="eastAsia"/>
          <w:color w:val="404040"/>
          <w:sz w:val="24"/>
          <w:szCs w:val="24"/>
        </w:rPr>
        <w:t>的高等级信用</w:t>
      </w:r>
      <w:proofErr w:type="gramStart"/>
      <w:r>
        <w:rPr>
          <w:rFonts w:ascii="仿宋_GB2312" w:eastAsia="仿宋_GB2312" w:hint="eastAsia"/>
          <w:color w:val="404040"/>
          <w:sz w:val="24"/>
          <w:szCs w:val="24"/>
        </w:rPr>
        <w:t>债为主</w:t>
      </w:r>
      <w:proofErr w:type="gramEnd"/>
      <w:r>
        <w:rPr>
          <w:rFonts w:ascii="仿宋_GB2312" w:eastAsia="仿宋_GB2312" w:hint="eastAsia"/>
          <w:color w:val="404040"/>
          <w:sz w:val="24"/>
          <w:szCs w:val="24"/>
        </w:rPr>
        <w:t>,通过分散化投资以及行内评审会流程精选个</w:t>
      </w:r>
      <w:proofErr w:type="gramStart"/>
      <w:r>
        <w:rPr>
          <w:rFonts w:ascii="仿宋_GB2312" w:eastAsia="仿宋_GB2312" w:hint="eastAsia"/>
          <w:color w:val="404040"/>
          <w:sz w:val="24"/>
          <w:szCs w:val="24"/>
        </w:rPr>
        <w:t>券</w:t>
      </w:r>
      <w:proofErr w:type="gramEnd"/>
      <w:r>
        <w:rPr>
          <w:rFonts w:ascii="仿宋_GB2312" w:eastAsia="仿宋_GB2312" w:hint="eastAsia"/>
          <w:color w:val="404040"/>
          <w:sz w:val="24"/>
          <w:szCs w:val="24"/>
        </w:rPr>
        <w:t>，构建具有较好流动性、</w:t>
      </w:r>
      <w:proofErr w:type="gramStart"/>
      <w:r>
        <w:rPr>
          <w:rFonts w:ascii="仿宋_GB2312" w:eastAsia="仿宋_GB2312" w:hint="eastAsia"/>
          <w:color w:val="404040"/>
          <w:sz w:val="24"/>
          <w:szCs w:val="24"/>
        </w:rPr>
        <w:t>久期适中</w:t>
      </w:r>
      <w:proofErr w:type="gramEnd"/>
      <w:r>
        <w:rPr>
          <w:rFonts w:ascii="仿宋_GB2312" w:eastAsia="仿宋_GB2312" w:hint="eastAsia"/>
          <w:color w:val="404040"/>
          <w:sz w:val="24"/>
          <w:szCs w:val="24"/>
        </w:rPr>
        <w:t>、信用风险可控的优质债券组合。本产品持仓以高评级信用债为主，杠杆率控制在合理水平，组合的流动性风险处于合理可控水平。</w:t>
      </w:r>
    </w:p>
    <w:p w:rsidR="00DE496A" w:rsidRDefault="00DE496A" w:rsidP="00DE496A">
      <w:pPr>
        <w:spacing w:line="360" w:lineRule="auto"/>
        <w:ind w:firstLineChars="200" w:firstLine="482"/>
        <w:rPr>
          <w:rFonts w:ascii="仿宋_GB2312" w:eastAsia="仿宋_GB2312" w:hAnsiTheme="minorEastAsia"/>
          <w:b/>
          <w:bCs/>
          <w:sz w:val="24"/>
          <w:szCs w:val="24"/>
        </w:rPr>
      </w:pPr>
      <w:r>
        <w:rPr>
          <w:rFonts w:ascii="仿宋_GB2312" w:eastAsia="仿宋_GB2312" w:hAnsiTheme="minorEastAsia"/>
          <w:b/>
          <w:bCs/>
          <w:sz w:val="24"/>
          <w:szCs w:val="24"/>
        </w:rPr>
        <w:t>4.3报告期末占比前十项资产明细</w:t>
      </w:r>
    </w:p>
    <w:tbl>
      <w:tblPr>
        <w:tblW w:w="907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39"/>
        <w:gridCol w:w="2268"/>
        <w:gridCol w:w="2835"/>
        <w:gridCol w:w="2835"/>
      </w:tblGrid>
      <w:tr w:rsidR="00DE496A" w:rsidTr="00B00579">
        <w:trPr>
          <w:trHeight w:val="296"/>
        </w:trPr>
        <w:tc>
          <w:tcPr>
            <w:tcW w:w="1139" w:type="dxa"/>
            <w:vAlign w:val="cente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序号</w:t>
            </w:r>
          </w:p>
        </w:tc>
        <w:tc>
          <w:tcPr>
            <w:tcW w:w="2268" w:type="dxa"/>
            <w:tcMar>
              <w:top w:w="15" w:type="dxa"/>
              <w:left w:w="15" w:type="dxa"/>
              <w:bottom w:w="0" w:type="dxa"/>
              <w:right w:w="15" w:type="dxa"/>
            </w:tcMar>
            <w:vAlign w:val="center"/>
          </w:tcPr>
          <w:p w:rsidR="00DE496A" w:rsidRDefault="00DE496A" w:rsidP="00B00579">
            <w:pPr>
              <w:pStyle w:val="xl33"/>
              <w:widowControl w:val="0"/>
              <w:pBdr>
                <w:left w:val="none" w:sz="0" w:space="0" w:color="auto"/>
                <w:bottom w:val="none" w:sz="0" w:space="0" w:color="auto"/>
                <w:right w:val="none" w:sz="0" w:space="0" w:color="auto"/>
              </w:pBdr>
              <w:adjustRightInd w:val="0"/>
              <w:snapToGrid w:val="0"/>
              <w:spacing w:before="0" w:beforeAutospacing="0" w:after="0" w:afterAutospacing="0" w:line="360" w:lineRule="auto"/>
              <w:rPr>
                <w:rFonts w:ascii="仿宋_GB2312" w:eastAsia="仿宋_GB2312" w:hAnsiTheme="minorEastAsia" w:cs="Times New Roman"/>
                <w:color w:val="000000"/>
                <w:kern w:val="2"/>
              </w:rPr>
            </w:pPr>
            <w:r>
              <w:rPr>
                <w:rFonts w:ascii="仿宋_GB2312" w:eastAsia="仿宋_GB2312" w:hAnsiTheme="minorEastAsia" w:cs="Times New Roman" w:hint="eastAsia"/>
                <w:color w:val="000000"/>
                <w:kern w:val="2"/>
              </w:rPr>
              <w:t>资产名称</w:t>
            </w:r>
          </w:p>
        </w:tc>
        <w:tc>
          <w:tcPr>
            <w:tcW w:w="2835" w:type="dxa"/>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资产规模</w:t>
            </w:r>
          </w:p>
        </w:tc>
        <w:tc>
          <w:tcPr>
            <w:tcW w:w="2835" w:type="dxa"/>
            <w:tcMar>
              <w:top w:w="15" w:type="dxa"/>
              <w:left w:w="15" w:type="dxa"/>
              <w:bottom w:w="0" w:type="dxa"/>
              <w:right w:w="15" w:type="dxa"/>
            </w:tcMar>
            <w:vAlign w:val="cente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Theme="minorEastAsia" w:hint="eastAsia"/>
                <w:color w:val="000000"/>
                <w:sz w:val="24"/>
                <w:szCs w:val="24"/>
              </w:rPr>
              <w:t>占产品资产净值比例</w:t>
            </w:r>
          </w:p>
        </w:tc>
      </w:tr>
      <w:tr w:rsidR="00DE496A" w:rsidTr="00B00579">
        <w:trPr>
          <w:trHeight w:val="296"/>
        </w:trPr>
        <w:tc>
          <w:tcPr>
            <w:tcW w:w="1139" w:type="dxa"/>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1</w:t>
            </w:r>
          </w:p>
        </w:tc>
        <w:tc>
          <w:tcPr>
            <w:tcW w:w="2268" w:type="dxa"/>
            <w:tcMar>
              <w:top w:w="15" w:type="dxa"/>
              <w:left w:w="15" w:type="dxa"/>
              <w:bottom w:w="0" w:type="dxa"/>
              <w:right w:w="15" w:type="dxa"/>
            </w:tcMar>
          </w:tcPr>
          <w:p w:rsidR="00DE496A"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17华夏银行二级01</w:t>
            </w:r>
          </w:p>
        </w:tc>
        <w:tc>
          <w:tcPr>
            <w:tcW w:w="2835" w:type="dxa"/>
          </w:tcPr>
          <w:p w:rsidR="00DE496A" w:rsidRPr="00D41D16"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60,222,000.00</w:t>
            </w:r>
          </w:p>
        </w:tc>
        <w:tc>
          <w:tcPr>
            <w:tcW w:w="2835" w:type="dxa"/>
            <w:tcMar>
              <w:top w:w="15" w:type="dxa"/>
              <w:left w:w="15" w:type="dxa"/>
              <w:bottom w:w="0" w:type="dxa"/>
              <w:right w:w="15" w:type="dxa"/>
            </w:tcMar>
          </w:tcPr>
          <w:p w:rsidR="00DE496A" w:rsidRPr="00D41D16" w:rsidRDefault="00DE496A" w:rsidP="00B00579">
            <w:pPr>
              <w:adjustRightInd w:val="0"/>
              <w:snapToGrid w:val="0"/>
              <w:spacing w:line="360" w:lineRule="auto"/>
              <w:jc w:val="center"/>
              <w:rPr>
                <w:rFonts w:ascii="仿宋_GB2312" w:eastAsia="仿宋_GB2312" w:hAnsiTheme="minorEastAsia"/>
                <w:color w:val="000000"/>
                <w:sz w:val="24"/>
                <w:szCs w:val="24"/>
              </w:rPr>
            </w:pPr>
            <w:r>
              <w:rPr>
                <w:rFonts w:ascii="仿宋_GB2312" w:eastAsia="仿宋_GB2312" w:hAnsi="Calibri" w:cs="宋体"/>
                <w:color w:val="000000"/>
                <w:sz w:val="24"/>
                <w:szCs w:val="24"/>
              </w:rPr>
              <w:t>9.24%</w:t>
            </w:r>
          </w:p>
        </w:tc>
      </w:tr>
      <w:tr w:rsidR="00AB21F8">
        <w:tc>
          <w:tcPr>
            <w:tcW w:w="1139" w:type="dxa"/>
          </w:tcPr>
          <w:p w:rsidR="00AB21F8" w:rsidRDefault="0061019B">
            <w:pPr>
              <w:jc w:val="center"/>
            </w:pPr>
            <w:r>
              <w:rPr>
                <w:rFonts w:ascii="仿宋_GB2312" w:eastAsia="仿宋_GB2312" w:hAnsi="Calibri" w:cs="宋体"/>
                <w:color w:val="000000"/>
                <w:sz w:val="24"/>
              </w:rPr>
              <w:t>2</w:t>
            </w:r>
          </w:p>
        </w:tc>
        <w:tc>
          <w:tcPr>
            <w:tcW w:w="2268" w:type="dxa"/>
            <w:tcMar>
              <w:top w:w="15" w:type="dxa"/>
              <w:left w:w="15" w:type="dxa"/>
              <w:bottom w:w="0" w:type="dxa"/>
              <w:right w:w="15" w:type="dxa"/>
            </w:tcMar>
          </w:tcPr>
          <w:p w:rsidR="00AB21F8" w:rsidRDefault="0061019B">
            <w:pPr>
              <w:jc w:val="center"/>
            </w:pPr>
            <w:r>
              <w:rPr>
                <w:rFonts w:ascii="仿宋_GB2312" w:eastAsia="仿宋_GB2312" w:hAnsi="Calibri" w:cs="宋体"/>
                <w:color w:val="000000"/>
                <w:sz w:val="24"/>
              </w:rPr>
              <w:t>22华电MTN001A</w:t>
            </w:r>
          </w:p>
        </w:tc>
        <w:tc>
          <w:tcPr>
            <w:tcW w:w="2835" w:type="dxa"/>
          </w:tcPr>
          <w:p w:rsidR="00AB21F8" w:rsidRDefault="0061019B">
            <w:pPr>
              <w:jc w:val="center"/>
            </w:pPr>
            <w:r>
              <w:rPr>
                <w:rFonts w:ascii="仿宋_GB2312" w:eastAsia="仿宋_GB2312" w:hAnsi="Calibri" w:cs="宋体"/>
                <w:color w:val="000000"/>
                <w:sz w:val="24"/>
              </w:rPr>
              <w:t>59,814,000.00</w:t>
            </w:r>
          </w:p>
        </w:tc>
        <w:tc>
          <w:tcPr>
            <w:tcW w:w="2835" w:type="dxa"/>
            <w:tcMar>
              <w:top w:w="15" w:type="dxa"/>
              <w:left w:w="15" w:type="dxa"/>
              <w:bottom w:w="0" w:type="dxa"/>
              <w:right w:w="15" w:type="dxa"/>
            </w:tcMar>
          </w:tcPr>
          <w:p w:rsidR="00AB21F8" w:rsidRDefault="0061019B">
            <w:pPr>
              <w:jc w:val="center"/>
            </w:pPr>
            <w:r>
              <w:rPr>
                <w:rFonts w:ascii="仿宋_GB2312" w:eastAsia="仿宋_GB2312" w:hAnsi="Calibri" w:cs="宋体"/>
                <w:color w:val="000000"/>
                <w:sz w:val="24"/>
              </w:rPr>
              <w:t>9.18%</w:t>
            </w:r>
          </w:p>
        </w:tc>
      </w:tr>
      <w:tr w:rsidR="00AB21F8">
        <w:tc>
          <w:tcPr>
            <w:tcW w:w="1139" w:type="dxa"/>
          </w:tcPr>
          <w:p w:rsidR="00AB21F8" w:rsidRDefault="0061019B">
            <w:pPr>
              <w:jc w:val="center"/>
            </w:pPr>
            <w:r>
              <w:rPr>
                <w:rFonts w:ascii="仿宋_GB2312" w:eastAsia="仿宋_GB2312" w:hAnsi="Calibri" w:cs="宋体"/>
                <w:color w:val="000000"/>
                <w:sz w:val="24"/>
              </w:rPr>
              <w:t>3</w:t>
            </w:r>
          </w:p>
        </w:tc>
        <w:tc>
          <w:tcPr>
            <w:tcW w:w="2268" w:type="dxa"/>
            <w:tcMar>
              <w:top w:w="15" w:type="dxa"/>
              <w:left w:w="15" w:type="dxa"/>
              <w:bottom w:w="0" w:type="dxa"/>
              <w:right w:w="15" w:type="dxa"/>
            </w:tcMar>
          </w:tcPr>
          <w:p w:rsidR="00AB21F8" w:rsidRDefault="0061019B">
            <w:pPr>
              <w:jc w:val="center"/>
            </w:pPr>
            <w:r>
              <w:rPr>
                <w:rFonts w:ascii="仿宋_GB2312" w:eastAsia="仿宋_GB2312" w:hAnsi="Calibri" w:cs="宋体"/>
                <w:color w:val="000000"/>
                <w:sz w:val="24"/>
              </w:rPr>
              <w:t>19华润MTN007</w:t>
            </w:r>
          </w:p>
        </w:tc>
        <w:tc>
          <w:tcPr>
            <w:tcW w:w="2835" w:type="dxa"/>
          </w:tcPr>
          <w:p w:rsidR="00AB21F8" w:rsidRDefault="0061019B">
            <w:pPr>
              <w:jc w:val="center"/>
            </w:pPr>
            <w:r>
              <w:rPr>
                <w:rFonts w:ascii="仿宋_GB2312" w:eastAsia="仿宋_GB2312" w:hAnsi="Calibri" w:cs="宋体"/>
                <w:color w:val="000000"/>
                <w:sz w:val="24"/>
              </w:rPr>
              <w:t>50,300,000.00</w:t>
            </w:r>
          </w:p>
        </w:tc>
        <w:tc>
          <w:tcPr>
            <w:tcW w:w="2835" w:type="dxa"/>
            <w:tcMar>
              <w:top w:w="15" w:type="dxa"/>
              <w:left w:w="15" w:type="dxa"/>
              <w:bottom w:w="0" w:type="dxa"/>
              <w:right w:w="15" w:type="dxa"/>
            </w:tcMar>
          </w:tcPr>
          <w:p w:rsidR="00AB21F8" w:rsidRDefault="0061019B">
            <w:pPr>
              <w:jc w:val="center"/>
            </w:pPr>
            <w:r>
              <w:rPr>
                <w:rFonts w:ascii="仿宋_GB2312" w:eastAsia="仿宋_GB2312" w:hAnsi="Calibri" w:cs="宋体"/>
                <w:color w:val="000000"/>
                <w:sz w:val="24"/>
              </w:rPr>
              <w:t>7.72%</w:t>
            </w:r>
          </w:p>
        </w:tc>
      </w:tr>
      <w:tr w:rsidR="00AB21F8">
        <w:tc>
          <w:tcPr>
            <w:tcW w:w="1139" w:type="dxa"/>
          </w:tcPr>
          <w:p w:rsidR="00AB21F8" w:rsidRDefault="0061019B">
            <w:pPr>
              <w:jc w:val="center"/>
            </w:pPr>
            <w:r>
              <w:rPr>
                <w:rFonts w:ascii="仿宋_GB2312" w:eastAsia="仿宋_GB2312" w:hAnsi="Calibri" w:cs="宋体"/>
                <w:color w:val="000000"/>
                <w:sz w:val="24"/>
              </w:rPr>
              <w:t>4</w:t>
            </w:r>
          </w:p>
        </w:tc>
        <w:tc>
          <w:tcPr>
            <w:tcW w:w="2268" w:type="dxa"/>
            <w:tcMar>
              <w:top w:w="15" w:type="dxa"/>
              <w:left w:w="15" w:type="dxa"/>
              <w:bottom w:w="0" w:type="dxa"/>
              <w:right w:w="15" w:type="dxa"/>
            </w:tcMar>
          </w:tcPr>
          <w:p w:rsidR="00AB21F8" w:rsidRDefault="0061019B">
            <w:pPr>
              <w:jc w:val="center"/>
            </w:pPr>
            <w:r>
              <w:rPr>
                <w:rFonts w:ascii="仿宋_GB2312" w:eastAsia="仿宋_GB2312" w:hAnsi="Calibri" w:cs="宋体"/>
                <w:color w:val="000000"/>
                <w:sz w:val="24"/>
              </w:rPr>
              <w:t>21兴业银行CD428</w:t>
            </w:r>
          </w:p>
        </w:tc>
        <w:tc>
          <w:tcPr>
            <w:tcW w:w="2835" w:type="dxa"/>
          </w:tcPr>
          <w:p w:rsidR="00AB21F8" w:rsidRDefault="0061019B">
            <w:pPr>
              <w:jc w:val="center"/>
            </w:pPr>
            <w:r>
              <w:rPr>
                <w:rFonts w:ascii="仿宋_GB2312" w:eastAsia="仿宋_GB2312" w:hAnsi="Calibri" w:cs="宋体"/>
                <w:color w:val="000000"/>
                <w:sz w:val="24"/>
              </w:rPr>
              <w:t>47,740,700.00</w:t>
            </w:r>
          </w:p>
        </w:tc>
        <w:tc>
          <w:tcPr>
            <w:tcW w:w="2835" w:type="dxa"/>
            <w:tcMar>
              <w:top w:w="15" w:type="dxa"/>
              <w:left w:w="15" w:type="dxa"/>
              <w:bottom w:w="0" w:type="dxa"/>
              <w:right w:w="15" w:type="dxa"/>
            </w:tcMar>
          </w:tcPr>
          <w:p w:rsidR="00AB21F8" w:rsidRDefault="0061019B">
            <w:pPr>
              <w:jc w:val="center"/>
            </w:pPr>
            <w:r>
              <w:rPr>
                <w:rFonts w:ascii="仿宋_GB2312" w:eastAsia="仿宋_GB2312" w:hAnsi="Calibri" w:cs="宋体"/>
                <w:color w:val="000000"/>
                <w:sz w:val="24"/>
              </w:rPr>
              <w:t>7.33%</w:t>
            </w:r>
          </w:p>
        </w:tc>
      </w:tr>
      <w:tr w:rsidR="00AB21F8">
        <w:tc>
          <w:tcPr>
            <w:tcW w:w="1139" w:type="dxa"/>
          </w:tcPr>
          <w:p w:rsidR="00AB21F8" w:rsidRDefault="0061019B">
            <w:pPr>
              <w:jc w:val="center"/>
            </w:pPr>
            <w:r>
              <w:rPr>
                <w:rFonts w:ascii="仿宋_GB2312" w:eastAsia="仿宋_GB2312" w:hAnsi="Calibri" w:cs="宋体"/>
                <w:color w:val="000000"/>
                <w:sz w:val="24"/>
              </w:rPr>
              <w:t>5</w:t>
            </w:r>
          </w:p>
        </w:tc>
        <w:tc>
          <w:tcPr>
            <w:tcW w:w="2268" w:type="dxa"/>
            <w:tcMar>
              <w:top w:w="15" w:type="dxa"/>
              <w:left w:w="15" w:type="dxa"/>
              <w:bottom w:w="0" w:type="dxa"/>
              <w:right w:w="15" w:type="dxa"/>
            </w:tcMar>
          </w:tcPr>
          <w:p w:rsidR="00AB21F8" w:rsidRDefault="0061019B">
            <w:pPr>
              <w:jc w:val="center"/>
            </w:pPr>
            <w:r>
              <w:rPr>
                <w:rFonts w:ascii="仿宋_GB2312" w:eastAsia="仿宋_GB2312" w:hAnsi="Calibri" w:cs="宋体"/>
                <w:color w:val="000000"/>
                <w:sz w:val="24"/>
              </w:rPr>
              <w:t>17工商银行二级02</w:t>
            </w:r>
          </w:p>
        </w:tc>
        <w:tc>
          <w:tcPr>
            <w:tcW w:w="2835" w:type="dxa"/>
          </w:tcPr>
          <w:p w:rsidR="00AB21F8" w:rsidRDefault="0061019B">
            <w:pPr>
              <w:jc w:val="center"/>
            </w:pPr>
            <w:r>
              <w:rPr>
                <w:rFonts w:ascii="仿宋_GB2312" w:eastAsia="仿宋_GB2312" w:hAnsi="Calibri" w:cs="宋体"/>
                <w:color w:val="000000"/>
                <w:sz w:val="24"/>
              </w:rPr>
              <w:t>40,448,000.00</w:t>
            </w:r>
          </w:p>
        </w:tc>
        <w:tc>
          <w:tcPr>
            <w:tcW w:w="2835" w:type="dxa"/>
            <w:tcMar>
              <w:top w:w="15" w:type="dxa"/>
              <w:left w:w="15" w:type="dxa"/>
              <w:bottom w:w="0" w:type="dxa"/>
              <w:right w:w="15" w:type="dxa"/>
            </w:tcMar>
          </w:tcPr>
          <w:p w:rsidR="00AB21F8" w:rsidRDefault="0061019B">
            <w:pPr>
              <w:jc w:val="center"/>
            </w:pPr>
            <w:r>
              <w:rPr>
                <w:rFonts w:ascii="仿宋_GB2312" w:eastAsia="仿宋_GB2312" w:hAnsi="Calibri" w:cs="宋体"/>
                <w:color w:val="000000"/>
                <w:sz w:val="24"/>
              </w:rPr>
              <w:t>6.21%</w:t>
            </w:r>
          </w:p>
        </w:tc>
      </w:tr>
      <w:tr w:rsidR="00AB21F8">
        <w:tc>
          <w:tcPr>
            <w:tcW w:w="1139" w:type="dxa"/>
          </w:tcPr>
          <w:p w:rsidR="00AB21F8" w:rsidRDefault="0061019B">
            <w:pPr>
              <w:jc w:val="center"/>
            </w:pPr>
            <w:r>
              <w:rPr>
                <w:rFonts w:ascii="仿宋_GB2312" w:eastAsia="仿宋_GB2312" w:hAnsi="Calibri" w:cs="宋体"/>
                <w:color w:val="000000"/>
                <w:sz w:val="24"/>
              </w:rPr>
              <w:t>6</w:t>
            </w:r>
          </w:p>
        </w:tc>
        <w:tc>
          <w:tcPr>
            <w:tcW w:w="2268" w:type="dxa"/>
            <w:tcMar>
              <w:top w:w="15" w:type="dxa"/>
              <w:left w:w="15" w:type="dxa"/>
              <w:bottom w:w="0" w:type="dxa"/>
              <w:right w:w="15" w:type="dxa"/>
            </w:tcMar>
          </w:tcPr>
          <w:p w:rsidR="00AB21F8" w:rsidRDefault="0061019B">
            <w:pPr>
              <w:jc w:val="center"/>
            </w:pPr>
            <w:r>
              <w:rPr>
                <w:rFonts w:ascii="仿宋_GB2312" w:eastAsia="仿宋_GB2312" w:hAnsi="Calibri" w:cs="宋体"/>
                <w:color w:val="000000"/>
                <w:sz w:val="24"/>
              </w:rPr>
              <w:t>19葛洲坝MTN001</w:t>
            </w:r>
          </w:p>
        </w:tc>
        <w:tc>
          <w:tcPr>
            <w:tcW w:w="2835" w:type="dxa"/>
          </w:tcPr>
          <w:p w:rsidR="00AB21F8" w:rsidRDefault="0061019B">
            <w:pPr>
              <w:jc w:val="center"/>
            </w:pPr>
            <w:r>
              <w:rPr>
                <w:rFonts w:ascii="仿宋_GB2312" w:eastAsia="仿宋_GB2312" w:hAnsi="Calibri" w:cs="宋体"/>
                <w:color w:val="000000"/>
                <w:sz w:val="24"/>
              </w:rPr>
              <w:t>40,356,000.00</w:t>
            </w:r>
          </w:p>
        </w:tc>
        <w:tc>
          <w:tcPr>
            <w:tcW w:w="2835" w:type="dxa"/>
            <w:tcMar>
              <w:top w:w="15" w:type="dxa"/>
              <w:left w:w="15" w:type="dxa"/>
              <w:bottom w:w="0" w:type="dxa"/>
              <w:right w:w="15" w:type="dxa"/>
            </w:tcMar>
          </w:tcPr>
          <w:p w:rsidR="00AB21F8" w:rsidRDefault="0061019B">
            <w:pPr>
              <w:jc w:val="center"/>
            </w:pPr>
            <w:r>
              <w:rPr>
                <w:rFonts w:ascii="仿宋_GB2312" w:eastAsia="仿宋_GB2312" w:hAnsi="Calibri" w:cs="宋体"/>
                <w:color w:val="000000"/>
                <w:sz w:val="24"/>
              </w:rPr>
              <w:t>6.19%</w:t>
            </w:r>
          </w:p>
        </w:tc>
      </w:tr>
      <w:tr w:rsidR="00AB21F8">
        <w:tc>
          <w:tcPr>
            <w:tcW w:w="1139" w:type="dxa"/>
          </w:tcPr>
          <w:p w:rsidR="00AB21F8" w:rsidRDefault="0061019B">
            <w:pPr>
              <w:jc w:val="center"/>
            </w:pPr>
            <w:r>
              <w:rPr>
                <w:rFonts w:ascii="仿宋_GB2312" w:eastAsia="仿宋_GB2312" w:hAnsi="Calibri" w:cs="宋体"/>
                <w:color w:val="000000"/>
                <w:sz w:val="24"/>
              </w:rPr>
              <w:t>7</w:t>
            </w:r>
          </w:p>
        </w:tc>
        <w:tc>
          <w:tcPr>
            <w:tcW w:w="2268" w:type="dxa"/>
            <w:tcMar>
              <w:top w:w="15" w:type="dxa"/>
              <w:left w:w="15" w:type="dxa"/>
              <w:bottom w:w="0" w:type="dxa"/>
              <w:right w:w="15" w:type="dxa"/>
            </w:tcMar>
          </w:tcPr>
          <w:p w:rsidR="00AB21F8" w:rsidRDefault="0061019B">
            <w:pPr>
              <w:jc w:val="center"/>
            </w:pPr>
            <w:r>
              <w:rPr>
                <w:rFonts w:ascii="仿宋_GB2312" w:eastAsia="仿宋_GB2312" w:hAnsi="Calibri" w:cs="宋体"/>
                <w:color w:val="000000"/>
                <w:sz w:val="24"/>
              </w:rPr>
              <w:t>19余杭创新PPN003</w:t>
            </w:r>
          </w:p>
        </w:tc>
        <w:tc>
          <w:tcPr>
            <w:tcW w:w="2835" w:type="dxa"/>
          </w:tcPr>
          <w:p w:rsidR="00AB21F8" w:rsidRDefault="0061019B">
            <w:pPr>
              <w:jc w:val="center"/>
            </w:pPr>
            <w:r>
              <w:rPr>
                <w:rFonts w:ascii="仿宋_GB2312" w:eastAsia="仿宋_GB2312" w:hAnsi="Calibri" w:cs="宋体"/>
                <w:color w:val="000000"/>
                <w:sz w:val="24"/>
              </w:rPr>
              <w:t>40,272,000.00</w:t>
            </w:r>
          </w:p>
        </w:tc>
        <w:tc>
          <w:tcPr>
            <w:tcW w:w="2835" w:type="dxa"/>
            <w:tcMar>
              <w:top w:w="15" w:type="dxa"/>
              <w:left w:w="15" w:type="dxa"/>
              <w:bottom w:w="0" w:type="dxa"/>
              <w:right w:w="15" w:type="dxa"/>
            </w:tcMar>
          </w:tcPr>
          <w:p w:rsidR="00AB21F8" w:rsidRDefault="0061019B">
            <w:pPr>
              <w:jc w:val="center"/>
            </w:pPr>
            <w:r>
              <w:rPr>
                <w:rFonts w:ascii="仿宋_GB2312" w:eastAsia="仿宋_GB2312" w:hAnsi="Calibri" w:cs="宋体"/>
                <w:color w:val="000000"/>
                <w:sz w:val="24"/>
              </w:rPr>
              <w:t>6.18%</w:t>
            </w:r>
          </w:p>
        </w:tc>
      </w:tr>
      <w:tr w:rsidR="00AB21F8">
        <w:tc>
          <w:tcPr>
            <w:tcW w:w="1139" w:type="dxa"/>
          </w:tcPr>
          <w:p w:rsidR="00AB21F8" w:rsidRDefault="0061019B">
            <w:pPr>
              <w:jc w:val="center"/>
            </w:pPr>
            <w:r>
              <w:rPr>
                <w:rFonts w:ascii="仿宋_GB2312" w:eastAsia="仿宋_GB2312" w:hAnsi="Calibri" w:cs="宋体"/>
                <w:color w:val="000000"/>
                <w:sz w:val="24"/>
              </w:rPr>
              <w:t>8</w:t>
            </w:r>
          </w:p>
        </w:tc>
        <w:tc>
          <w:tcPr>
            <w:tcW w:w="2268" w:type="dxa"/>
            <w:tcMar>
              <w:top w:w="15" w:type="dxa"/>
              <w:left w:w="15" w:type="dxa"/>
              <w:bottom w:w="0" w:type="dxa"/>
              <w:right w:w="15" w:type="dxa"/>
            </w:tcMar>
          </w:tcPr>
          <w:p w:rsidR="00AB21F8" w:rsidRDefault="0061019B">
            <w:pPr>
              <w:jc w:val="center"/>
            </w:pPr>
            <w:r>
              <w:rPr>
                <w:rFonts w:ascii="仿宋_GB2312" w:eastAsia="仿宋_GB2312" w:hAnsi="Calibri" w:cs="宋体"/>
                <w:color w:val="000000"/>
                <w:sz w:val="24"/>
              </w:rPr>
              <w:t>19阳煤PPN008</w:t>
            </w:r>
          </w:p>
        </w:tc>
        <w:tc>
          <w:tcPr>
            <w:tcW w:w="2835" w:type="dxa"/>
          </w:tcPr>
          <w:p w:rsidR="00AB21F8" w:rsidRDefault="0061019B">
            <w:pPr>
              <w:jc w:val="center"/>
            </w:pPr>
            <w:r>
              <w:rPr>
                <w:rFonts w:ascii="仿宋_GB2312" w:eastAsia="仿宋_GB2312" w:hAnsi="Calibri" w:cs="宋体"/>
                <w:color w:val="000000"/>
                <w:sz w:val="24"/>
              </w:rPr>
              <w:t>40,240,000.00</w:t>
            </w:r>
          </w:p>
        </w:tc>
        <w:tc>
          <w:tcPr>
            <w:tcW w:w="2835" w:type="dxa"/>
            <w:tcMar>
              <w:top w:w="15" w:type="dxa"/>
              <w:left w:w="15" w:type="dxa"/>
              <w:bottom w:w="0" w:type="dxa"/>
              <w:right w:w="15" w:type="dxa"/>
            </w:tcMar>
          </w:tcPr>
          <w:p w:rsidR="00AB21F8" w:rsidRDefault="0061019B">
            <w:pPr>
              <w:jc w:val="center"/>
            </w:pPr>
            <w:r>
              <w:rPr>
                <w:rFonts w:ascii="仿宋_GB2312" w:eastAsia="仿宋_GB2312" w:hAnsi="Calibri" w:cs="宋体"/>
                <w:color w:val="000000"/>
                <w:sz w:val="24"/>
              </w:rPr>
              <w:t>6.17%</w:t>
            </w:r>
          </w:p>
        </w:tc>
      </w:tr>
      <w:tr w:rsidR="00AB21F8">
        <w:tc>
          <w:tcPr>
            <w:tcW w:w="1139" w:type="dxa"/>
          </w:tcPr>
          <w:p w:rsidR="00AB21F8" w:rsidRDefault="0061019B">
            <w:pPr>
              <w:jc w:val="center"/>
            </w:pPr>
            <w:r>
              <w:rPr>
                <w:rFonts w:ascii="仿宋_GB2312" w:eastAsia="仿宋_GB2312" w:hAnsi="Calibri" w:cs="宋体"/>
                <w:color w:val="000000"/>
                <w:sz w:val="24"/>
              </w:rPr>
              <w:t>9</w:t>
            </w:r>
          </w:p>
        </w:tc>
        <w:tc>
          <w:tcPr>
            <w:tcW w:w="2268" w:type="dxa"/>
            <w:tcMar>
              <w:top w:w="15" w:type="dxa"/>
              <w:left w:w="15" w:type="dxa"/>
              <w:bottom w:w="0" w:type="dxa"/>
              <w:right w:w="15" w:type="dxa"/>
            </w:tcMar>
          </w:tcPr>
          <w:p w:rsidR="00AB21F8" w:rsidRDefault="0061019B">
            <w:pPr>
              <w:jc w:val="center"/>
            </w:pPr>
            <w:r>
              <w:rPr>
                <w:rFonts w:ascii="仿宋_GB2312" w:eastAsia="仿宋_GB2312" w:hAnsi="Calibri" w:cs="宋体"/>
                <w:color w:val="000000"/>
                <w:sz w:val="24"/>
              </w:rPr>
              <w:t>20华能MTN001</w:t>
            </w:r>
          </w:p>
        </w:tc>
        <w:tc>
          <w:tcPr>
            <w:tcW w:w="2835" w:type="dxa"/>
          </w:tcPr>
          <w:p w:rsidR="00AB21F8" w:rsidRDefault="0061019B">
            <w:pPr>
              <w:jc w:val="center"/>
            </w:pPr>
            <w:r>
              <w:rPr>
                <w:rFonts w:ascii="仿宋_GB2312" w:eastAsia="仿宋_GB2312" w:hAnsi="Calibri" w:cs="宋体"/>
                <w:color w:val="000000"/>
                <w:sz w:val="24"/>
              </w:rPr>
              <w:t>40,120,000.00</w:t>
            </w:r>
          </w:p>
        </w:tc>
        <w:tc>
          <w:tcPr>
            <w:tcW w:w="2835" w:type="dxa"/>
            <w:tcMar>
              <w:top w:w="15" w:type="dxa"/>
              <w:left w:w="15" w:type="dxa"/>
              <w:bottom w:w="0" w:type="dxa"/>
              <w:right w:w="15" w:type="dxa"/>
            </w:tcMar>
          </w:tcPr>
          <w:p w:rsidR="00AB21F8" w:rsidRDefault="0061019B">
            <w:pPr>
              <w:jc w:val="center"/>
            </w:pPr>
            <w:r>
              <w:rPr>
                <w:rFonts w:ascii="仿宋_GB2312" w:eastAsia="仿宋_GB2312" w:hAnsi="Calibri" w:cs="宋体"/>
                <w:color w:val="000000"/>
                <w:sz w:val="24"/>
              </w:rPr>
              <w:t>6.16%</w:t>
            </w:r>
          </w:p>
        </w:tc>
      </w:tr>
      <w:tr w:rsidR="00AB21F8">
        <w:tc>
          <w:tcPr>
            <w:tcW w:w="1139" w:type="dxa"/>
          </w:tcPr>
          <w:p w:rsidR="00AB21F8" w:rsidRDefault="0061019B">
            <w:pPr>
              <w:jc w:val="center"/>
            </w:pPr>
            <w:r>
              <w:rPr>
                <w:rFonts w:ascii="仿宋_GB2312" w:eastAsia="仿宋_GB2312" w:hAnsi="Calibri" w:cs="宋体"/>
                <w:color w:val="000000"/>
                <w:sz w:val="24"/>
              </w:rPr>
              <w:t>10</w:t>
            </w:r>
          </w:p>
        </w:tc>
        <w:tc>
          <w:tcPr>
            <w:tcW w:w="2268" w:type="dxa"/>
            <w:tcMar>
              <w:top w:w="15" w:type="dxa"/>
              <w:left w:w="15" w:type="dxa"/>
              <w:bottom w:w="0" w:type="dxa"/>
              <w:right w:w="15" w:type="dxa"/>
            </w:tcMar>
          </w:tcPr>
          <w:p w:rsidR="00AB21F8" w:rsidRDefault="0061019B">
            <w:pPr>
              <w:jc w:val="center"/>
            </w:pPr>
            <w:r>
              <w:rPr>
                <w:rFonts w:ascii="仿宋_GB2312" w:eastAsia="仿宋_GB2312" w:hAnsi="Calibri" w:cs="宋体"/>
                <w:color w:val="000000"/>
                <w:sz w:val="24"/>
              </w:rPr>
              <w:t>21进出04</w:t>
            </w:r>
          </w:p>
        </w:tc>
        <w:tc>
          <w:tcPr>
            <w:tcW w:w="2835" w:type="dxa"/>
          </w:tcPr>
          <w:p w:rsidR="00AB21F8" w:rsidRDefault="0061019B">
            <w:pPr>
              <w:jc w:val="center"/>
            </w:pPr>
            <w:r>
              <w:rPr>
                <w:rFonts w:ascii="仿宋_GB2312" w:eastAsia="仿宋_GB2312" w:hAnsi="Calibri" w:cs="宋体"/>
                <w:color w:val="000000"/>
                <w:sz w:val="24"/>
              </w:rPr>
              <w:t>40,024,000.00</w:t>
            </w:r>
          </w:p>
        </w:tc>
        <w:tc>
          <w:tcPr>
            <w:tcW w:w="2835" w:type="dxa"/>
            <w:tcMar>
              <w:top w:w="15" w:type="dxa"/>
              <w:left w:w="15" w:type="dxa"/>
              <w:bottom w:w="0" w:type="dxa"/>
              <w:right w:w="15" w:type="dxa"/>
            </w:tcMar>
          </w:tcPr>
          <w:p w:rsidR="00AB21F8" w:rsidRDefault="0061019B">
            <w:pPr>
              <w:jc w:val="center"/>
            </w:pPr>
            <w:r>
              <w:rPr>
                <w:rFonts w:ascii="仿宋_GB2312" w:eastAsia="仿宋_GB2312" w:hAnsi="Calibri" w:cs="宋体"/>
                <w:color w:val="000000"/>
                <w:sz w:val="24"/>
              </w:rPr>
              <w:t>6.14%</w:t>
            </w:r>
          </w:p>
        </w:tc>
      </w:tr>
    </w:tbl>
    <w:p w:rsidR="00DE496A" w:rsidRPr="00DD633B" w:rsidRDefault="00DE496A" w:rsidP="00DE496A">
      <w:pPr>
        <w:rPr>
          <w:rFonts w:ascii="仿宋_GB2312" w:eastAsia="仿宋_GB2312" w:hAnsi="Calibri"/>
          <w:sz w:val="24"/>
          <w:szCs w:val="24"/>
        </w:rPr>
      </w:pPr>
    </w:p>
    <w:p w:rsidR="00DE496A" w:rsidRDefault="00DE496A" w:rsidP="00DE496A">
      <w:pPr>
        <w:adjustRightInd w:val="0"/>
        <w:snapToGrid w:val="0"/>
        <w:spacing w:line="360" w:lineRule="auto"/>
        <w:ind w:firstLineChars="200" w:firstLine="482"/>
        <w:rPr>
          <w:rFonts w:ascii="仿宋_GB2312" w:eastAsia="仿宋_GB2312" w:hAnsiTheme="minorEastAsia"/>
          <w:b/>
          <w:bCs/>
          <w:sz w:val="24"/>
          <w:szCs w:val="24"/>
        </w:rPr>
      </w:pPr>
      <w:r>
        <w:rPr>
          <w:rFonts w:ascii="仿宋_GB2312" w:eastAsia="仿宋_GB2312"/>
          <w:b/>
          <w:bCs/>
          <w:sz w:val="24"/>
          <w:szCs w:val="24"/>
        </w:rPr>
        <w:t xml:space="preserve"> </w:t>
      </w:r>
      <w:r>
        <w:rPr>
          <w:rFonts w:ascii="仿宋_GB2312" w:eastAsia="仿宋_GB2312" w:hAnsiTheme="minorEastAsia"/>
          <w:b/>
          <w:bCs/>
          <w:sz w:val="24"/>
          <w:szCs w:val="24"/>
        </w:rPr>
        <w:t>4.4报告期末非标准化债权</w:t>
      </w:r>
      <w:r>
        <w:rPr>
          <w:rStyle w:val="a9"/>
          <w:rFonts w:ascii="仿宋_GB2312" w:eastAsia="仿宋_GB2312" w:hAnsiTheme="minorEastAsia"/>
          <w:b/>
          <w:bCs/>
          <w:sz w:val="24"/>
          <w:szCs w:val="24"/>
        </w:rPr>
        <w:footnoteReference w:id="2"/>
      </w:r>
      <w:r>
        <w:rPr>
          <w:rFonts w:ascii="仿宋_GB2312" w:eastAsia="仿宋_GB2312" w:hAnsiTheme="minorEastAsia" w:hint="eastAsia"/>
          <w:b/>
          <w:bCs/>
          <w:sz w:val="24"/>
          <w:szCs w:val="24"/>
        </w:rPr>
        <w:t>投资明细（选填）</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134"/>
        <w:gridCol w:w="1312"/>
        <w:gridCol w:w="1382"/>
        <w:gridCol w:w="1419"/>
        <w:gridCol w:w="2972"/>
      </w:tblGrid>
      <w:tr w:rsidR="00DE496A" w:rsidTr="00B00579">
        <w:tc>
          <w:tcPr>
            <w:tcW w:w="852" w:type="dxa"/>
            <w:vAlign w:val="center"/>
          </w:tcPr>
          <w:p w:rsidR="00DE496A" w:rsidRDefault="00DE496A"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序号</w:t>
            </w:r>
          </w:p>
        </w:tc>
        <w:tc>
          <w:tcPr>
            <w:tcW w:w="1134"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融资客户</w:t>
            </w:r>
          </w:p>
        </w:tc>
        <w:tc>
          <w:tcPr>
            <w:tcW w:w="1312"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资产名称</w:t>
            </w:r>
          </w:p>
        </w:tc>
        <w:tc>
          <w:tcPr>
            <w:tcW w:w="1382"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剩余融资期限</w:t>
            </w:r>
          </w:p>
        </w:tc>
        <w:tc>
          <w:tcPr>
            <w:tcW w:w="1419" w:type="dxa"/>
            <w:vAlign w:val="center"/>
          </w:tcPr>
          <w:p w:rsidR="00DE496A" w:rsidRPr="005C3D2F" w:rsidRDefault="00DE496A" w:rsidP="00B00579">
            <w:pPr>
              <w:adjustRightInd w:val="0"/>
              <w:snapToGrid w:val="0"/>
              <w:spacing w:line="360" w:lineRule="auto"/>
              <w:jc w:val="center"/>
              <w:rPr>
                <w:rFonts w:ascii="仿宋_GB2312" w:eastAsia="仿宋_GB2312" w:hAnsiTheme="minorEastAsia"/>
                <w:bCs/>
                <w:sz w:val="24"/>
                <w:szCs w:val="24"/>
              </w:rPr>
            </w:pPr>
            <w:r w:rsidRPr="005C3D2F">
              <w:rPr>
                <w:rFonts w:ascii="仿宋_GB2312" w:eastAsia="仿宋_GB2312" w:hAnsiTheme="minorEastAsia" w:hint="eastAsia"/>
                <w:bCs/>
                <w:sz w:val="24"/>
                <w:szCs w:val="24"/>
              </w:rPr>
              <w:t>交易结构</w:t>
            </w:r>
          </w:p>
        </w:tc>
        <w:tc>
          <w:tcPr>
            <w:tcW w:w="2972" w:type="dxa"/>
            <w:vAlign w:val="center"/>
          </w:tcPr>
          <w:p w:rsidR="00DE496A" w:rsidRDefault="00DE496A"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hint="eastAsia"/>
                <w:bCs/>
                <w:sz w:val="24"/>
                <w:szCs w:val="24"/>
              </w:rPr>
              <w:t>占产品资产净值比例</w:t>
            </w:r>
          </w:p>
        </w:tc>
      </w:tr>
      <w:tr w:rsidR="00D601E1" w:rsidTr="00B00579">
        <w:tc>
          <w:tcPr>
            <w:tcW w:w="852" w:type="dxa"/>
            <w:vAlign w:val="center"/>
          </w:tcPr>
          <w:p w:rsidR="00D601E1" w:rsidRDefault="00D601E1" w:rsidP="00023644">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134" w:type="dxa"/>
            <w:vAlign w:val="center"/>
          </w:tcPr>
          <w:p w:rsidR="00D601E1"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312" w:type="dxa"/>
            <w:vAlign w:val="center"/>
          </w:tcPr>
          <w:p w:rsidR="00D601E1"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382" w:type="dxa"/>
            <w:vAlign w:val="center"/>
          </w:tcPr>
          <w:p w:rsidR="00D601E1" w:rsidRPr="00E1579D" w:rsidRDefault="00D601E1"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Calibri" w:cs="宋体"/>
                <w:color w:val="000000"/>
                <w:sz w:val="24"/>
                <w:szCs w:val="24"/>
              </w:rPr>
              <w:t>-</w:t>
            </w:r>
          </w:p>
        </w:tc>
        <w:tc>
          <w:tcPr>
            <w:tcW w:w="1419" w:type="dxa"/>
            <w:vAlign w:val="center"/>
          </w:tcPr>
          <w:p w:rsidR="00D601E1" w:rsidRDefault="00023644"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c>
          <w:tcPr>
            <w:tcW w:w="2972" w:type="dxa"/>
            <w:vAlign w:val="center"/>
          </w:tcPr>
          <w:p w:rsidR="00D601E1" w:rsidRDefault="00023644" w:rsidP="00B00579">
            <w:pPr>
              <w:adjustRightInd w:val="0"/>
              <w:snapToGrid w:val="0"/>
              <w:spacing w:line="360" w:lineRule="auto"/>
              <w:jc w:val="center"/>
              <w:rPr>
                <w:rFonts w:ascii="仿宋_GB2312" w:eastAsia="仿宋_GB2312" w:hAnsiTheme="minorEastAsia"/>
                <w:bCs/>
                <w:sz w:val="24"/>
                <w:szCs w:val="24"/>
              </w:rPr>
            </w:pPr>
            <w:r>
              <w:rPr>
                <w:rFonts w:ascii="仿宋_GB2312" w:eastAsia="仿宋_GB2312" w:hAnsiTheme="minorEastAsia"/>
                <w:bCs/>
                <w:sz w:val="24"/>
                <w:szCs w:val="24"/>
              </w:rPr>
              <w:t>-</w:t>
            </w:r>
          </w:p>
        </w:tc>
      </w:tr>
    </w:tbl>
    <w:p w:rsidR="00DE496A" w:rsidRDefault="00DE496A" w:rsidP="00DE496A">
      <w:pPr>
        <w:adjustRightInd w:val="0"/>
        <w:snapToGrid w:val="0"/>
        <w:spacing w:line="360" w:lineRule="auto"/>
        <w:rPr>
          <w:rFonts w:ascii="仿宋_GB2312" w:eastAsia="仿宋_GB2312" w:hAnsiTheme="minorEastAsia"/>
          <w:bCs/>
          <w:sz w:val="24"/>
          <w:szCs w:val="24"/>
        </w:rPr>
      </w:pPr>
      <w:r>
        <w:rPr>
          <w:rFonts w:ascii="仿宋_GB2312" w:eastAsia="仿宋_GB2312" w:hAnsiTheme="minorEastAsia" w:hint="eastAsia"/>
          <w:bCs/>
          <w:sz w:val="24"/>
          <w:szCs w:val="24"/>
        </w:rPr>
        <w:t>注：</w:t>
      </w:r>
      <w:r>
        <w:rPr>
          <w:rFonts w:ascii="仿宋_GB2312" w:eastAsia="仿宋_GB2312" w:hAnsiTheme="minorEastAsia"/>
          <w:bCs/>
          <w:sz w:val="24"/>
          <w:szCs w:val="24"/>
        </w:rPr>
        <w:t>1.截至期末，上述非标准化债权均按照合同约定按时分配收益；</w:t>
      </w:r>
    </w:p>
    <w:p w:rsidR="00FC64B6" w:rsidRDefault="00DE496A" w:rsidP="0041011E">
      <w:pPr>
        <w:snapToGrid w:val="0"/>
        <w:spacing w:line="360" w:lineRule="auto"/>
        <w:ind w:firstLine="480"/>
        <w:rPr>
          <w:rFonts w:ascii="仿宋_GB2312" w:eastAsia="仿宋_GB2312" w:hAnsiTheme="minorEastAsia"/>
          <w:bCs/>
          <w:sz w:val="24"/>
          <w:szCs w:val="24"/>
        </w:rPr>
      </w:pPr>
      <w:r>
        <w:rPr>
          <w:rFonts w:ascii="仿宋_GB2312" w:eastAsia="仿宋_GB2312" w:hAnsiTheme="minorEastAsia"/>
          <w:bCs/>
          <w:sz w:val="24"/>
          <w:szCs w:val="24"/>
        </w:rPr>
        <w:t>2.截至期末，上述非标准化债权未出现无法履行本金及收益兑付的实际情况。</w:t>
      </w:r>
    </w:p>
    <w:p w:rsidR="009F0B98" w:rsidRDefault="009F0B98" w:rsidP="009F0B98">
      <w:pPr>
        <w:snapToGrid w:val="0"/>
        <w:spacing w:line="360" w:lineRule="auto"/>
        <w:rPr>
          <w:rFonts w:ascii="仿宋_GB2312" w:eastAsia="仿宋_GB2312"/>
          <w:b/>
          <w:sz w:val="24"/>
          <w:szCs w:val="24"/>
        </w:rPr>
      </w:pPr>
      <w:r w:rsidRPr="006E00B8">
        <w:rPr>
          <w:rFonts w:ascii="仿宋_GB2312" w:eastAsia="仿宋_GB2312" w:hint="eastAsia"/>
          <w:b/>
          <w:sz w:val="24"/>
          <w:szCs w:val="24"/>
        </w:rPr>
        <w:t>5</w:t>
      </w:r>
      <w:r w:rsidRPr="006E00B8">
        <w:rPr>
          <w:rFonts w:ascii="仿宋_GB2312" w:eastAsia="仿宋_GB2312"/>
          <w:b/>
          <w:sz w:val="24"/>
          <w:szCs w:val="24"/>
        </w:rPr>
        <w:t> </w:t>
      </w:r>
      <w:r w:rsidRPr="006E00B8">
        <w:rPr>
          <w:rFonts w:ascii="仿宋_GB2312" w:eastAsia="仿宋_GB2312" w:hint="eastAsia"/>
          <w:b/>
          <w:sz w:val="24"/>
          <w:szCs w:val="24"/>
        </w:rPr>
        <w:t>.关联交易（如有）</w:t>
      </w:r>
    </w:p>
    <w:tbl>
      <w:tblPr>
        <w:tblStyle w:val="ab"/>
        <w:tblW w:w="9180" w:type="dxa"/>
        <w:tblLook w:val="04A0" w:firstRow="1" w:lastRow="0" w:firstColumn="1" w:lastColumn="0" w:noHBand="0" w:noVBand="1"/>
      </w:tblPr>
      <w:tblGrid>
        <w:gridCol w:w="1101"/>
        <w:gridCol w:w="1694"/>
        <w:gridCol w:w="857"/>
        <w:gridCol w:w="1134"/>
        <w:gridCol w:w="1276"/>
        <w:gridCol w:w="3118"/>
      </w:tblGrid>
      <w:tr w:rsidR="009F0B98" w:rsidTr="009F0B98">
        <w:tc>
          <w:tcPr>
            <w:tcW w:w="1101"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left"/>
              <w:rPr>
                <w:rFonts w:ascii="仿宋_GB2312" w:eastAsia="仿宋_GB2312" w:hAnsiTheme="minorEastAsia"/>
                <w:kern w:val="2"/>
                <w:sz w:val="24"/>
                <w:szCs w:val="24"/>
              </w:rPr>
            </w:pPr>
            <w:r>
              <w:rPr>
                <w:rFonts w:ascii="仿宋_GB2312" w:eastAsia="仿宋_GB2312" w:hAnsiTheme="minorEastAsia" w:hint="eastAsia"/>
                <w:sz w:val="24"/>
                <w:szCs w:val="24"/>
              </w:rPr>
              <w:t>序号</w:t>
            </w:r>
          </w:p>
        </w:tc>
        <w:tc>
          <w:tcPr>
            <w:tcW w:w="1694"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center"/>
              <w:rPr>
                <w:rFonts w:ascii="仿宋_GB2312" w:eastAsia="仿宋_GB2312" w:hAnsiTheme="minorEastAsia"/>
                <w:kern w:val="2"/>
                <w:sz w:val="24"/>
                <w:szCs w:val="24"/>
              </w:rPr>
            </w:pPr>
            <w:r>
              <w:rPr>
                <w:rFonts w:ascii="仿宋_GB2312" w:eastAsia="仿宋_GB2312" w:hAnsiTheme="minorEastAsia" w:hint="eastAsia"/>
                <w:sz w:val="24"/>
                <w:szCs w:val="24"/>
              </w:rPr>
              <w:t>关联证券名称</w:t>
            </w:r>
          </w:p>
        </w:tc>
        <w:tc>
          <w:tcPr>
            <w:tcW w:w="857"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center"/>
              <w:rPr>
                <w:rFonts w:ascii="仿宋_GB2312" w:eastAsia="仿宋_GB2312" w:hAnsiTheme="minorEastAsia"/>
                <w:kern w:val="2"/>
                <w:sz w:val="24"/>
                <w:szCs w:val="24"/>
              </w:rPr>
            </w:pPr>
            <w:r>
              <w:rPr>
                <w:rFonts w:ascii="仿宋_GB2312" w:eastAsia="仿宋_GB2312" w:hAnsiTheme="minorEastAsia" w:hint="eastAsia"/>
                <w:sz w:val="24"/>
                <w:szCs w:val="24"/>
              </w:rPr>
              <w:t>规模</w:t>
            </w:r>
          </w:p>
        </w:tc>
        <w:tc>
          <w:tcPr>
            <w:tcW w:w="1134"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center"/>
              <w:rPr>
                <w:rFonts w:ascii="仿宋_GB2312" w:eastAsia="仿宋_GB2312" w:hAnsiTheme="minorEastAsia"/>
                <w:kern w:val="2"/>
                <w:sz w:val="24"/>
                <w:szCs w:val="24"/>
              </w:rPr>
            </w:pPr>
            <w:r>
              <w:rPr>
                <w:rFonts w:ascii="仿宋_GB2312" w:eastAsia="仿宋_GB2312" w:hAnsiTheme="minorEastAsia" w:hint="eastAsia"/>
                <w:sz w:val="24"/>
                <w:szCs w:val="24"/>
              </w:rPr>
              <w:t>占比</w:t>
            </w:r>
          </w:p>
        </w:tc>
        <w:tc>
          <w:tcPr>
            <w:tcW w:w="1276"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center"/>
              <w:rPr>
                <w:rFonts w:ascii="仿宋_GB2312" w:eastAsia="仿宋_GB2312" w:hAnsiTheme="minorEastAsia"/>
                <w:kern w:val="2"/>
                <w:sz w:val="24"/>
                <w:szCs w:val="24"/>
              </w:rPr>
            </w:pPr>
            <w:r>
              <w:rPr>
                <w:rFonts w:ascii="仿宋_GB2312" w:eastAsia="仿宋_GB2312" w:hAnsiTheme="minorEastAsia" w:hint="eastAsia"/>
                <w:sz w:val="24"/>
                <w:szCs w:val="24"/>
              </w:rPr>
              <w:t>关联方名称</w:t>
            </w:r>
          </w:p>
        </w:tc>
        <w:tc>
          <w:tcPr>
            <w:tcW w:w="3118" w:type="dxa"/>
            <w:tcBorders>
              <w:top w:val="single" w:sz="4" w:space="0" w:color="auto"/>
              <w:left w:val="single" w:sz="4" w:space="0" w:color="auto"/>
              <w:bottom w:val="single" w:sz="4" w:space="0" w:color="auto"/>
              <w:right w:val="single" w:sz="4" w:space="0" w:color="auto"/>
            </w:tcBorders>
            <w:hideMark/>
          </w:tcPr>
          <w:p w:rsidR="009F0B98" w:rsidRDefault="009F0B98">
            <w:pPr>
              <w:kinsoku w:val="0"/>
              <w:overflowPunct w:val="0"/>
              <w:autoSpaceDE w:val="0"/>
              <w:autoSpaceDN w:val="0"/>
              <w:spacing w:line="300" w:lineRule="auto"/>
              <w:jc w:val="center"/>
              <w:rPr>
                <w:rFonts w:ascii="仿宋_GB2312" w:eastAsia="仿宋_GB2312" w:hAnsiTheme="minorEastAsia"/>
                <w:kern w:val="2"/>
                <w:sz w:val="24"/>
                <w:szCs w:val="24"/>
              </w:rPr>
            </w:pPr>
            <w:r>
              <w:rPr>
                <w:rFonts w:ascii="仿宋_GB2312" w:eastAsia="仿宋_GB2312" w:hAnsiTheme="minorEastAsia" w:hint="eastAsia"/>
                <w:sz w:val="24"/>
                <w:szCs w:val="24"/>
              </w:rPr>
              <w:t>关联方与本理财产品关联关系</w:t>
            </w:r>
          </w:p>
        </w:tc>
      </w:tr>
      <w:tr w:rsidR="008579C9" w:rsidTr="009F0B98">
        <w:tc>
          <w:tcPr>
            <w:tcW w:w="1101" w:type="dxa"/>
            <w:tcBorders>
              <w:top w:val="single" w:sz="4" w:space="0" w:color="auto"/>
              <w:left w:val="single" w:sz="4" w:space="0" w:color="auto"/>
              <w:bottom w:val="single" w:sz="4" w:space="0" w:color="auto"/>
              <w:right w:val="single" w:sz="4" w:space="0" w:color="auto"/>
            </w:tcBorders>
            <w:hideMark/>
          </w:tcPr>
          <w:p w:rsidR="008579C9" w:rsidRDefault="008579C9">
            <w:pPr>
              <w:kinsoku w:val="0"/>
              <w:overflowPunct w:val="0"/>
              <w:autoSpaceDE w:val="0"/>
              <w:autoSpaceDN w:val="0"/>
              <w:spacing w:line="300" w:lineRule="auto"/>
              <w:jc w:val="left"/>
              <w:rPr>
                <w:rFonts w:ascii="仿宋_GB2312" w:eastAsia="仿宋_GB2312" w:hAnsiTheme="minorEastAsia"/>
                <w:color w:val="000000" w:themeColor="text1"/>
                <w:kern w:val="2"/>
                <w:sz w:val="24"/>
                <w:szCs w:val="24"/>
              </w:rPr>
            </w:pPr>
            <w:r>
              <w:rPr>
                <w:rFonts w:ascii="仿宋_GB2312" w:eastAsia="仿宋_GB2312" w:hAnsiTheme="minorEastAsia" w:hint="eastAsia"/>
                <w:color w:val="000000" w:themeColor="text1"/>
                <w:sz w:val="24"/>
                <w:szCs w:val="24"/>
              </w:rPr>
              <w:lastRenderedPageBreak/>
              <w:t>1</w:t>
            </w:r>
          </w:p>
        </w:tc>
        <w:tc>
          <w:tcPr>
            <w:tcW w:w="1694"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3118"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r>
      <w:tr w:rsidR="008579C9" w:rsidTr="009F0B98">
        <w:tc>
          <w:tcPr>
            <w:tcW w:w="1101" w:type="dxa"/>
            <w:tcBorders>
              <w:top w:val="single" w:sz="4" w:space="0" w:color="auto"/>
              <w:left w:val="single" w:sz="4" w:space="0" w:color="auto"/>
              <w:bottom w:val="single" w:sz="4" w:space="0" w:color="auto"/>
              <w:right w:val="single" w:sz="4" w:space="0" w:color="auto"/>
            </w:tcBorders>
            <w:hideMark/>
          </w:tcPr>
          <w:p w:rsidR="008579C9" w:rsidRDefault="008579C9">
            <w:pPr>
              <w:kinsoku w:val="0"/>
              <w:overflowPunct w:val="0"/>
              <w:autoSpaceDE w:val="0"/>
              <w:autoSpaceDN w:val="0"/>
              <w:spacing w:line="300" w:lineRule="auto"/>
              <w:jc w:val="left"/>
              <w:rPr>
                <w:rFonts w:ascii="仿宋_GB2312" w:eastAsia="仿宋_GB2312" w:hAnsiTheme="minorEastAsia"/>
                <w:color w:val="000000" w:themeColor="text1"/>
                <w:kern w:val="2"/>
                <w:sz w:val="24"/>
                <w:szCs w:val="24"/>
              </w:rPr>
            </w:pPr>
            <w:r>
              <w:rPr>
                <w:rFonts w:ascii="仿宋_GB2312" w:eastAsia="仿宋_GB2312" w:hAnsiTheme="minorEastAsia" w:hint="eastAsia"/>
                <w:color w:val="000000" w:themeColor="text1"/>
                <w:sz w:val="24"/>
                <w:szCs w:val="24"/>
              </w:rPr>
              <w:t>2</w:t>
            </w:r>
          </w:p>
        </w:tc>
        <w:tc>
          <w:tcPr>
            <w:tcW w:w="1694"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3118"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r>
      <w:tr w:rsidR="008579C9" w:rsidTr="009F0B98">
        <w:tc>
          <w:tcPr>
            <w:tcW w:w="1101" w:type="dxa"/>
            <w:tcBorders>
              <w:top w:val="single" w:sz="4" w:space="0" w:color="auto"/>
              <w:left w:val="single" w:sz="4" w:space="0" w:color="auto"/>
              <w:bottom w:val="single" w:sz="4" w:space="0" w:color="auto"/>
              <w:right w:val="single" w:sz="4" w:space="0" w:color="auto"/>
            </w:tcBorders>
            <w:hideMark/>
          </w:tcPr>
          <w:p w:rsidR="008579C9" w:rsidRDefault="008579C9">
            <w:pPr>
              <w:kinsoku w:val="0"/>
              <w:overflowPunct w:val="0"/>
              <w:autoSpaceDE w:val="0"/>
              <w:autoSpaceDN w:val="0"/>
              <w:spacing w:line="300" w:lineRule="auto"/>
              <w:jc w:val="left"/>
              <w:rPr>
                <w:rFonts w:ascii="仿宋_GB2312" w:eastAsia="仿宋_GB2312" w:hAnsiTheme="minorEastAsia"/>
                <w:color w:val="000000" w:themeColor="text1"/>
                <w:kern w:val="2"/>
                <w:sz w:val="24"/>
                <w:szCs w:val="24"/>
              </w:rPr>
            </w:pPr>
            <w:r>
              <w:rPr>
                <w:rFonts w:ascii="仿宋_GB2312" w:eastAsia="仿宋_GB2312" w:hAnsiTheme="minorEastAsia" w:hint="eastAsia"/>
                <w:color w:val="000000" w:themeColor="text1"/>
                <w:sz w:val="24"/>
                <w:szCs w:val="24"/>
              </w:rPr>
              <w:t>……</w:t>
            </w:r>
          </w:p>
        </w:tc>
        <w:tc>
          <w:tcPr>
            <w:tcW w:w="1694"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857"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c>
          <w:tcPr>
            <w:tcW w:w="3118" w:type="dxa"/>
            <w:tcBorders>
              <w:top w:val="single" w:sz="4" w:space="0" w:color="auto"/>
              <w:left w:val="single" w:sz="4" w:space="0" w:color="auto"/>
              <w:bottom w:val="single" w:sz="4" w:space="0" w:color="auto"/>
              <w:right w:val="single" w:sz="4" w:space="0" w:color="auto"/>
            </w:tcBorders>
          </w:tcPr>
          <w:p w:rsidR="008579C9" w:rsidRDefault="008579C9">
            <w:pPr>
              <w:jc w:val="center"/>
              <w:rPr>
                <w:color w:val="000000" w:themeColor="text1"/>
                <w:kern w:val="2"/>
              </w:rPr>
            </w:pPr>
            <w:r>
              <w:rPr>
                <w:rFonts w:ascii="仿宋_GB2312" w:eastAsia="仿宋_GB2312" w:hAnsiTheme="minorEastAsia" w:hint="eastAsia"/>
                <w:color w:val="000000" w:themeColor="text1"/>
                <w:sz w:val="24"/>
                <w:szCs w:val="24"/>
              </w:rPr>
              <w:t>-</w:t>
            </w:r>
          </w:p>
        </w:tc>
      </w:tr>
    </w:tbl>
    <w:p w:rsidR="009F0B98" w:rsidRDefault="009F0B98" w:rsidP="009F0B98">
      <w:pPr>
        <w:snapToGrid w:val="0"/>
        <w:spacing w:line="360" w:lineRule="auto"/>
        <w:rPr>
          <w:rFonts w:ascii="仿宋_GB2312" w:eastAsia="仿宋_GB2312"/>
          <w:b/>
          <w:sz w:val="24"/>
          <w:szCs w:val="24"/>
          <w:highlight w:val="yellow"/>
        </w:rPr>
      </w:pPr>
    </w:p>
    <w:p w:rsidR="009F0B98" w:rsidRDefault="009F0B98" w:rsidP="009F0B98">
      <w:pPr>
        <w:snapToGrid w:val="0"/>
        <w:spacing w:line="360" w:lineRule="auto"/>
        <w:rPr>
          <w:rFonts w:ascii="仿宋_GB2312" w:eastAsia="仿宋_GB2312"/>
          <w:b/>
          <w:sz w:val="24"/>
          <w:szCs w:val="24"/>
        </w:rPr>
      </w:pPr>
      <w:r w:rsidRPr="006E00B8">
        <w:rPr>
          <w:rFonts w:ascii="仿宋_GB2312" w:eastAsia="仿宋_GB2312" w:hint="eastAsia"/>
          <w:b/>
          <w:sz w:val="24"/>
          <w:szCs w:val="24"/>
        </w:rPr>
        <w:t>6</w:t>
      </w:r>
      <w:r w:rsidRPr="006E00B8">
        <w:rPr>
          <w:rFonts w:ascii="仿宋_GB2312" w:eastAsia="仿宋_GB2312"/>
          <w:b/>
          <w:sz w:val="24"/>
          <w:szCs w:val="24"/>
        </w:rPr>
        <w:t> </w:t>
      </w:r>
      <w:r w:rsidRPr="006E00B8">
        <w:rPr>
          <w:rFonts w:ascii="仿宋_GB2312" w:eastAsia="仿宋_GB2312" w:hint="eastAsia"/>
          <w:b/>
          <w:sz w:val="24"/>
          <w:szCs w:val="24"/>
        </w:rPr>
        <w:t>.影响投资者决策的其他重要信息</w:t>
      </w:r>
    </w:p>
    <w:p w:rsidR="009F0B98" w:rsidRDefault="009F0B98" w:rsidP="009F0B98">
      <w:pPr>
        <w:rPr>
          <w:rFonts w:ascii="仿宋_GB2312" w:eastAsia="仿宋_GB2312"/>
          <w:sz w:val="24"/>
          <w:szCs w:val="24"/>
        </w:rPr>
      </w:pPr>
      <w:r>
        <w:rPr>
          <w:rFonts w:ascii="仿宋_GB2312" w:eastAsia="仿宋_GB2312" w:hint="eastAsia"/>
          <w:sz w:val="24"/>
          <w:szCs w:val="24"/>
        </w:rPr>
        <w:t>无。</w:t>
      </w:r>
    </w:p>
    <w:p w:rsidR="009F0B98" w:rsidRDefault="009F0B98" w:rsidP="009F0B98">
      <w:pPr>
        <w:snapToGrid w:val="0"/>
        <w:spacing w:line="360" w:lineRule="auto"/>
        <w:rPr>
          <w:rFonts w:ascii="仿宋_GB2312" w:eastAsia="仿宋_GB2312"/>
          <w:b/>
          <w:sz w:val="24"/>
          <w:szCs w:val="24"/>
        </w:rPr>
      </w:pPr>
      <w:r>
        <w:rPr>
          <w:rFonts w:ascii="仿宋_GB2312" w:eastAsia="仿宋_GB2312" w:hint="eastAsia"/>
          <w:b/>
          <w:sz w:val="24"/>
          <w:szCs w:val="24"/>
        </w:rPr>
        <w:t>7.托管机构报告</w:t>
      </w:r>
    </w:p>
    <w:p w:rsidR="009F0B98" w:rsidRDefault="009F0B98" w:rsidP="009F0B98">
      <w:pPr>
        <w:snapToGrid w:val="0"/>
        <w:spacing w:line="360" w:lineRule="auto"/>
        <w:ind w:firstLine="360"/>
        <w:rPr>
          <w:rFonts w:ascii="仿宋_GB2312" w:eastAsia="仿宋_GB2312"/>
          <w:color w:val="000000"/>
          <w:sz w:val="24"/>
          <w:szCs w:val="24"/>
        </w:rPr>
      </w:pPr>
      <w:r>
        <w:rPr>
          <w:rFonts w:ascii="仿宋_GB2312" w:eastAsia="仿宋_GB2312" w:hint="eastAsia"/>
          <w:color w:val="000000"/>
          <w:sz w:val="24"/>
          <w:szCs w:val="24"/>
        </w:rPr>
        <w:t>本报告期内，上海浦东发展银行股份有限公司（以下简称“本托管人”）在对本产品托管过程中，严格遵守《关于规范金融机构资产管理业务的指导意见》（银发〔2018〕106号）、《商业银行理财业务监督管理办法》（银保监会令〔2018〕6号）及其他有关法律法规、产品合同、托管协议的规定，不存在损害产品份额持有人利益的行为，完全尽职尽责地履行了托管人应尽的义务。</w:t>
      </w:r>
    </w:p>
    <w:p w:rsidR="009F0B98" w:rsidRDefault="009F0B98" w:rsidP="009F0B98">
      <w:pPr>
        <w:snapToGrid w:val="0"/>
        <w:spacing w:line="360" w:lineRule="auto"/>
        <w:ind w:firstLine="360"/>
        <w:rPr>
          <w:rFonts w:ascii="仿宋_GB2312" w:eastAsia="仿宋_GB2312"/>
          <w:color w:val="000000"/>
          <w:sz w:val="24"/>
          <w:szCs w:val="24"/>
        </w:rPr>
      </w:pPr>
      <w:r>
        <w:rPr>
          <w:rFonts w:ascii="仿宋_GB2312" w:eastAsia="仿宋_GB2312" w:hint="eastAsia"/>
          <w:color w:val="000000"/>
          <w:sz w:val="24"/>
          <w:szCs w:val="24"/>
        </w:rPr>
        <w:t>本报告期内，本托管人依照《关于规范金融机构资产管理业务的指导意见》（银发〔2018〕106号）、《商业银行理财业务监督管理办法》（银保监会令〔2018〕6号）及其他有关法律法规、产品合同、托管协议的规定，对本产品的投资运作进行了监督，对本报告中的财务指标、净值表现、投资组合报告等内容进行了认真的复核，未发现产品管理人存在损害产品份额持有人利益的行为。</w:t>
      </w:r>
    </w:p>
    <w:p w:rsidR="009F0B98" w:rsidRDefault="009F0B98" w:rsidP="009F0B98">
      <w:pPr>
        <w:snapToGrid w:val="0"/>
        <w:spacing w:line="360" w:lineRule="auto"/>
        <w:ind w:firstLine="360"/>
        <w:rPr>
          <w:rFonts w:ascii="仿宋_GB2312" w:eastAsia="仿宋_GB2312"/>
          <w:color w:val="000000"/>
          <w:sz w:val="24"/>
          <w:szCs w:val="24"/>
        </w:rPr>
      </w:pPr>
      <w:r>
        <w:rPr>
          <w:rFonts w:ascii="仿宋_GB2312" w:eastAsia="仿宋_GB2312" w:hint="eastAsia"/>
          <w:color w:val="000000"/>
          <w:sz w:val="24"/>
          <w:szCs w:val="24"/>
        </w:rPr>
        <w:t>本报告期内，由上海浦东发展银行编制的本托管人复核的本报告中的财务指标、净值表现、投资组合报告等内容真实、准确、完整。</w:t>
      </w:r>
    </w:p>
    <w:p w:rsidR="009F0B98" w:rsidRDefault="009F0B98" w:rsidP="009F0B98">
      <w:pPr>
        <w:rPr>
          <w:rFonts w:ascii="仿宋_GB2312" w:eastAsia="仿宋_GB2312"/>
          <w:sz w:val="24"/>
          <w:szCs w:val="24"/>
        </w:rPr>
      </w:pPr>
    </w:p>
    <w:p w:rsidR="009F0B98" w:rsidRDefault="009F0B98" w:rsidP="009F0B98">
      <w:pPr>
        <w:snapToGrid w:val="0"/>
        <w:spacing w:line="360" w:lineRule="auto"/>
        <w:rPr>
          <w:rFonts w:ascii="仿宋_GB2312" w:eastAsia="仿宋_GB2312"/>
          <w:b/>
          <w:sz w:val="24"/>
          <w:szCs w:val="24"/>
        </w:rPr>
      </w:pPr>
      <w:r>
        <w:rPr>
          <w:rFonts w:ascii="仿宋_GB2312" w:eastAsia="仿宋_GB2312" w:hint="eastAsia"/>
          <w:b/>
          <w:sz w:val="24"/>
          <w:szCs w:val="24"/>
        </w:rPr>
        <w:t>8.备查文件</w:t>
      </w:r>
    </w:p>
    <w:p w:rsidR="009F0B98" w:rsidRDefault="009F0B98" w:rsidP="009F0B98">
      <w:pPr>
        <w:snapToGrid w:val="0"/>
        <w:spacing w:line="360" w:lineRule="auto"/>
        <w:ind w:firstLine="480"/>
        <w:rPr>
          <w:rFonts w:ascii="仿宋_GB2312" w:eastAsia="仿宋_GB2312"/>
          <w:b/>
          <w:bCs/>
          <w:color w:val="000000"/>
          <w:sz w:val="24"/>
          <w:szCs w:val="24"/>
        </w:rPr>
      </w:pPr>
      <w:r>
        <w:rPr>
          <w:rFonts w:ascii="仿宋_GB2312" w:eastAsia="仿宋_GB2312" w:hint="eastAsia"/>
          <w:b/>
          <w:bCs/>
          <w:color w:val="000000"/>
          <w:sz w:val="24"/>
          <w:szCs w:val="24"/>
        </w:rPr>
        <w:t>8.1 备查文件目录</w:t>
      </w:r>
    </w:p>
    <w:p w:rsidR="009F0B98" w:rsidRDefault="009F0B98" w:rsidP="009F0B98">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产品说明书</w:t>
      </w:r>
    </w:p>
    <w:p w:rsidR="009F0B98" w:rsidRDefault="009F0B98" w:rsidP="009F0B98">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销售协议</w:t>
      </w:r>
    </w:p>
    <w:p w:rsidR="009F0B98" w:rsidRDefault="009F0B98" w:rsidP="009F0B98">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风险揭示书</w:t>
      </w:r>
    </w:p>
    <w:p w:rsidR="009F0B98" w:rsidRDefault="009F0B98" w:rsidP="009F0B98">
      <w:pPr>
        <w:snapToGrid w:val="0"/>
        <w:spacing w:line="360" w:lineRule="auto"/>
        <w:ind w:firstLine="600"/>
        <w:rPr>
          <w:rFonts w:ascii="仿宋_GB2312" w:eastAsia="仿宋_GB2312"/>
          <w:color w:val="000000"/>
          <w:sz w:val="24"/>
          <w:szCs w:val="24"/>
        </w:rPr>
      </w:pPr>
      <w:r>
        <w:rPr>
          <w:rFonts w:ascii="仿宋_GB2312" w:eastAsia="仿宋_GB2312" w:hint="eastAsia"/>
          <w:color w:val="000000"/>
          <w:sz w:val="24"/>
          <w:szCs w:val="24"/>
        </w:rPr>
        <w:t>投资者权益须知</w:t>
      </w:r>
    </w:p>
    <w:p w:rsidR="009F0B98" w:rsidRDefault="009F0B98" w:rsidP="009F0B98">
      <w:pPr>
        <w:snapToGrid w:val="0"/>
        <w:spacing w:line="360" w:lineRule="auto"/>
        <w:ind w:firstLine="480"/>
        <w:rPr>
          <w:rFonts w:ascii="仿宋_GB2312" w:eastAsia="仿宋_GB2312"/>
          <w:b/>
          <w:bCs/>
          <w:color w:val="000000"/>
          <w:sz w:val="24"/>
          <w:szCs w:val="24"/>
        </w:rPr>
      </w:pPr>
      <w:r>
        <w:rPr>
          <w:rFonts w:ascii="仿宋_GB2312" w:eastAsia="仿宋_GB2312" w:hint="eastAsia"/>
          <w:b/>
          <w:bCs/>
          <w:color w:val="000000"/>
          <w:sz w:val="24"/>
          <w:szCs w:val="24"/>
        </w:rPr>
        <w:t>8.2 存放地点</w:t>
      </w:r>
    </w:p>
    <w:p w:rsidR="009F0B98" w:rsidRDefault="009F0B98" w:rsidP="009F0B98">
      <w:pPr>
        <w:snapToGrid w:val="0"/>
        <w:spacing w:line="360" w:lineRule="auto"/>
        <w:ind w:firstLine="480"/>
        <w:rPr>
          <w:rFonts w:ascii="仿宋_GB2312" w:eastAsia="仿宋_GB2312"/>
          <w:b/>
          <w:bCs/>
          <w:color w:val="000000"/>
          <w:sz w:val="24"/>
          <w:szCs w:val="24"/>
        </w:rPr>
      </w:pPr>
      <w:r>
        <w:rPr>
          <w:rFonts w:ascii="仿宋_GB2312" w:eastAsia="仿宋_GB2312" w:hint="eastAsia"/>
          <w:color w:val="000000"/>
          <w:sz w:val="24"/>
          <w:szCs w:val="24"/>
        </w:rPr>
        <w:t>上海市北京东路689号东银大厦</w:t>
      </w:r>
    </w:p>
    <w:p w:rsidR="009F0B98" w:rsidRDefault="009F0B98" w:rsidP="009F0B98">
      <w:pPr>
        <w:snapToGrid w:val="0"/>
        <w:spacing w:line="360" w:lineRule="auto"/>
        <w:ind w:firstLine="480"/>
        <w:rPr>
          <w:rFonts w:ascii="仿宋_GB2312" w:eastAsia="仿宋_GB2312"/>
          <w:b/>
          <w:bCs/>
          <w:color w:val="000000"/>
          <w:sz w:val="24"/>
          <w:szCs w:val="24"/>
        </w:rPr>
      </w:pPr>
      <w:r>
        <w:rPr>
          <w:rFonts w:ascii="仿宋_GB2312" w:eastAsia="仿宋_GB2312" w:hint="eastAsia"/>
          <w:b/>
          <w:bCs/>
          <w:color w:val="000000"/>
          <w:sz w:val="24"/>
          <w:szCs w:val="24"/>
        </w:rPr>
        <w:t>8.3 查阅方式</w:t>
      </w:r>
    </w:p>
    <w:p w:rsidR="0041011E" w:rsidRPr="0041011E" w:rsidRDefault="009F0B98" w:rsidP="009F0B98">
      <w:pPr>
        <w:snapToGrid w:val="0"/>
        <w:spacing w:line="360" w:lineRule="auto"/>
        <w:ind w:firstLine="480"/>
        <w:rPr>
          <w:rFonts w:ascii="仿宋_GB2312" w:eastAsia="仿宋_GB2312"/>
          <w:b/>
          <w:bCs/>
          <w:sz w:val="24"/>
          <w:szCs w:val="24"/>
        </w:rPr>
      </w:pPr>
      <w:r>
        <w:rPr>
          <w:rFonts w:ascii="仿宋_GB2312" w:eastAsia="仿宋_GB2312" w:hint="eastAsia"/>
          <w:color w:val="000000"/>
          <w:sz w:val="24"/>
          <w:szCs w:val="24"/>
        </w:rPr>
        <w:t>浦发银行官方网站：</w:t>
      </w:r>
      <w:hyperlink r:id="rId6" w:history="1">
        <w:r>
          <w:rPr>
            <w:rStyle w:val="ac"/>
            <w:rFonts w:ascii="仿宋_GB2312" w:eastAsia="仿宋_GB2312" w:hint="eastAsia"/>
            <w:sz w:val="24"/>
            <w:szCs w:val="24"/>
          </w:rPr>
          <w:t>http://www.spdb.com.cn/</w:t>
        </w:r>
      </w:hyperlink>
    </w:p>
    <w:sectPr w:rsidR="0041011E" w:rsidRPr="004101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65C" w:rsidRDefault="0015465C" w:rsidP="00E61C1A">
      <w:r>
        <w:separator/>
      </w:r>
    </w:p>
  </w:endnote>
  <w:endnote w:type="continuationSeparator" w:id="0">
    <w:p w:rsidR="0015465C" w:rsidRDefault="0015465C" w:rsidP="00E61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等线"/>
    <w:charset w:val="86"/>
    <w:family w:val="auto"/>
    <w:pitch w:val="default"/>
    <w:sig w:usb0="00000000" w:usb1="0000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65C" w:rsidRDefault="0015465C" w:rsidP="00E61C1A">
      <w:r>
        <w:separator/>
      </w:r>
    </w:p>
  </w:footnote>
  <w:footnote w:type="continuationSeparator" w:id="0">
    <w:p w:rsidR="0015465C" w:rsidRDefault="0015465C" w:rsidP="00E61C1A">
      <w:r>
        <w:continuationSeparator/>
      </w:r>
    </w:p>
  </w:footnote>
  <w:footnote w:id="1">
    <w:p w:rsidR="00E61C1A" w:rsidRDefault="00E61C1A" w:rsidP="00E61C1A">
      <w:pPr>
        <w:pStyle w:val="a7"/>
      </w:pPr>
      <w:r>
        <w:rPr>
          <w:rStyle w:val="a9"/>
        </w:rPr>
        <w:footnoteRef/>
      </w:r>
      <w:r>
        <w:rPr>
          <w:rFonts w:hint="eastAsia"/>
          <w:sz w:val="15"/>
          <w:szCs w:val="15"/>
        </w:rPr>
        <w:t>产品登记编码指本产品在全国银行理财信息登记系统获取的登记编码。</w:t>
      </w:r>
    </w:p>
  </w:footnote>
  <w:footnote w:id="2">
    <w:p w:rsidR="00DE496A" w:rsidRDefault="00DE496A" w:rsidP="00DE496A">
      <w:pPr>
        <w:pStyle w:val="a7"/>
        <w:rPr>
          <w:sz w:val="15"/>
          <w:szCs w:val="15"/>
        </w:rPr>
      </w:pPr>
      <w:r>
        <w:rPr>
          <w:rStyle w:val="a9"/>
        </w:rPr>
        <w:footnoteRef/>
      </w:r>
      <w:r>
        <w:rPr>
          <w:rFonts w:hint="eastAsia"/>
        </w:rPr>
        <w:t xml:space="preserve"> </w:t>
      </w:r>
      <w:r>
        <w:rPr>
          <w:rFonts w:hint="eastAsia"/>
          <w:sz w:val="15"/>
          <w:szCs w:val="15"/>
        </w:rPr>
        <w:t>本报告所称非标准化债权资产，指根据《关于规范金融机构资产管理业务的指导意见》（银发〔</w:t>
      </w:r>
      <w:r>
        <w:rPr>
          <w:rFonts w:hint="eastAsia"/>
          <w:sz w:val="15"/>
          <w:szCs w:val="15"/>
        </w:rPr>
        <w:t>2018</w:t>
      </w:r>
      <w:r>
        <w:rPr>
          <w:rFonts w:hint="eastAsia"/>
          <w:sz w:val="15"/>
          <w:szCs w:val="15"/>
        </w:rPr>
        <w:t>〕</w:t>
      </w:r>
      <w:r>
        <w:rPr>
          <w:rFonts w:hint="eastAsia"/>
          <w:sz w:val="15"/>
          <w:szCs w:val="15"/>
        </w:rPr>
        <w:t>106</w:t>
      </w:r>
      <w:r>
        <w:rPr>
          <w:rFonts w:hint="eastAsia"/>
          <w:sz w:val="15"/>
          <w:szCs w:val="15"/>
        </w:rPr>
        <w:t>号）规定，标准化债权类资产之外的债权类资产。</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262"/>
    <w:rsid w:val="00023644"/>
    <w:rsid w:val="00077F23"/>
    <w:rsid w:val="00130728"/>
    <w:rsid w:val="0015465C"/>
    <w:rsid w:val="00172304"/>
    <w:rsid w:val="001814DB"/>
    <w:rsid w:val="00211495"/>
    <w:rsid w:val="00213ECF"/>
    <w:rsid w:val="00274D37"/>
    <w:rsid w:val="00367DBF"/>
    <w:rsid w:val="00380BE2"/>
    <w:rsid w:val="003F480F"/>
    <w:rsid w:val="00400A77"/>
    <w:rsid w:val="0041011E"/>
    <w:rsid w:val="0041666B"/>
    <w:rsid w:val="0042245C"/>
    <w:rsid w:val="00442040"/>
    <w:rsid w:val="0048092C"/>
    <w:rsid w:val="004E272F"/>
    <w:rsid w:val="00564E1C"/>
    <w:rsid w:val="0058623B"/>
    <w:rsid w:val="005B0E63"/>
    <w:rsid w:val="0061019B"/>
    <w:rsid w:val="006304A5"/>
    <w:rsid w:val="006E00B8"/>
    <w:rsid w:val="007167B6"/>
    <w:rsid w:val="00781652"/>
    <w:rsid w:val="007D042E"/>
    <w:rsid w:val="007E2254"/>
    <w:rsid w:val="008579C9"/>
    <w:rsid w:val="008D4921"/>
    <w:rsid w:val="008F3C17"/>
    <w:rsid w:val="009027FB"/>
    <w:rsid w:val="0093653B"/>
    <w:rsid w:val="00973891"/>
    <w:rsid w:val="009B6B6E"/>
    <w:rsid w:val="009F0B98"/>
    <w:rsid w:val="00A7331C"/>
    <w:rsid w:val="00A768E1"/>
    <w:rsid w:val="00AB21F8"/>
    <w:rsid w:val="00B2798E"/>
    <w:rsid w:val="00B9403A"/>
    <w:rsid w:val="00BB17CD"/>
    <w:rsid w:val="00C2222B"/>
    <w:rsid w:val="00CA6A9F"/>
    <w:rsid w:val="00D170C5"/>
    <w:rsid w:val="00D37F3B"/>
    <w:rsid w:val="00D601E1"/>
    <w:rsid w:val="00DC25F6"/>
    <w:rsid w:val="00DD0D5E"/>
    <w:rsid w:val="00DE1F30"/>
    <w:rsid w:val="00DE496A"/>
    <w:rsid w:val="00E61C1A"/>
    <w:rsid w:val="00E63347"/>
    <w:rsid w:val="00F864D2"/>
    <w:rsid w:val="00FB1262"/>
    <w:rsid w:val="00FB4D10"/>
    <w:rsid w:val="00FC6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AA59B9"/>
  <w15:docId w15:val="{B094D2D1-F466-4952-A7F1-ABB05DAE1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C1A"/>
    <w:pPr>
      <w:widowControl w:val="0"/>
      <w:jc w:val="both"/>
    </w:pPr>
    <w:rPr>
      <w:rFonts w:ascii="Times New Roman" w:eastAsia="方正仿宋简体"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1C1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E61C1A"/>
    <w:rPr>
      <w:sz w:val="18"/>
      <w:szCs w:val="18"/>
    </w:rPr>
  </w:style>
  <w:style w:type="paragraph" w:styleId="a5">
    <w:name w:val="footer"/>
    <w:basedOn w:val="a"/>
    <w:link w:val="a6"/>
    <w:uiPriority w:val="99"/>
    <w:unhideWhenUsed/>
    <w:rsid w:val="00E61C1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E61C1A"/>
    <w:rPr>
      <w:sz w:val="18"/>
      <w:szCs w:val="18"/>
    </w:rPr>
  </w:style>
  <w:style w:type="paragraph" w:styleId="a7">
    <w:name w:val="footnote text"/>
    <w:basedOn w:val="a"/>
    <w:link w:val="a8"/>
    <w:uiPriority w:val="99"/>
    <w:semiHidden/>
    <w:qFormat/>
    <w:rsid w:val="00E61C1A"/>
    <w:pPr>
      <w:snapToGrid w:val="0"/>
      <w:jc w:val="left"/>
    </w:pPr>
    <w:rPr>
      <w:rFonts w:eastAsia="宋体"/>
      <w:sz w:val="18"/>
      <w:szCs w:val="18"/>
    </w:rPr>
  </w:style>
  <w:style w:type="character" w:customStyle="1" w:styleId="a8">
    <w:name w:val="脚注文本 字符"/>
    <w:basedOn w:val="a0"/>
    <w:link w:val="a7"/>
    <w:uiPriority w:val="99"/>
    <w:semiHidden/>
    <w:rsid w:val="00E61C1A"/>
    <w:rPr>
      <w:rFonts w:ascii="Times New Roman" w:eastAsia="宋体" w:hAnsi="Times New Roman" w:cs="Times New Roman"/>
      <w:sz w:val="18"/>
      <w:szCs w:val="18"/>
    </w:rPr>
  </w:style>
  <w:style w:type="character" w:styleId="a9">
    <w:name w:val="footnote reference"/>
    <w:uiPriority w:val="99"/>
    <w:semiHidden/>
    <w:qFormat/>
    <w:rsid w:val="00E61C1A"/>
    <w:rPr>
      <w:vertAlign w:val="superscript"/>
    </w:rPr>
  </w:style>
  <w:style w:type="paragraph" w:styleId="aa">
    <w:name w:val="Normal (Web)"/>
    <w:basedOn w:val="a"/>
    <w:uiPriority w:val="99"/>
    <w:qFormat/>
    <w:rsid w:val="004E272F"/>
    <w:pPr>
      <w:widowControl/>
      <w:spacing w:before="100" w:beforeAutospacing="1" w:after="100" w:afterAutospacing="1"/>
      <w:jc w:val="left"/>
    </w:pPr>
    <w:rPr>
      <w:rFonts w:ascii="宋体" w:eastAsia="宋体" w:hAnsi="宋体"/>
      <w:kern w:val="0"/>
      <w:sz w:val="24"/>
      <w:szCs w:val="24"/>
    </w:rPr>
  </w:style>
  <w:style w:type="table" w:styleId="ab">
    <w:name w:val="Table Grid"/>
    <w:basedOn w:val="a1"/>
    <w:uiPriority w:val="59"/>
    <w:rsid w:val="004E272F"/>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3">
    <w:name w:val="xl33"/>
    <w:basedOn w:val="a"/>
    <w:uiPriority w:val="99"/>
    <w:qFormat/>
    <w:rsid w:val="00DE496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character" w:styleId="ac">
    <w:name w:val="Hyperlink"/>
    <w:basedOn w:val="a0"/>
    <w:uiPriority w:val="99"/>
    <w:semiHidden/>
    <w:unhideWhenUsed/>
    <w:rsid w:val="004101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522124">
      <w:bodyDiv w:val="1"/>
      <w:marLeft w:val="0"/>
      <w:marRight w:val="0"/>
      <w:marTop w:val="0"/>
      <w:marBottom w:val="0"/>
      <w:divBdr>
        <w:top w:val="none" w:sz="0" w:space="0" w:color="auto"/>
        <w:left w:val="none" w:sz="0" w:space="0" w:color="auto"/>
        <w:bottom w:val="none" w:sz="0" w:space="0" w:color="auto"/>
        <w:right w:val="none" w:sz="0" w:space="0" w:color="auto"/>
      </w:divBdr>
    </w:div>
    <w:div w:id="1259411024">
      <w:bodyDiv w:val="1"/>
      <w:marLeft w:val="0"/>
      <w:marRight w:val="0"/>
      <w:marTop w:val="0"/>
      <w:marBottom w:val="0"/>
      <w:divBdr>
        <w:top w:val="none" w:sz="0" w:space="0" w:color="auto"/>
        <w:left w:val="none" w:sz="0" w:space="0" w:color="auto"/>
        <w:bottom w:val="none" w:sz="0" w:space="0" w:color="auto"/>
        <w:right w:val="none" w:sz="0" w:space="0" w:color="auto"/>
      </w:divBdr>
    </w:div>
    <w:div w:id="213493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pdb.com.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1309</TotalTime>
  <Pages>4</Pages>
  <Words>409</Words>
  <Characters>2337</Characters>
  <Application>Microsoft Office Word</Application>
  <DocSecurity>0</DocSecurity>
  <Lines>19</Lines>
  <Paragraphs>5</Paragraphs>
  <ScaleCrop>false</ScaleCrop>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DEVVDI02</dc:creator>
  <cp:lastModifiedBy>花健瑞</cp:lastModifiedBy>
  <cp:revision>50</cp:revision>
  <dcterms:created xsi:type="dcterms:W3CDTF">2019-08-06T07:15:00Z</dcterms:created>
  <dcterms:modified xsi:type="dcterms:W3CDTF">2022-04-04T08:36:00Z</dcterms:modified>
</cp:coreProperties>
</file>