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浦发银行天添鑫中短债理财产品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2301202537(销售代码:2301202818/2301202824/2301202825/2301202826)</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C1031020000067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5,735,638,277.19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121.65%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F50E17">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中债-综合财富(一年以下)指数收益率</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lastRenderedPageBreak/>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报告期（2022-01-01至2022-03-31）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2301202818 : 4,686.55</w:t>
            </w:r>
            <w:r>
              <w:rPr>
                <w:rFonts w:ascii="仿宋_GB2312" w:eastAsia="仿宋_GB2312" w:hAnsi="Calibri" w:cs="宋体"/>
                <w:color w:val="000000"/>
                <w:sz w:val="24"/>
                <w:szCs w:val="24"/>
              </w:rPr>
              <w:br/>
              <w:t>2301202824 : 4,224,479,408.15</w:t>
            </w:r>
            <w:r>
              <w:rPr>
                <w:rFonts w:ascii="仿宋_GB2312" w:eastAsia="仿宋_GB2312" w:hAnsi="Calibri" w:cs="宋体"/>
                <w:color w:val="000000"/>
                <w:sz w:val="24"/>
                <w:szCs w:val="24"/>
              </w:rPr>
              <w:br/>
              <w:t>2301202825 : 113,654,919.79</w:t>
            </w:r>
            <w:r>
              <w:rPr>
                <w:rFonts w:ascii="仿宋_GB2312" w:eastAsia="仿宋_GB2312" w:hAnsi="Calibri" w:cs="宋体"/>
                <w:color w:val="000000"/>
                <w:sz w:val="24"/>
                <w:szCs w:val="24"/>
              </w:rPr>
              <w:br/>
              <w:t>2301202826 : 1,692,458,200.58</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2301202818 : 1.0000</w:t>
            </w:r>
            <w:r>
              <w:rPr>
                <w:rFonts w:ascii="仿宋_GB2312" w:eastAsia="仿宋_GB2312" w:hAnsi="Calibri" w:cs="宋体"/>
                <w:color w:val="000000"/>
                <w:sz w:val="24"/>
                <w:szCs w:val="24"/>
              </w:rPr>
              <w:br/>
              <w:t>2301202824 : 1.0500</w:t>
            </w:r>
            <w:r>
              <w:rPr>
                <w:rFonts w:ascii="仿宋_GB2312" w:eastAsia="仿宋_GB2312" w:hAnsi="Calibri" w:cs="宋体"/>
                <w:color w:val="000000"/>
                <w:sz w:val="24"/>
                <w:szCs w:val="24"/>
              </w:rPr>
              <w:br/>
              <w:t>2301202825 : 1.0506</w:t>
            </w:r>
            <w:r>
              <w:rPr>
                <w:rFonts w:ascii="仿宋_GB2312" w:eastAsia="仿宋_GB2312" w:hAnsi="Calibri" w:cs="宋体"/>
                <w:color w:val="000000"/>
                <w:sz w:val="24"/>
                <w:szCs w:val="24"/>
              </w:rPr>
              <w:br/>
              <w:t>2301202826 : 1.0549</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2301202818 : 1.0000</w:t>
            </w:r>
            <w:r>
              <w:rPr>
                <w:rFonts w:ascii="仿宋_GB2312" w:eastAsia="仿宋_GB2312" w:hAnsi="Calibri" w:cs="宋体"/>
                <w:color w:val="000000"/>
                <w:sz w:val="24"/>
                <w:szCs w:val="24"/>
              </w:rPr>
              <w:br/>
              <w:t>2301202824 : 1.0500</w:t>
            </w:r>
            <w:r>
              <w:rPr>
                <w:rFonts w:ascii="仿宋_GB2312" w:eastAsia="仿宋_GB2312" w:hAnsi="Calibri" w:cs="宋体"/>
                <w:color w:val="000000"/>
                <w:sz w:val="24"/>
                <w:szCs w:val="24"/>
              </w:rPr>
              <w:br/>
              <w:t>2301202825 : 1.0506</w:t>
            </w:r>
            <w:r>
              <w:rPr>
                <w:rFonts w:ascii="仿宋_GB2312" w:eastAsia="仿宋_GB2312" w:hAnsi="Calibri" w:cs="宋体"/>
                <w:color w:val="000000"/>
                <w:sz w:val="24"/>
                <w:szCs w:val="24"/>
              </w:rPr>
              <w:br/>
              <w:t>2301202826 : 1.0549</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23,210,370.81</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0.38%</w:t>
            </w:r>
          </w:p>
        </w:tc>
      </w:tr>
      <w:tr w:rsidR="0066396B">
        <w:tc>
          <w:tcPr>
            <w:tcW w:w="1281" w:type="dxa"/>
            <w:vAlign w:val="center"/>
          </w:tcPr>
          <w:p w:rsidR="0066396B" w:rsidRDefault="008D7E9F">
            <w:pPr>
              <w:jc w:val="center"/>
            </w:pPr>
            <w:r>
              <w:rPr>
                <w:rFonts w:ascii="仿宋_GB2312" w:eastAsia="仿宋_GB2312" w:hAnsi="Calibri" w:cs="宋体"/>
                <w:color w:val="000000"/>
                <w:sz w:val="24"/>
              </w:rPr>
              <w:t>2</w:t>
            </w:r>
          </w:p>
        </w:tc>
        <w:tc>
          <w:tcPr>
            <w:tcW w:w="2620" w:type="dxa"/>
            <w:vAlign w:val="center"/>
          </w:tcPr>
          <w:p w:rsidR="0066396B" w:rsidRDefault="008D7E9F">
            <w:pPr>
              <w:jc w:val="center"/>
            </w:pPr>
            <w:r>
              <w:rPr>
                <w:rFonts w:ascii="仿宋_GB2312" w:eastAsia="仿宋_GB2312" w:hAnsi="Calibri" w:cs="宋体"/>
                <w:color w:val="000000"/>
                <w:sz w:val="24"/>
              </w:rPr>
              <w:t>债券投资</w:t>
            </w:r>
          </w:p>
        </w:tc>
        <w:tc>
          <w:tcPr>
            <w:tcW w:w="2694" w:type="dxa"/>
            <w:vAlign w:val="center"/>
          </w:tcPr>
          <w:p w:rsidR="0066396B" w:rsidRDefault="008D7E9F">
            <w:pPr>
              <w:jc w:val="center"/>
            </w:pPr>
            <w:r>
              <w:rPr>
                <w:rFonts w:ascii="仿宋_GB2312" w:eastAsia="仿宋_GB2312" w:hAnsi="Calibri" w:cs="宋体"/>
                <w:color w:val="000000"/>
                <w:sz w:val="24"/>
              </w:rPr>
              <w:t>7,060,683,000.00</w:t>
            </w:r>
          </w:p>
        </w:tc>
        <w:tc>
          <w:tcPr>
            <w:tcW w:w="2477" w:type="dxa"/>
            <w:vAlign w:val="center"/>
          </w:tcPr>
          <w:p w:rsidR="0066396B" w:rsidRDefault="008D7E9F">
            <w:pPr>
              <w:jc w:val="center"/>
            </w:pPr>
            <w:r>
              <w:rPr>
                <w:rFonts w:ascii="仿宋_GB2312" w:eastAsia="仿宋_GB2312" w:hAnsi="Calibri" w:cs="宋体"/>
                <w:color w:val="000000"/>
                <w:sz w:val="24"/>
              </w:rPr>
              <w:t>117.08%</w:t>
            </w:r>
          </w:p>
        </w:tc>
      </w:tr>
      <w:tr w:rsidR="0066396B">
        <w:tc>
          <w:tcPr>
            <w:tcW w:w="1281" w:type="dxa"/>
            <w:vAlign w:val="center"/>
          </w:tcPr>
          <w:p w:rsidR="0066396B" w:rsidRDefault="008D7E9F">
            <w:pPr>
              <w:jc w:val="center"/>
            </w:pPr>
            <w:r>
              <w:rPr>
                <w:rFonts w:ascii="仿宋_GB2312" w:eastAsia="仿宋_GB2312" w:hAnsi="Calibri" w:cs="宋体"/>
                <w:color w:val="000000"/>
                <w:sz w:val="24"/>
              </w:rPr>
              <w:t>3</w:t>
            </w:r>
          </w:p>
        </w:tc>
        <w:tc>
          <w:tcPr>
            <w:tcW w:w="2620" w:type="dxa"/>
            <w:vAlign w:val="center"/>
          </w:tcPr>
          <w:p w:rsidR="0066396B" w:rsidRDefault="008D7E9F">
            <w:pPr>
              <w:jc w:val="center"/>
            </w:pPr>
            <w:r>
              <w:rPr>
                <w:rFonts w:ascii="仿宋_GB2312" w:eastAsia="仿宋_GB2312" w:hAnsi="Calibri" w:cs="宋体"/>
                <w:color w:val="000000"/>
                <w:sz w:val="24"/>
              </w:rPr>
              <w:t>资产支持证券投资</w:t>
            </w:r>
          </w:p>
        </w:tc>
        <w:tc>
          <w:tcPr>
            <w:tcW w:w="2694" w:type="dxa"/>
            <w:vAlign w:val="center"/>
          </w:tcPr>
          <w:p w:rsidR="0066396B" w:rsidRDefault="008D7E9F">
            <w:pPr>
              <w:jc w:val="center"/>
            </w:pPr>
            <w:r>
              <w:rPr>
                <w:rFonts w:ascii="仿宋_GB2312" w:eastAsia="仿宋_GB2312" w:hAnsi="Calibri" w:cs="宋体"/>
                <w:color w:val="000000"/>
                <w:sz w:val="24"/>
              </w:rPr>
              <w:t>140,135,000.00</w:t>
            </w:r>
          </w:p>
        </w:tc>
        <w:tc>
          <w:tcPr>
            <w:tcW w:w="2477" w:type="dxa"/>
            <w:vAlign w:val="center"/>
          </w:tcPr>
          <w:p w:rsidR="0066396B" w:rsidRDefault="008D7E9F">
            <w:pPr>
              <w:jc w:val="center"/>
            </w:pPr>
            <w:r>
              <w:rPr>
                <w:rFonts w:ascii="仿宋_GB2312" w:eastAsia="仿宋_GB2312" w:hAnsi="Calibri" w:cs="宋体"/>
                <w:color w:val="000000"/>
                <w:sz w:val="24"/>
              </w:rPr>
              <w:t>2.32%</w:t>
            </w:r>
          </w:p>
        </w:tc>
      </w:tr>
      <w:tr w:rsidR="0066396B">
        <w:tc>
          <w:tcPr>
            <w:tcW w:w="1281" w:type="dxa"/>
            <w:vAlign w:val="center"/>
          </w:tcPr>
          <w:p w:rsidR="0066396B" w:rsidRDefault="008D7E9F">
            <w:pPr>
              <w:jc w:val="center"/>
            </w:pPr>
            <w:r>
              <w:rPr>
                <w:rFonts w:ascii="仿宋_GB2312" w:eastAsia="仿宋_GB2312" w:hAnsi="Calibri" w:cs="宋体"/>
                <w:color w:val="000000"/>
                <w:sz w:val="24"/>
              </w:rPr>
              <w:t>4</w:t>
            </w:r>
          </w:p>
        </w:tc>
        <w:tc>
          <w:tcPr>
            <w:tcW w:w="2620" w:type="dxa"/>
            <w:vAlign w:val="center"/>
          </w:tcPr>
          <w:p w:rsidR="0066396B" w:rsidRDefault="008D7E9F">
            <w:pPr>
              <w:jc w:val="center"/>
            </w:pPr>
            <w:r>
              <w:rPr>
                <w:rFonts w:ascii="仿宋_GB2312" w:eastAsia="仿宋_GB2312" w:hAnsi="Calibri" w:cs="宋体"/>
                <w:color w:val="000000"/>
                <w:sz w:val="24"/>
              </w:rPr>
              <w:t>信托计划</w:t>
            </w:r>
          </w:p>
        </w:tc>
        <w:tc>
          <w:tcPr>
            <w:tcW w:w="2694" w:type="dxa"/>
            <w:vAlign w:val="center"/>
          </w:tcPr>
          <w:p w:rsidR="0066396B" w:rsidRDefault="008D7E9F">
            <w:pPr>
              <w:jc w:val="center"/>
            </w:pPr>
            <w:r>
              <w:rPr>
                <w:rFonts w:ascii="仿宋_GB2312" w:eastAsia="仿宋_GB2312" w:hAnsi="Calibri" w:cs="宋体"/>
                <w:color w:val="000000"/>
                <w:sz w:val="24"/>
              </w:rPr>
              <w:t>-</w:t>
            </w:r>
          </w:p>
        </w:tc>
        <w:tc>
          <w:tcPr>
            <w:tcW w:w="2477" w:type="dxa"/>
            <w:vAlign w:val="center"/>
          </w:tcPr>
          <w:p w:rsidR="0066396B" w:rsidRDefault="008D7E9F">
            <w:pPr>
              <w:jc w:val="center"/>
            </w:pPr>
            <w:r>
              <w:rPr>
                <w:rFonts w:ascii="仿宋_GB2312" w:eastAsia="仿宋_GB2312" w:hAnsi="Calibri" w:cs="宋体"/>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5</w:t>
            </w:r>
          </w:p>
        </w:tc>
        <w:tc>
          <w:tcPr>
            <w:tcW w:w="2620" w:type="dxa"/>
            <w:vAlign w:val="center"/>
          </w:tcPr>
          <w:p w:rsidR="0066396B" w:rsidRDefault="008D7E9F">
            <w:pPr>
              <w:jc w:val="center"/>
            </w:pPr>
            <w:r>
              <w:rPr>
                <w:rFonts w:ascii="仿宋_GB2312" w:eastAsia="仿宋_GB2312" w:hAnsi="Calibri" w:cs="宋体"/>
                <w:color w:val="000000"/>
                <w:sz w:val="24"/>
              </w:rPr>
              <w:t>资产管理计划</w:t>
            </w:r>
          </w:p>
        </w:tc>
        <w:tc>
          <w:tcPr>
            <w:tcW w:w="2694" w:type="dxa"/>
            <w:vAlign w:val="center"/>
          </w:tcPr>
          <w:p w:rsidR="0066396B" w:rsidRDefault="008D7E9F">
            <w:pPr>
              <w:jc w:val="center"/>
            </w:pPr>
            <w:r>
              <w:rPr>
                <w:rFonts w:ascii="仿宋_GB2312" w:eastAsia="仿宋_GB2312" w:hAnsi="Calibri" w:cs="宋体"/>
                <w:color w:val="000000"/>
                <w:sz w:val="24"/>
              </w:rPr>
              <w:t>-</w:t>
            </w:r>
          </w:p>
        </w:tc>
        <w:tc>
          <w:tcPr>
            <w:tcW w:w="2477" w:type="dxa"/>
            <w:vAlign w:val="center"/>
          </w:tcPr>
          <w:p w:rsidR="0066396B" w:rsidRDefault="008D7E9F">
            <w:pPr>
              <w:jc w:val="center"/>
            </w:pPr>
            <w:r>
              <w:rPr>
                <w:rFonts w:ascii="仿宋_GB2312" w:eastAsia="仿宋_GB2312" w:hAnsi="Calibri" w:cs="宋体"/>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6</w:t>
            </w:r>
          </w:p>
        </w:tc>
        <w:tc>
          <w:tcPr>
            <w:tcW w:w="2620" w:type="dxa"/>
            <w:vAlign w:val="center"/>
          </w:tcPr>
          <w:p w:rsidR="0066396B" w:rsidRDefault="008D7E9F">
            <w:pPr>
              <w:jc w:val="center"/>
            </w:pPr>
            <w:r>
              <w:rPr>
                <w:rFonts w:ascii="仿宋_GB2312" w:eastAsia="仿宋_GB2312" w:hAnsi="Calibri" w:cs="宋体"/>
                <w:color w:val="000000"/>
                <w:sz w:val="24"/>
              </w:rPr>
              <w:t>净值类资产管理计划</w:t>
            </w:r>
          </w:p>
        </w:tc>
        <w:tc>
          <w:tcPr>
            <w:tcW w:w="2694" w:type="dxa"/>
            <w:vAlign w:val="center"/>
          </w:tcPr>
          <w:p w:rsidR="0066396B" w:rsidRDefault="008D7E9F">
            <w:pPr>
              <w:jc w:val="center"/>
            </w:pPr>
            <w:r>
              <w:rPr>
                <w:rFonts w:ascii="仿宋_GB2312" w:eastAsia="仿宋_GB2312" w:hAnsi="Calibri" w:cs="宋体"/>
                <w:color w:val="000000"/>
                <w:sz w:val="24"/>
              </w:rPr>
              <w:t>-</w:t>
            </w:r>
          </w:p>
        </w:tc>
        <w:tc>
          <w:tcPr>
            <w:tcW w:w="2477" w:type="dxa"/>
            <w:vAlign w:val="center"/>
          </w:tcPr>
          <w:p w:rsidR="0066396B" w:rsidRDefault="008D7E9F">
            <w:pPr>
              <w:jc w:val="center"/>
            </w:pPr>
            <w:r>
              <w:rPr>
                <w:rFonts w:ascii="仿宋_GB2312" w:eastAsia="仿宋_GB2312" w:hAnsi="Calibri" w:cs="宋体"/>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7</w:t>
            </w:r>
          </w:p>
        </w:tc>
        <w:tc>
          <w:tcPr>
            <w:tcW w:w="2620" w:type="dxa"/>
            <w:vAlign w:val="center"/>
          </w:tcPr>
          <w:p w:rsidR="0066396B" w:rsidRDefault="008D7E9F">
            <w:pPr>
              <w:jc w:val="center"/>
            </w:pPr>
            <w:r>
              <w:rPr>
                <w:rFonts w:ascii="仿宋_GB2312" w:eastAsia="仿宋_GB2312" w:hAnsi="Calibri" w:cs="宋体"/>
                <w:color w:val="000000"/>
                <w:sz w:val="24"/>
              </w:rPr>
              <w:t>资金拆出</w:t>
            </w:r>
          </w:p>
        </w:tc>
        <w:tc>
          <w:tcPr>
            <w:tcW w:w="2694" w:type="dxa"/>
            <w:vAlign w:val="center"/>
          </w:tcPr>
          <w:p w:rsidR="0066396B" w:rsidRDefault="008D7E9F">
            <w:pPr>
              <w:jc w:val="center"/>
            </w:pPr>
            <w:r>
              <w:rPr>
                <w:rFonts w:ascii="仿宋_GB2312" w:eastAsia="仿宋_GB2312" w:hAnsi="Calibri" w:cs="宋体"/>
                <w:color w:val="000000"/>
                <w:sz w:val="24"/>
              </w:rPr>
              <w:t>-</w:t>
            </w:r>
          </w:p>
        </w:tc>
        <w:tc>
          <w:tcPr>
            <w:tcW w:w="2477" w:type="dxa"/>
            <w:vAlign w:val="center"/>
          </w:tcPr>
          <w:p w:rsidR="0066396B" w:rsidRDefault="008D7E9F">
            <w:pPr>
              <w:jc w:val="center"/>
            </w:pPr>
            <w:r>
              <w:rPr>
                <w:rFonts w:ascii="仿宋_GB2312" w:eastAsia="仿宋_GB2312" w:hAnsi="Calibri" w:cs="宋体"/>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8</w:t>
            </w:r>
          </w:p>
        </w:tc>
        <w:tc>
          <w:tcPr>
            <w:tcW w:w="2620" w:type="dxa"/>
            <w:vAlign w:val="center"/>
          </w:tcPr>
          <w:p w:rsidR="0066396B" w:rsidRDefault="008D7E9F">
            <w:pPr>
              <w:jc w:val="center"/>
            </w:pPr>
            <w:r>
              <w:rPr>
                <w:rFonts w:ascii="仿宋_GB2312" w:eastAsia="仿宋_GB2312" w:hAnsi="Calibri" w:cs="宋体"/>
                <w:color w:val="000000"/>
                <w:sz w:val="24"/>
              </w:rPr>
              <w:t>结算备付金</w:t>
            </w:r>
          </w:p>
        </w:tc>
        <w:tc>
          <w:tcPr>
            <w:tcW w:w="2694" w:type="dxa"/>
            <w:vAlign w:val="center"/>
          </w:tcPr>
          <w:p w:rsidR="0066396B" w:rsidRDefault="008D7E9F">
            <w:pPr>
              <w:jc w:val="center"/>
            </w:pPr>
            <w:r>
              <w:rPr>
                <w:rFonts w:ascii="仿宋_GB2312" w:eastAsia="仿宋_GB2312" w:hAnsi="Calibri" w:cs="宋体"/>
                <w:color w:val="000000"/>
                <w:sz w:val="24"/>
              </w:rPr>
              <w:t>-</w:t>
            </w:r>
          </w:p>
        </w:tc>
        <w:tc>
          <w:tcPr>
            <w:tcW w:w="2477" w:type="dxa"/>
            <w:vAlign w:val="center"/>
          </w:tcPr>
          <w:p w:rsidR="0066396B" w:rsidRDefault="008D7E9F">
            <w:pPr>
              <w:jc w:val="center"/>
            </w:pPr>
            <w:r>
              <w:rPr>
                <w:rFonts w:ascii="仿宋_GB2312" w:eastAsia="仿宋_GB2312" w:hAnsi="Calibri" w:cs="宋体"/>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9</w:t>
            </w:r>
          </w:p>
        </w:tc>
        <w:tc>
          <w:tcPr>
            <w:tcW w:w="2620" w:type="dxa"/>
            <w:vAlign w:val="center"/>
          </w:tcPr>
          <w:p w:rsidR="0066396B" w:rsidRDefault="008D7E9F">
            <w:pPr>
              <w:jc w:val="center"/>
            </w:pPr>
            <w:r>
              <w:rPr>
                <w:rFonts w:ascii="仿宋_GB2312" w:eastAsia="仿宋_GB2312" w:hAnsi="Calibri" w:cs="宋体"/>
                <w:color w:val="000000"/>
                <w:sz w:val="24"/>
              </w:rPr>
              <w:t>买入返售金融资产</w:t>
            </w:r>
          </w:p>
        </w:tc>
        <w:tc>
          <w:tcPr>
            <w:tcW w:w="2694" w:type="dxa"/>
            <w:vAlign w:val="center"/>
          </w:tcPr>
          <w:p w:rsidR="0066396B" w:rsidRDefault="008D7E9F">
            <w:pPr>
              <w:jc w:val="center"/>
            </w:pPr>
            <w:r>
              <w:rPr>
                <w:rFonts w:ascii="仿宋_GB2312" w:eastAsia="仿宋_GB2312" w:hAnsi="Calibri" w:cs="宋体"/>
                <w:color w:val="000000"/>
                <w:sz w:val="24"/>
              </w:rPr>
              <w:t>-</w:t>
            </w:r>
          </w:p>
        </w:tc>
        <w:tc>
          <w:tcPr>
            <w:tcW w:w="2477" w:type="dxa"/>
            <w:vAlign w:val="center"/>
          </w:tcPr>
          <w:p w:rsidR="0066396B" w:rsidRDefault="008D7E9F">
            <w:pPr>
              <w:jc w:val="center"/>
            </w:pPr>
            <w:r>
              <w:rPr>
                <w:rFonts w:ascii="仿宋_GB2312" w:eastAsia="仿宋_GB2312" w:hAnsi="Calibri" w:cs="宋体"/>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10</w:t>
            </w:r>
          </w:p>
        </w:tc>
        <w:tc>
          <w:tcPr>
            <w:tcW w:w="2620" w:type="dxa"/>
            <w:vAlign w:val="center"/>
          </w:tcPr>
          <w:p w:rsidR="0066396B" w:rsidRPr="00A24F5F" w:rsidRDefault="008D7E9F">
            <w:pPr>
              <w:jc w:val="center"/>
              <w:rPr>
                <w:rFonts w:ascii="仿宋_GB2312" w:eastAsia="仿宋_GB2312" w:hAnsi="Calibri" w:cs="宋体"/>
                <w:color w:val="000000"/>
                <w:sz w:val="24"/>
              </w:rPr>
            </w:pPr>
            <w:r w:rsidRPr="00A24F5F">
              <w:rPr>
                <w:rFonts w:ascii="仿宋_GB2312" w:eastAsia="仿宋_GB2312" w:hAnsi="Calibri" w:cs="宋体"/>
                <w:color w:val="000000"/>
                <w:sz w:val="24"/>
              </w:rPr>
              <w:t>其他资产</w:t>
            </w:r>
          </w:p>
        </w:tc>
        <w:tc>
          <w:tcPr>
            <w:tcW w:w="2694" w:type="dxa"/>
            <w:vAlign w:val="center"/>
          </w:tcPr>
          <w:p w:rsidR="0066396B" w:rsidRPr="00A24F5F" w:rsidRDefault="00A24F5F">
            <w:pPr>
              <w:jc w:val="center"/>
              <w:rPr>
                <w:rFonts w:ascii="仿宋_GB2312" w:eastAsia="仿宋_GB2312" w:hAnsi="Calibri" w:cs="宋体"/>
                <w:color w:val="000000"/>
                <w:sz w:val="24"/>
              </w:rPr>
            </w:pPr>
            <w:r>
              <w:rPr>
                <w:rFonts w:ascii="仿宋_GB2312" w:eastAsia="仿宋_GB2312" w:hAnsi="Calibri" w:cs="宋体" w:hint="eastAsia"/>
                <w:color w:val="000000"/>
                <w:sz w:val="24"/>
              </w:rPr>
              <w:t>-</w:t>
            </w:r>
          </w:p>
        </w:tc>
        <w:tc>
          <w:tcPr>
            <w:tcW w:w="2477" w:type="dxa"/>
            <w:vAlign w:val="center"/>
          </w:tcPr>
          <w:p w:rsidR="0066396B" w:rsidRPr="00A24F5F" w:rsidRDefault="00A24F5F">
            <w:pPr>
              <w:jc w:val="center"/>
              <w:rPr>
                <w:rFonts w:ascii="仿宋_GB2312" w:eastAsia="仿宋_GB2312" w:hAnsi="Calibri" w:cs="宋体"/>
                <w:color w:val="000000"/>
                <w:sz w:val="24"/>
              </w:rPr>
            </w:pPr>
            <w:r>
              <w:rPr>
                <w:rFonts w:ascii="仿宋_GB2312" w:eastAsia="仿宋_GB2312" w:hAnsi="Calibri" w:cs="宋体" w:hint="eastAsia"/>
                <w:color w:val="000000"/>
                <w:sz w:val="24"/>
              </w:rPr>
              <w:t>-</w:t>
            </w:r>
          </w:p>
        </w:tc>
      </w:tr>
      <w:tr w:rsidR="0066396B">
        <w:tc>
          <w:tcPr>
            <w:tcW w:w="1281" w:type="dxa"/>
            <w:vAlign w:val="center"/>
          </w:tcPr>
          <w:p w:rsidR="0066396B" w:rsidRDefault="008D7E9F">
            <w:pPr>
              <w:jc w:val="center"/>
            </w:pPr>
            <w:r>
              <w:rPr>
                <w:rFonts w:ascii="仿宋_GB2312" w:eastAsia="仿宋_GB2312" w:hAnsi="Calibri" w:cs="宋体"/>
                <w:color w:val="000000"/>
                <w:sz w:val="24"/>
              </w:rPr>
              <w:t>11</w:t>
            </w:r>
          </w:p>
        </w:tc>
        <w:tc>
          <w:tcPr>
            <w:tcW w:w="2620" w:type="dxa"/>
            <w:vAlign w:val="center"/>
          </w:tcPr>
          <w:p w:rsidR="0066396B" w:rsidRPr="00A24F5F" w:rsidRDefault="008D7E9F">
            <w:pPr>
              <w:jc w:val="center"/>
              <w:rPr>
                <w:rFonts w:ascii="仿宋_GB2312" w:eastAsia="仿宋_GB2312" w:hAnsi="Calibri" w:cs="宋体"/>
                <w:color w:val="000000"/>
                <w:sz w:val="24"/>
              </w:rPr>
            </w:pPr>
            <w:r w:rsidRPr="00A24F5F">
              <w:rPr>
                <w:rFonts w:ascii="仿宋_GB2312" w:eastAsia="仿宋_GB2312" w:hAnsi="Calibri" w:cs="宋体"/>
                <w:color w:val="000000"/>
                <w:sz w:val="24"/>
              </w:rPr>
              <w:t>应收利息</w:t>
            </w:r>
          </w:p>
        </w:tc>
        <w:tc>
          <w:tcPr>
            <w:tcW w:w="2694" w:type="dxa"/>
            <w:vAlign w:val="center"/>
          </w:tcPr>
          <w:p w:rsidR="0066396B" w:rsidRPr="00A24F5F" w:rsidRDefault="00591036" w:rsidP="00A24F5F">
            <w:pPr>
              <w:widowControl/>
              <w:jc w:val="center"/>
              <w:rPr>
                <w:rFonts w:ascii="仿宋_GB2312" w:eastAsia="仿宋_GB2312" w:hAnsi="Calibri" w:cs="宋体" w:hint="eastAsia"/>
                <w:color w:val="000000"/>
                <w:sz w:val="24"/>
              </w:rPr>
            </w:pPr>
            <w:r>
              <w:rPr>
                <w:rFonts w:ascii="仿宋_GB2312" w:eastAsia="仿宋_GB2312" w:hAnsi="Calibri" w:cs="宋体" w:hint="eastAsia"/>
                <w:color w:val="000000"/>
                <w:sz w:val="24"/>
              </w:rPr>
              <w:t>112,298,814.69</w:t>
            </w:r>
            <w:bookmarkStart w:id="0" w:name="_GoBack"/>
            <w:bookmarkEnd w:id="0"/>
          </w:p>
        </w:tc>
        <w:tc>
          <w:tcPr>
            <w:tcW w:w="2477" w:type="dxa"/>
            <w:vAlign w:val="center"/>
          </w:tcPr>
          <w:p w:rsidR="0066396B" w:rsidRPr="00A24F5F" w:rsidRDefault="00591036">
            <w:pPr>
              <w:jc w:val="center"/>
              <w:rPr>
                <w:rFonts w:ascii="仿宋_GB2312" w:eastAsia="仿宋_GB2312" w:hAnsi="Calibri" w:cs="宋体"/>
                <w:color w:val="000000"/>
                <w:sz w:val="24"/>
              </w:rPr>
            </w:pPr>
            <w:r>
              <w:rPr>
                <w:rFonts w:ascii="仿宋_GB2312" w:eastAsia="仿宋_GB2312" w:hAnsi="Calibri" w:cs="宋体"/>
                <w:color w:val="000000"/>
                <w:sz w:val="24"/>
              </w:rPr>
              <w:t>1.86</w:t>
            </w:r>
            <w:r w:rsidR="008D7E9F" w:rsidRPr="00A24F5F">
              <w:rPr>
                <w:rFonts w:ascii="仿宋_GB2312" w:eastAsia="仿宋_GB2312" w:hAnsi="Calibri" w:cs="宋体"/>
                <w:color w:val="000000"/>
                <w:sz w:val="24"/>
              </w:rPr>
              <w:t>%</w:t>
            </w:r>
          </w:p>
        </w:tc>
      </w:tr>
      <w:tr w:rsidR="0066396B">
        <w:tc>
          <w:tcPr>
            <w:tcW w:w="1281" w:type="dxa"/>
            <w:vAlign w:val="center"/>
          </w:tcPr>
          <w:p w:rsidR="0066396B" w:rsidRDefault="0066396B">
            <w:pPr>
              <w:jc w:val="center"/>
            </w:pPr>
          </w:p>
        </w:tc>
        <w:tc>
          <w:tcPr>
            <w:tcW w:w="2620" w:type="dxa"/>
            <w:vAlign w:val="center"/>
          </w:tcPr>
          <w:p w:rsidR="0066396B" w:rsidRDefault="008D7E9F">
            <w:pPr>
              <w:jc w:val="center"/>
            </w:pPr>
            <w:r>
              <w:rPr>
                <w:rFonts w:ascii="仿宋_GB2312" w:eastAsia="仿宋_GB2312" w:hAnsi="Calibri" w:cs="宋体"/>
                <w:color w:val="000000"/>
                <w:sz w:val="24"/>
              </w:rPr>
              <w:t>合计</w:t>
            </w:r>
          </w:p>
        </w:tc>
        <w:tc>
          <w:tcPr>
            <w:tcW w:w="2694" w:type="dxa"/>
            <w:vAlign w:val="center"/>
          </w:tcPr>
          <w:p w:rsidR="0066396B" w:rsidRDefault="008D7E9F">
            <w:pPr>
              <w:jc w:val="center"/>
            </w:pPr>
            <w:r>
              <w:rPr>
                <w:rFonts w:ascii="仿宋_GB2312" w:eastAsia="仿宋_GB2312" w:hAnsi="Calibri" w:cs="宋体"/>
                <w:color w:val="000000"/>
                <w:sz w:val="24"/>
              </w:rPr>
              <w:t>7,336,327,185.50</w:t>
            </w:r>
          </w:p>
        </w:tc>
        <w:tc>
          <w:tcPr>
            <w:tcW w:w="2477" w:type="dxa"/>
            <w:vAlign w:val="center"/>
          </w:tcPr>
          <w:p w:rsidR="0066396B" w:rsidRDefault="008D7E9F">
            <w:pPr>
              <w:jc w:val="center"/>
            </w:pPr>
            <w:r>
              <w:rPr>
                <w:rFonts w:ascii="仿宋_GB2312" w:eastAsia="仿宋_GB2312" w:hAnsi="Calibri" w:cs="宋体"/>
                <w:color w:val="000000"/>
                <w:sz w:val="24"/>
              </w:rPr>
              <w:t>121.65%</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3F3052" w:rsidRDefault="003F3052" w:rsidP="003F3052">
      <w:pPr>
        <w:spacing w:line="360" w:lineRule="auto"/>
        <w:ind w:firstLineChars="177" w:firstLine="425"/>
        <w:rPr>
          <w:rFonts w:ascii="仿宋_GB2312" w:eastAsia="仿宋_GB2312" w:hAnsi="Calibri"/>
          <w:sz w:val="24"/>
          <w:szCs w:val="24"/>
        </w:rPr>
      </w:pPr>
      <w:r>
        <w:rPr>
          <w:rFonts w:ascii="仿宋_GB2312" w:eastAsia="仿宋_GB2312" w:hint="eastAsia"/>
          <w:color w:val="000000"/>
          <w:kern w:val="0"/>
          <w:sz w:val="24"/>
          <w:szCs w:val="24"/>
        </w:rPr>
        <w:t>产品主要投资高等级信用债，投资策略为精选</w:t>
      </w:r>
      <w:proofErr w:type="gramStart"/>
      <w:r>
        <w:rPr>
          <w:rFonts w:ascii="仿宋_GB2312" w:eastAsia="仿宋_GB2312" w:hint="eastAsia"/>
          <w:color w:val="000000"/>
          <w:kern w:val="0"/>
          <w:sz w:val="24"/>
          <w:szCs w:val="24"/>
        </w:rPr>
        <w:t>极短久期中</w:t>
      </w:r>
      <w:proofErr w:type="gramEnd"/>
      <w:r>
        <w:rPr>
          <w:rFonts w:ascii="仿宋_GB2312" w:eastAsia="仿宋_GB2312" w:hint="eastAsia"/>
          <w:color w:val="000000"/>
          <w:kern w:val="0"/>
          <w:sz w:val="24"/>
          <w:szCs w:val="24"/>
        </w:rPr>
        <w:t>高评级债券购入并持有到期，搭配20-40%同业存单提高组合流动性，并适度使用杠杆提高组合收益水平。组合持仓综合评级较高、分散度高、流动性高，运行平稳，流动性风险低。</w:t>
      </w:r>
    </w:p>
    <w:p w:rsidR="00DE496A" w:rsidRPr="003F3052"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21中信银行CD160</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389,760,000.00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6.46%</w:t>
            </w:r>
          </w:p>
        </w:tc>
      </w:tr>
      <w:tr w:rsidR="0066396B">
        <w:tc>
          <w:tcPr>
            <w:tcW w:w="1139" w:type="dxa"/>
          </w:tcPr>
          <w:p w:rsidR="0066396B" w:rsidRDefault="008D7E9F">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21中信银行CD163</w:t>
            </w:r>
          </w:p>
        </w:tc>
        <w:tc>
          <w:tcPr>
            <w:tcW w:w="2835" w:type="dxa"/>
          </w:tcPr>
          <w:p w:rsidR="0066396B" w:rsidRDefault="008D7E9F">
            <w:pPr>
              <w:jc w:val="center"/>
            </w:pPr>
            <w:r>
              <w:rPr>
                <w:rFonts w:ascii="仿宋_GB2312" w:eastAsia="仿宋_GB2312" w:hAnsi="Calibri" w:cs="宋体"/>
                <w:color w:val="000000"/>
                <w:sz w:val="24"/>
              </w:rPr>
              <w:t>292,410,000.00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4.85%</w:t>
            </w:r>
          </w:p>
        </w:tc>
      </w:tr>
      <w:tr w:rsidR="0066396B">
        <w:tc>
          <w:tcPr>
            <w:tcW w:w="1139" w:type="dxa"/>
          </w:tcPr>
          <w:p w:rsidR="0066396B" w:rsidRDefault="008D7E9F">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21平安银行CD178</w:t>
            </w:r>
          </w:p>
        </w:tc>
        <w:tc>
          <w:tcPr>
            <w:tcW w:w="2835" w:type="dxa"/>
          </w:tcPr>
          <w:p w:rsidR="0066396B" w:rsidRDefault="008D7E9F">
            <w:pPr>
              <w:jc w:val="center"/>
            </w:pPr>
            <w:r>
              <w:rPr>
                <w:rFonts w:ascii="仿宋_GB2312" w:eastAsia="仿宋_GB2312" w:hAnsi="Calibri" w:cs="宋体"/>
                <w:color w:val="000000"/>
                <w:sz w:val="24"/>
              </w:rPr>
              <w:t>292,380,000.00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4.85%</w:t>
            </w:r>
          </w:p>
        </w:tc>
      </w:tr>
      <w:tr w:rsidR="0066396B">
        <w:tc>
          <w:tcPr>
            <w:tcW w:w="1139" w:type="dxa"/>
          </w:tcPr>
          <w:p w:rsidR="0066396B" w:rsidRDefault="008D7E9F">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21中信银行CD144</w:t>
            </w:r>
          </w:p>
        </w:tc>
        <w:tc>
          <w:tcPr>
            <w:tcW w:w="2835" w:type="dxa"/>
          </w:tcPr>
          <w:p w:rsidR="0066396B" w:rsidRDefault="008D7E9F">
            <w:pPr>
              <w:jc w:val="center"/>
            </w:pPr>
            <w:r>
              <w:rPr>
                <w:rFonts w:ascii="仿宋_GB2312" w:eastAsia="仿宋_GB2312" w:hAnsi="Calibri" w:cs="宋体"/>
                <w:color w:val="000000"/>
                <w:sz w:val="24"/>
              </w:rPr>
              <w:t>292,380,000.00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4.85%</w:t>
            </w:r>
          </w:p>
        </w:tc>
      </w:tr>
      <w:tr w:rsidR="0066396B">
        <w:tc>
          <w:tcPr>
            <w:tcW w:w="1139" w:type="dxa"/>
          </w:tcPr>
          <w:p w:rsidR="0066396B" w:rsidRDefault="008D7E9F">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22光大银行CD022</w:t>
            </w:r>
          </w:p>
        </w:tc>
        <w:tc>
          <w:tcPr>
            <w:tcW w:w="2835" w:type="dxa"/>
          </w:tcPr>
          <w:p w:rsidR="0066396B" w:rsidRDefault="008D7E9F">
            <w:pPr>
              <w:jc w:val="center"/>
            </w:pPr>
            <w:r>
              <w:rPr>
                <w:rFonts w:ascii="仿宋_GB2312" w:eastAsia="仿宋_GB2312" w:hAnsi="Calibri" w:cs="宋体"/>
                <w:color w:val="000000"/>
                <w:sz w:val="24"/>
              </w:rPr>
              <w:t>195,000,000.00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3.23%</w:t>
            </w:r>
          </w:p>
        </w:tc>
      </w:tr>
      <w:tr w:rsidR="0066396B">
        <w:tc>
          <w:tcPr>
            <w:tcW w:w="1139" w:type="dxa"/>
          </w:tcPr>
          <w:p w:rsidR="0066396B" w:rsidRDefault="008D7E9F">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21中国银行CD055</w:t>
            </w:r>
          </w:p>
        </w:tc>
        <w:tc>
          <w:tcPr>
            <w:tcW w:w="2835" w:type="dxa"/>
          </w:tcPr>
          <w:p w:rsidR="0066396B" w:rsidRDefault="008D7E9F">
            <w:pPr>
              <w:jc w:val="center"/>
            </w:pPr>
            <w:r>
              <w:rPr>
                <w:rFonts w:ascii="仿宋_GB2312" w:eastAsia="仿宋_GB2312" w:hAnsi="Calibri" w:cs="宋体"/>
                <w:color w:val="000000"/>
                <w:sz w:val="24"/>
              </w:rPr>
              <w:t>194,960,000.00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3.23%</w:t>
            </w:r>
          </w:p>
        </w:tc>
      </w:tr>
      <w:tr w:rsidR="0066396B">
        <w:tc>
          <w:tcPr>
            <w:tcW w:w="1139" w:type="dxa"/>
          </w:tcPr>
          <w:p w:rsidR="0066396B" w:rsidRDefault="008D7E9F">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21中信银行CD167</w:t>
            </w:r>
          </w:p>
        </w:tc>
        <w:tc>
          <w:tcPr>
            <w:tcW w:w="2835" w:type="dxa"/>
          </w:tcPr>
          <w:p w:rsidR="0066396B" w:rsidRDefault="008D7E9F">
            <w:pPr>
              <w:jc w:val="center"/>
            </w:pPr>
            <w:r>
              <w:rPr>
                <w:rFonts w:ascii="仿宋_GB2312" w:eastAsia="仿宋_GB2312" w:hAnsi="Calibri" w:cs="宋体"/>
                <w:color w:val="000000"/>
                <w:sz w:val="24"/>
              </w:rPr>
              <w:t>194,900,000.00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3.23%</w:t>
            </w:r>
          </w:p>
        </w:tc>
      </w:tr>
      <w:tr w:rsidR="0066396B">
        <w:tc>
          <w:tcPr>
            <w:tcW w:w="1139" w:type="dxa"/>
          </w:tcPr>
          <w:p w:rsidR="0066396B" w:rsidRDefault="008D7E9F">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21平安银行CD173</w:t>
            </w:r>
          </w:p>
        </w:tc>
        <w:tc>
          <w:tcPr>
            <w:tcW w:w="2835" w:type="dxa"/>
          </w:tcPr>
          <w:p w:rsidR="0066396B" w:rsidRDefault="008D7E9F">
            <w:pPr>
              <w:jc w:val="center"/>
            </w:pPr>
            <w:r>
              <w:rPr>
                <w:rFonts w:ascii="仿宋_GB2312" w:eastAsia="仿宋_GB2312" w:hAnsi="Calibri" w:cs="宋体"/>
                <w:color w:val="000000"/>
                <w:sz w:val="24"/>
              </w:rPr>
              <w:t>146,160,000.00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2.42%</w:t>
            </w:r>
          </w:p>
        </w:tc>
      </w:tr>
      <w:tr w:rsidR="0066396B">
        <w:tc>
          <w:tcPr>
            <w:tcW w:w="1139" w:type="dxa"/>
          </w:tcPr>
          <w:p w:rsidR="0066396B" w:rsidRDefault="008D7E9F">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21北稀高科MTN001</w:t>
            </w:r>
          </w:p>
        </w:tc>
        <w:tc>
          <w:tcPr>
            <w:tcW w:w="2835" w:type="dxa"/>
          </w:tcPr>
          <w:p w:rsidR="0066396B" w:rsidRDefault="008D7E9F">
            <w:pPr>
              <w:jc w:val="center"/>
            </w:pPr>
            <w:r>
              <w:rPr>
                <w:rFonts w:ascii="仿宋_GB2312" w:eastAsia="仿宋_GB2312" w:hAnsi="Calibri" w:cs="宋体"/>
                <w:color w:val="000000"/>
                <w:sz w:val="24"/>
              </w:rPr>
              <w:t>121,224,000.00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2.01%</w:t>
            </w:r>
          </w:p>
        </w:tc>
      </w:tr>
      <w:tr w:rsidR="0066396B">
        <w:tc>
          <w:tcPr>
            <w:tcW w:w="1139" w:type="dxa"/>
          </w:tcPr>
          <w:p w:rsidR="0066396B" w:rsidRDefault="008D7E9F">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21陕西金融SCP002</w:t>
            </w:r>
          </w:p>
        </w:tc>
        <w:tc>
          <w:tcPr>
            <w:tcW w:w="2835" w:type="dxa"/>
          </w:tcPr>
          <w:p w:rsidR="0066396B" w:rsidRDefault="008D7E9F">
            <w:pPr>
              <w:jc w:val="center"/>
            </w:pPr>
            <w:r>
              <w:rPr>
                <w:rFonts w:ascii="仿宋_GB2312" w:eastAsia="仿宋_GB2312" w:hAnsi="Calibri" w:cs="宋体"/>
                <w:color w:val="000000"/>
                <w:sz w:val="24"/>
              </w:rPr>
              <w:t>110,033,000.00</w:t>
            </w:r>
          </w:p>
        </w:tc>
        <w:tc>
          <w:tcPr>
            <w:tcW w:w="2835" w:type="dxa"/>
            <w:tcMar>
              <w:top w:w="15" w:type="dxa"/>
              <w:left w:w="15" w:type="dxa"/>
              <w:bottom w:w="0" w:type="dxa"/>
              <w:right w:w="15" w:type="dxa"/>
            </w:tcMar>
          </w:tcPr>
          <w:p w:rsidR="0066396B" w:rsidRDefault="008D7E9F">
            <w:pPr>
              <w:jc w:val="center"/>
            </w:pPr>
            <w:r>
              <w:rPr>
                <w:rFonts w:ascii="仿宋_GB2312" w:eastAsia="仿宋_GB2312" w:hAnsi="Calibri" w:cs="宋体"/>
                <w:color w:val="000000"/>
                <w:sz w:val="24"/>
              </w:rPr>
              <w:t>1.82%</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672" w:rsidRDefault="008B5672" w:rsidP="00E61C1A">
      <w:r>
        <w:separator/>
      </w:r>
    </w:p>
  </w:endnote>
  <w:endnote w:type="continuationSeparator" w:id="0">
    <w:p w:rsidR="008B5672" w:rsidRDefault="008B5672"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672" w:rsidRDefault="008B5672" w:rsidP="00E61C1A">
      <w:r>
        <w:separator/>
      </w:r>
    </w:p>
  </w:footnote>
  <w:footnote w:type="continuationSeparator" w:id="0">
    <w:p w:rsidR="008B5672" w:rsidRDefault="008B5672"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5AE9"/>
    <w:rsid w:val="00077F23"/>
    <w:rsid w:val="00130728"/>
    <w:rsid w:val="001814DB"/>
    <w:rsid w:val="00211495"/>
    <w:rsid w:val="00213ECF"/>
    <w:rsid w:val="00274D37"/>
    <w:rsid w:val="00367DBF"/>
    <w:rsid w:val="00380BE2"/>
    <w:rsid w:val="003F3052"/>
    <w:rsid w:val="003F480F"/>
    <w:rsid w:val="00400A77"/>
    <w:rsid w:val="0041011E"/>
    <w:rsid w:val="0041666B"/>
    <w:rsid w:val="0042245C"/>
    <w:rsid w:val="00442040"/>
    <w:rsid w:val="0048092C"/>
    <w:rsid w:val="004E272F"/>
    <w:rsid w:val="00564E1C"/>
    <w:rsid w:val="0058623B"/>
    <w:rsid w:val="00591036"/>
    <w:rsid w:val="005B0E63"/>
    <w:rsid w:val="006304A5"/>
    <w:rsid w:val="00634587"/>
    <w:rsid w:val="0066396B"/>
    <w:rsid w:val="006E00B8"/>
    <w:rsid w:val="007167B6"/>
    <w:rsid w:val="00781652"/>
    <w:rsid w:val="007D042E"/>
    <w:rsid w:val="007E2254"/>
    <w:rsid w:val="008579C9"/>
    <w:rsid w:val="008B5672"/>
    <w:rsid w:val="008D4921"/>
    <w:rsid w:val="008D7E9F"/>
    <w:rsid w:val="009027FB"/>
    <w:rsid w:val="0093653B"/>
    <w:rsid w:val="00973891"/>
    <w:rsid w:val="009B6B6E"/>
    <w:rsid w:val="009F0B98"/>
    <w:rsid w:val="00A24F5F"/>
    <w:rsid w:val="00A7331C"/>
    <w:rsid w:val="00A768E1"/>
    <w:rsid w:val="00B2798E"/>
    <w:rsid w:val="00B9403A"/>
    <w:rsid w:val="00BB17CD"/>
    <w:rsid w:val="00C01A06"/>
    <w:rsid w:val="00C2222B"/>
    <w:rsid w:val="00CA6A9F"/>
    <w:rsid w:val="00D170C5"/>
    <w:rsid w:val="00D37F3B"/>
    <w:rsid w:val="00D601E1"/>
    <w:rsid w:val="00DC25F6"/>
    <w:rsid w:val="00DD0D5E"/>
    <w:rsid w:val="00DE1F30"/>
    <w:rsid w:val="00DE496A"/>
    <w:rsid w:val="00E61C1A"/>
    <w:rsid w:val="00E63347"/>
    <w:rsid w:val="00F50E1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45A67"/>
  <w15:docId w15:val="{6807D665-A20C-4D22-AED9-E848E18A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1581021958">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2</cp:revision>
  <dcterms:created xsi:type="dcterms:W3CDTF">2022-04-14T02:49:00Z</dcterms:created>
  <dcterms:modified xsi:type="dcterms:W3CDTF">2022-04-14T02:49:00Z</dcterms:modified>
</cp:coreProperties>
</file>