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1A" w:rsidRDefault="00E61C1A" w:rsidP="00E61C1A">
      <w:pPr>
        <w:snapToGrid w:val="0"/>
        <w:spacing w:line="360" w:lineRule="auto"/>
        <w:jc w:val="center"/>
        <w:rPr>
          <w:rFonts w:ascii="仿宋_GB2312" w:eastAsia="仿宋_GB2312"/>
          <w:b/>
          <w:bCs/>
          <w:sz w:val="24"/>
          <w:szCs w:val="24"/>
          <w:vertAlign w:val="superscript"/>
        </w:rPr>
      </w:pPr>
      <w:r>
        <w:rPr>
          <w:rFonts w:ascii="仿宋_GB2312" w:eastAsia="仿宋_GB2312" w:hint="eastAsia"/>
          <w:b/>
          <w:bCs/>
          <w:color w:val="000000"/>
          <w:sz w:val="24"/>
          <w:szCs w:val="24"/>
        </w:rPr>
        <w:t>公募理财产品定期</w:t>
      </w:r>
      <w:r>
        <w:rPr>
          <w:rFonts w:ascii="仿宋_GB2312" w:eastAsia="仿宋_GB2312" w:hint="eastAsia"/>
          <w:b/>
          <w:bCs/>
          <w:sz w:val="24"/>
          <w:szCs w:val="24"/>
        </w:rPr>
        <w:t>报告</w:t>
      </w:r>
    </w:p>
    <w:p w:rsidR="00E61C1A" w:rsidRDefault="00E61C1A" w:rsidP="00E61C1A">
      <w:pPr>
        <w:snapToGrid w:val="0"/>
        <w:spacing w:line="360" w:lineRule="auto"/>
        <w:rPr>
          <w:rFonts w:ascii="仿宋_GB2312" w:eastAsia="仿宋_GB2312"/>
          <w:b/>
          <w:bCs/>
          <w:sz w:val="24"/>
          <w:szCs w:val="24"/>
          <w:vertAlign w:val="superscript"/>
        </w:rPr>
      </w:pPr>
      <w:r>
        <w:rPr>
          <w:rFonts w:ascii="仿宋_GB2312" w:eastAsia="仿宋_GB2312" w:hint="eastAsia"/>
          <w:b/>
          <w:sz w:val="24"/>
          <w:szCs w:val="24"/>
        </w:rPr>
        <w:t>1</w:t>
      </w:r>
      <w:r>
        <w:rPr>
          <w:rFonts w:hint="eastAsia"/>
          <w:b/>
          <w:sz w:val="24"/>
          <w:szCs w:val="24"/>
        </w:rPr>
        <w:t> </w:t>
      </w:r>
      <w:r>
        <w:rPr>
          <w:rFonts w:ascii="仿宋_GB2312" w:eastAsia="仿宋_GB2312" w:hint="eastAsia"/>
          <w:b/>
          <w:sz w:val="24"/>
          <w:szCs w:val="24"/>
        </w:rPr>
        <w:t>.重要提示</w:t>
      </w:r>
    </w:p>
    <w:tbl>
      <w:tblPr>
        <w:tblW w:w="9072" w:type="dxa"/>
        <w:tblBorders>
          <w:top w:val="single" w:sz="4"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72"/>
      </w:tblGrid>
      <w:tr w:rsidR="00E61C1A" w:rsidTr="00B00579">
        <w:trPr>
          <w:trHeight w:val="2514"/>
        </w:trPr>
        <w:tc>
          <w:tcPr>
            <w:tcW w:w="9072" w:type="dxa"/>
            <w:tcMar>
              <w:top w:w="0" w:type="dxa"/>
              <w:left w:w="108" w:type="dxa"/>
              <w:bottom w:w="0" w:type="dxa"/>
              <w:right w:w="108" w:type="dxa"/>
            </w:tcMar>
          </w:tcPr>
          <w:p w:rsidR="00F864D2"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产品管理人保证本报告所载资料不存在虚假记载、误导性陈述或重大遗漏，并对其内容的真实性、准确性和完整性负责。</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产品托管人上海浦东发展银行根据本产品合同规定，复核了本报告中的财务指标、净值表现、投资组合报告等内容，保证复核内容不存在虚假记载、误导性陈述或者重大遗漏。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产品管理人承诺以诚实信用、勤勉尽责的原则管理和运用产品资产，但不保证产品一定盈利。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产品的过往业绩并不代表其未来表现。投资有风险，投资者在做出投资决策前应仔细阅读本产品的销售文件。</w:t>
            </w:r>
          </w:p>
          <w:p w:rsidR="00E61C1A"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本报告中财务资料未经审计。</w:t>
            </w:r>
          </w:p>
        </w:tc>
      </w:tr>
    </w:tbl>
    <w:p w:rsidR="00E61C1A" w:rsidRDefault="00E61C1A" w:rsidP="00E61C1A">
      <w:pPr>
        <w:snapToGrid w:val="0"/>
        <w:spacing w:line="360" w:lineRule="auto"/>
        <w:rPr>
          <w:rFonts w:ascii="仿宋_GB2312" w:eastAsia="仿宋_GB2312"/>
          <w:b/>
          <w:sz w:val="24"/>
          <w:szCs w:val="24"/>
        </w:rPr>
      </w:pPr>
      <w:r>
        <w:rPr>
          <w:rFonts w:ascii="仿宋_GB2312" w:eastAsia="仿宋_GB2312" w:hint="eastAsia"/>
          <w:b/>
          <w:sz w:val="24"/>
          <w:szCs w:val="24"/>
        </w:rPr>
        <w:t>2.</w:t>
      </w:r>
      <w:r>
        <w:rPr>
          <w:rFonts w:ascii="仿宋_GB2312" w:eastAsia="仿宋_GB2312" w:hint="eastAsia"/>
          <w:b/>
          <w:sz w:val="24"/>
          <w:szCs w:val="24"/>
        </w:rPr>
        <w:t> </w:t>
      </w:r>
      <w:r>
        <w:rPr>
          <w:rFonts w:ascii="仿宋_GB2312" w:eastAsia="仿宋_GB2312" w:hint="eastAsia"/>
          <w:b/>
          <w:sz w:val="24"/>
          <w:szCs w:val="24"/>
        </w:rPr>
        <w:t>产品概况</w:t>
      </w:r>
    </w:p>
    <w:tbl>
      <w:tblPr>
        <w:tblW w:w="90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9"/>
        <w:gridCol w:w="4853"/>
      </w:tblGrid>
      <w:tr w:rsidR="00E61C1A" w:rsidTr="00B00579">
        <w:tc>
          <w:tcPr>
            <w:tcW w:w="4219" w:type="dxa"/>
            <w:tcMar>
              <w:top w:w="0" w:type="dxa"/>
              <w:left w:w="108" w:type="dxa"/>
              <w:bottom w:w="0" w:type="dxa"/>
              <w:right w:w="108" w:type="dxa"/>
            </w:tcMar>
            <w:vAlign w:val="center"/>
          </w:tcPr>
          <w:p w:rsidR="00E61C1A" w:rsidRDefault="00E61C1A" w:rsidP="00B00579">
            <w:pPr>
              <w:snapToGrid w:val="0"/>
              <w:spacing w:line="360" w:lineRule="auto"/>
              <w:ind w:firstLine="480"/>
              <w:jc w:val="center"/>
              <w:rPr>
                <w:rFonts w:ascii="仿宋_GB2312" w:eastAsia="仿宋_GB2312" w:hAnsi="Calibri" w:cs="宋体"/>
                <w:color w:val="FF0000"/>
                <w:sz w:val="24"/>
                <w:szCs w:val="24"/>
              </w:rPr>
            </w:pPr>
            <w:r w:rsidRPr="009106D5">
              <w:rPr>
                <w:rFonts w:ascii="仿宋_GB2312" w:eastAsia="仿宋_GB2312" w:hAnsiTheme="minorEastAsia" w:hint="eastAsia"/>
                <w:kern w:val="0"/>
                <w:sz w:val="24"/>
                <w:szCs w:val="24"/>
              </w:rPr>
              <w:t>产品名称</w:t>
            </w:r>
          </w:p>
        </w:tc>
        <w:tc>
          <w:tcPr>
            <w:tcW w:w="4853" w:type="dxa"/>
            <w:tcMar>
              <w:top w:w="0" w:type="dxa"/>
              <w:left w:w="108" w:type="dxa"/>
              <w:bottom w:w="0" w:type="dxa"/>
              <w:right w:w="108" w:type="dxa"/>
            </w:tcMar>
            <w:vAlign w:val="center"/>
          </w:tcPr>
          <w:p w:rsidR="00E61C1A" w:rsidRDefault="001814DB" w:rsidP="00B00579">
            <w:pPr>
              <w:snapToGrid w:val="0"/>
              <w:spacing w:line="360" w:lineRule="auto"/>
              <w:jc w:val="center"/>
              <w:rPr>
                <w:rFonts w:ascii="仿宋_GB2312" w:eastAsia="仿宋_GB2312" w:hAnsi="Calibri" w:cs="宋体"/>
                <w:color w:val="000000"/>
                <w:sz w:val="24"/>
                <w:szCs w:val="24"/>
              </w:rPr>
            </w:pPr>
            <w:r>
              <w:rPr>
                <w:rFonts w:ascii="仿宋_GB2312" w:eastAsia="仿宋_GB2312" w:hAnsi="Calibri" w:cs="宋体"/>
                <w:color w:val="000000"/>
                <w:sz w:val="24"/>
                <w:szCs w:val="24"/>
              </w:rPr>
              <w:t>浦发银行浦天同盈1号理财计划</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产品代码</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olor w:val="000000"/>
                <w:kern w:val="0"/>
                <w:sz w:val="24"/>
                <w:szCs w:val="24"/>
              </w:rPr>
            </w:pPr>
            <w:r>
              <w:rPr>
                <w:rFonts w:ascii="仿宋_GB2312" w:eastAsia="仿宋_GB2312" w:hAnsi="Calibri" w:cs="宋体"/>
                <w:color w:val="000000"/>
                <w:sz w:val="24"/>
                <w:szCs w:val="24"/>
              </w:rPr>
              <w:t>2301182210(销售代码:2301192009/2301192007)</w:t>
            </w:r>
          </w:p>
        </w:tc>
      </w:tr>
      <w:tr w:rsidR="00E61C1A" w:rsidTr="00B00579">
        <w:tblPrEx>
          <w:tblBorders>
            <w:top w:val="none" w:sz="0"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产品登记编码</w:t>
            </w:r>
            <w:r w:rsidRPr="009106D5">
              <w:rPr>
                <w:rStyle w:val="a9"/>
                <w:rFonts w:ascii="仿宋_GB2312" w:eastAsia="仿宋_GB2312" w:hAnsiTheme="minorEastAsia"/>
                <w:kern w:val="0"/>
                <w:sz w:val="24"/>
                <w:szCs w:val="24"/>
              </w:rPr>
              <w:footnoteReference w:id="1"/>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C1031018B000029</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产品类型</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固定收益类</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产品成立日</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2019-04-25</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报告期末产品份额总额</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17,534,599,035.49</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报告期末产品杠杆水平</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104.34%</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业绩比较基准</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 xml:space="preserve">2301192009-A : </w:t>
            </w:r>
            <w:r w:rsidR="00C55E0E">
              <w:rPr>
                <w:rFonts w:ascii="仿宋_GB2312" w:eastAsia="仿宋_GB2312" w:hAnsi="Calibri" w:cs="宋体" w:hint="eastAsia"/>
                <w:kern w:val="0"/>
                <w:sz w:val="24"/>
                <w:szCs w:val="24"/>
              </w:rPr>
              <w:t>7天通知存款利率</w:t>
            </w:r>
            <w:r>
              <w:rPr>
                <w:rFonts w:ascii="仿宋_GB2312" w:eastAsia="仿宋_GB2312" w:hAnsi="Calibri" w:cs="宋体"/>
                <w:color w:val="000000"/>
                <w:sz w:val="24"/>
                <w:szCs w:val="24"/>
              </w:rPr>
              <w:br/>
              <w:t xml:space="preserve">2301192007-A : </w:t>
            </w:r>
            <w:r w:rsidR="00C55E0E">
              <w:rPr>
                <w:rFonts w:ascii="仿宋_GB2312" w:eastAsia="仿宋_GB2312" w:hAnsi="Calibri" w:cs="宋体" w:hint="eastAsia"/>
                <w:kern w:val="0"/>
                <w:sz w:val="24"/>
                <w:szCs w:val="24"/>
              </w:rPr>
              <w:t>7天通知存款利率+浮动基准</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风险等级</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较低风险</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产品管理人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ind w:firstLineChars="100" w:firstLine="240"/>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上海浦东发展银行</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产品托管人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 xml:space="preserve">  上海浦东发展银行</w:t>
            </w:r>
          </w:p>
        </w:tc>
      </w:tr>
    </w:tbl>
    <w:p w:rsidR="00E61C1A" w:rsidRDefault="00E61C1A" w:rsidP="00E61C1A">
      <w:pPr>
        <w:rPr>
          <w:rFonts w:ascii="仿宋_GB2312" w:eastAsia="仿宋_GB2312" w:hAnsi="Calibri"/>
          <w:sz w:val="24"/>
          <w:szCs w:val="24"/>
        </w:rPr>
      </w:pPr>
    </w:p>
    <w:p w:rsidR="004E272F" w:rsidRDefault="004E272F" w:rsidP="004E272F">
      <w:pPr>
        <w:snapToGrid w:val="0"/>
        <w:spacing w:line="360" w:lineRule="auto"/>
        <w:rPr>
          <w:rFonts w:ascii="仿宋_GB2312" w:eastAsia="仿宋_GB2312"/>
          <w:b/>
          <w:sz w:val="24"/>
          <w:szCs w:val="24"/>
        </w:rPr>
      </w:pPr>
      <w:r>
        <w:rPr>
          <w:rFonts w:ascii="仿宋_GB2312" w:eastAsia="仿宋_GB2312" w:hint="eastAsia"/>
          <w:b/>
          <w:sz w:val="24"/>
          <w:szCs w:val="24"/>
        </w:rPr>
        <w:lastRenderedPageBreak/>
        <w:t>3</w:t>
      </w:r>
      <w:r w:rsidRPr="004E272F">
        <w:rPr>
          <w:rFonts w:ascii="仿宋_GB2312" w:eastAsia="仿宋_GB2312"/>
          <w:b/>
          <w:sz w:val="24"/>
          <w:szCs w:val="24"/>
        </w:rPr>
        <w:t>.</w:t>
      </w:r>
      <w:r>
        <w:rPr>
          <w:rFonts w:ascii="仿宋_GB2312" w:eastAsia="仿宋_GB2312" w:hint="eastAsia"/>
          <w:b/>
          <w:sz w:val="24"/>
          <w:szCs w:val="24"/>
        </w:rPr>
        <w:t>产品净值表现</w:t>
      </w:r>
    </w:p>
    <w:p w:rsidR="004E272F" w:rsidRDefault="004E272F" w:rsidP="004E272F">
      <w:pPr>
        <w:snapToGrid w:val="0"/>
        <w:spacing w:line="360" w:lineRule="auto"/>
        <w:ind w:firstLine="482"/>
        <w:rPr>
          <w:rFonts w:ascii="仿宋_GB2312" w:eastAsia="仿宋_GB2312"/>
          <w:b/>
          <w:bCs/>
          <w:sz w:val="24"/>
          <w:szCs w:val="24"/>
        </w:rPr>
      </w:pPr>
      <w:r>
        <w:rPr>
          <w:rFonts w:ascii="仿宋_GB2312" w:eastAsia="仿宋_GB2312" w:hint="eastAsia"/>
          <w:b/>
          <w:bCs/>
          <w:sz w:val="24"/>
          <w:szCs w:val="24"/>
        </w:rPr>
        <w:t>3.1 净值表现</w:t>
      </w:r>
    </w:p>
    <w:p w:rsidR="004E272F" w:rsidRPr="00B9403A" w:rsidRDefault="004E272F" w:rsidP="004E272F">
      <w:pPr>
        <w:snapToGrid w:val="0"/>
        <w:spacing w:line="360" w:lineRule="auto"/>
        <w:ind w:left="5143" w:hanging="5143"/>
        <w:rPr>
          <w:rFonts w:ascii="仿宋_GB2312" w:eastAsia="仿宋_GB2312"/>
          <w:sz w:val="24"/>
          <w:szCs w:val="24"/>
        </w:rPr>
      </w:pPr>
      <w:r>
        <w:rPr>
          <w:sz w:val="24"/>
          <w:szCs w:val="24"/>
        </w:rPr>
        <w:t xml:space="preserve">                                                                               </w:t>
      </w:r>
      <w:r>
        <w:rPr>
          <w:sz w:val="24"/>
          <w:szCs w:val="24"/>
        </w:rPr>
        <w:t>单位：人民币</w:t>
      </w:r>
      <w:r>
        <w:rPr>
          <w:sz w:val="24"/>
          <w:szCs w:val="24"/>
        </w:rPr>
        <w:t>(CNY)</w:t>
      </w:r>
    </w:p>
    <w:tbl>
      <w:tblPr>
        <w:tblStyle w:val="ab"/>
        <w:tblW w:w="9072" w:type="dxa"/>
        <w:tblLayout w:type="fixed"/>
        <w:tblLook w:val="04A0" w:firstRow="1" w:lastRow="0" w:firstColumn="1" w:lastColumn="0" w:noHBand="0" w:noVBand="1"/>
      </w:tblPr>
      <w:tblGrid>
        <w:gridCol w:w="4361"/>
        <w:gridCol w:w="4711"/>
      </w:tblGrid>
      <w:tr w:rsidR="004E272F" w:rsidTr="00B00579">
        <w:tc>
          <w:tcPr>
            <w:tcW w:w="4361" w:type="dxa"/>
          </w:tcPr>
          <w:p w:rsidR="004E272F" w:rsidRDefault="004E272F" w:rsidP="004E272F">
            <w:pPr>
              <w:pStyle w:val="aa"/>
              <w:snapToGrid w:val="0"/>
              <w:spacing w:before="0" w:beforeAutospacing="0" w:after="0" w:afterAutospacing="0" w:line="360" w:lineRule="auto"/>
              <w:ind w:firstLineChars="200" w:firstLine="480"/>
              <w:jc w:val="center"/>
              <w:rPr>
                <w:rFonts w:ascii="仿宋_GB2312" w:eastAsia="仿宋_GB2312"/>
                <w:kern w:val="2"/>
              </w:rPr>
            </w:pPr>
            <w:r>
              <w:rPr>
                <w:rFonts w:ascii="仿宋_GB2312" w:eastAsia="仿宋_GB2312" w:hint="eastAsia"/>
                <w:kern w:val="2"/>
              </w:rPr>
              <w:t>产品净值表现</w:t>
            </w:r>
          </w:p>
        </w:tc>
        <w:tc>
          <w:tcPr>
            <w:tcW w:w="4711" w:type="dxa"/>
          </w:tcPr>
          <w:p w:rsidR="004E272F" w:rsidRDefault="004E272F" w:rsidP="00B00579">
            <w:pPr>
              <w:snapToGrid w:val="0"/>
              <w:spacing w:line="360" w:lineRule="auto"/>
              <w:ind w:firstLineChars="200" w:firstLine="480"/>
              <w:jc w:val="center"/>
              <w:rPr>
                <w:rFonts w:ascii="仿宋_GB2312" w:eastAsia="仿宋_GB2312" w:hAnsi="Calibri" w:cs="宋体"/>
                <w:color w:val="000000"/>
                <w:sz w:val="24"/>
                <w:szCs w:val="24"/>
              </w:rPr>
            </w:pPr>
            <w:bookmarkStart w:id="0" w:name="_GoBack"/>
            <w:r>
              <w:rPr>
                <w:rFonts w:ascii="仿宋_GB2312" w:eastAsia="仿宋_GB2312" w:hint="eastAsia"/>
                <w:color w:val="000000"/>
                <w:sz w:val="24"/>
                <w:szCs w:val="24"/>
              </w:rPr>
              <w:t>报告期（2021-</w:t>
            </w:r>
            <w:r w:rsidR="00C7699C">
              <w:rPr>
                <w:rFonts w:ascii="仿宋_GB2312" w:eastAsia="仿宋_GB2312" w:hint="eastAsia"/>
                <w:color w:val="000000"/>
                <w:sz w:val="24"/>
                <w:szCs w:val="24"/>
              </w:rPr>
              <w:t>01</w:t>
            </w:r>
            <w:r>
              <w:rPr>
                <w:rFonts w:ascii="仿宋_GB2312" w:eastAsia="仿宋_GB2312" w:hint="eastAsia"/>
                <w:color w:val="000000"/>
                <w:sz w:val="24"/>
                <w:szCs w:val="24"/>
              </w:rPr>
              <w:t>-01至2021-12-31）</w:t>
            </w:r>
            <w:bookmarkEnd w:id="0"/>
          </w:p>
        </w:tc>
      </w:tr>
      <w:tr w:rsidR="004E272F" w:rsidTr="00B00579">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1.期末产品资产净值</w:t>
            </w:r>
          </w:p>
        </w:tc>
        <w:tc>
          <w:tcPr>
            <w:tcW w:w="4711" w:type="dxa"/>
          </w:tcPr>
          <w:p w:rsidR="004E272F" w:rsidRDefault="00367DBF" w:rsidP="00781652">
            <w:pPr>
              <w:snapToGrid w:val="0"/>
              <w:spacing w:line="360" w:lineRule="auto"/>
              <w:jc w:val="left"/>
              <w:rPr>
                <w:rFonts w:ascii="仿宋_GB2312" w:eastAsia="仿宋_GB2312" w:hAnsi="Calibri" w:cs="宋体"/>
                <w:color w:val="000000"/>
                <w:sz w:val="24"/>
                <w:szCs w:val="24"/>
              </w:rPr>
            </w:pPr>
            <w:r>
              <w:rPr>
                <w:rFonts w:ascii="仿宋_GB2312" w:eastAsia="仿宋_GB2312" w:hAnsi="Calibri" w:cs="宋体"/>
                <w:color w:val="000000"/>
                <w:sz w:val="24"/>
                <w:szCs w:val="24"/>
              </w:rPr>
              <w:t>2301192007-A : 16,871,313,460.24</w:t>
            </w:r>
            <w:r>
              <w:rPr>
                <w:rFonts w:ascii="仿宋_GB2312" w:eastAsia="仿宋_GB2312" w:hAnsi="Calibri" w:cs="宋体"/>
                <w:color w:val="000000"/>
                <w:sz w:val="24"/>
                <w:szCs w:val="24"/>
              </w:rPr>
              <w:br/>
              <w:t>2301192009-A : 663,285,575.25</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2.期末产品份额净值</w:t>
            </w:r>
          </w:p>
        </w:tc>
        <w:tc>
          <w:tcPr>
            <w:tcW w:w="4711" w:type="dxa"/>
          </w:tcPr>
          <w:p w:rsidR="004E272F" w:rsidRDefault="00367DBF"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1.0000</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3.期末产品份额累计净值</w:t>
            </w:r>
          </w:p>
        </w:tc>
        <w:tc>
          <w:tcPr>
            <w:tcW w:w="4711" w:type="dxa"/>
          </w:tcPr>
          <w:p w:rsidR="004E272F" w:rsidRDefault="00130728"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w:t>
            </w:r>
          </w:p>
        </w:tc>
      </w:tr>
      <w:tr w:rsidR="004E272F" w:rsidTr="00B00579">
        <w:trPr>
          <w:trHeight w:val="158"/>
        </w:trPr>
        <w:tc>
          <w:tcPr>
            <w:tcW w:w="4361" w:type="dxa"/>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4</w:t>
            </w:r>
            <w:r w:rsidRPr="00B2798E">
              <w:rPr>
                <w:rFonts w:ascii="仿宋_GB2312" w:eastAsia="仿宋_GB2312"/>
                <w:kern w:val="2"/>
              </w:rPr>
              <w:t>.</w:t>
            </w:r>
            <w:r w:rsidR="004E272F">
              <w:rPr>
                <w:rFonts w:ascii="仿宋_GB2312" w:eastAsia="仿宋_GB2312" w:hint="eastAsia"/>
                <w:kern w:val="2"/>
              </w:rPr>
              <w:t>每万份收益</w:t>
            </w:r>
          </w:p>
        </w:tc>
        <w:tc>
          <w:tcPr>
            <w:tcW w:w="4711" w:type="dxa"/>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2301192007-A : 0.6301</w:t>
            </w:r>
            <w:r>
              <w:rPr>
                <w:rFonts w:ascii="仿宋_GB2312" w:eastAsia="仿宋_GB2312" w:hAnsi="Calibri" w:cs="宋体"/>
                <w:color w:val="000000"/>
                <w:sz w:val="24"/>
                <w:szCs w:val="24"/>
              </w:rPr>
              <w:br/>
              <w:t>2301192009-A : 0.6331</w:t>
            </w:r>
          </w:p>
        </w:tc>
      </w:tr>
    </w:tbl>
    <w:tbl>
      <w:tblPr>
        <w:tblW w:w="90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4711"/>
      </w:tblGrid>
      <w:tr w:rsidR="004E272F" w:rsidTr="00B00579">
        <w:trPr>
          <w:trHeight w:val="158"/>
        </w:trPr>
        <w:tc>
          <w:tcPr>
            <w:tcW w:w="4361" w:type="dxa"/>
            <w:tcMar>
              <w:top w:w="0" w:type="dxa"/>
              <w:left w:w="108" w:type="dxa"/>
              <w:bottom w:w="0" w:type="dxa"/>
              <w:right w:w="108" w:type="dxa"/>
            </w:tcMar>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5</w:t>
            </w:r>
            <w:r w:rsidRPr="00B2798E">
              <w:rPr>
                <w:rFonts w:ascii="仿宋_GB2312" w:eastAsia="仿宋_GB2312"/>
                <w:kern w:val="2"/>
              </w:rPr>
              <w:t>.</w:t>
            </w:r>
            <w:proofErr w:type="gramStart"/>
            <w:r w:rsidR="004E272F">
              <w:rPr>
                <w:rFonts w:ascii="仿宋_GB2312" w:eastAsia="仿宋_GB2312" w:hint="eastAsia"/>
                <w:kern w:val="2"/>
              </w:rPr>
              <w:t>七日年化收益率</w:t>
            </w:r>
            <w:proofErr w:type="gramEnd"/>
          </w:p>
        </w:tc>
        <w:tc>
          <w:tcPr>
            <w:tcW w:w="4711" w:type="dxa"/>
            <w:tcMar>
              <w:top w:w="0" w:type="dxa"/>
              <w:left w:w="108" w:type="dxa"/>
              <w:bottom w:w="0" w:type="dxa"/>
              <w:right w:w="108" w:type="dxa"/>
            </w:tcMar>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2301192007-A : 2.6620%</w:t>
            </w:r>
            <w:r>
              <w:rPr>
                <w:rFonts w:ascii="仿宋_GB2312" w:eastAsia="仿宋_GB2312" w:hAnsi="Calibri" w:cs="宋体"/>
                <w:color w:val="000000"/>
                <w:sz w:val="24"/>
                <w:szCs w:val="24"/>
              </w:rPr>
              <w:br/>
              <w:t>2301192009-A : 2.7060%</w:t>
            </w:r>
          </w:p>
        </w:tc>
      </w:tr>
    </w:tbl>
    <w:p w:rsidR="00564E1C" w:rsidRDefault="00564E1C" w:rsidP="00564E1C">
      <w:pPr>
        <w:snapToGrid w:val="0"/>
        <w:spacing w:line="360" w:lineRule="auto"/>
        <w:rPr>
          <w:rFonts w:ascii="仿宋_GB2312" w:eastAsia="仿宋_GB2312"/>
          <w:b/>
          <w:sz w:val="24"/>
          <w:szCs w:val="24"/>
        </w:rPr>
      </w:pPr>
      <w:r>
        <w:rPr>
          <w:rFonts w:ascii="仿宋_GB2312" w:eastAsia="仿宋_GB2312" w:hint="eastAsia"/>
          <w:b/>
          <w:sz w:val="24"/>
          <w:szCs w:val="24"/>
        </w:rPr>
        <w:t>4.投资组合报告</w:t>
      </w:r>
    </w:p>
    <w:p w:rsidR="00564E1C" w:rsidRDefault="00564E1C" w:rsidP="00564E1C">
      <w:pPr>
        <w:spacing w:line="360" w:lineRule="auto"/>
        <w:ind w:firstLine="482"/>
        <w:rPr>
          <w:rFonts w:ascii="仿宋_GB2312" w:eastAsia="仿宋_GB2312"/>
          <w:b/>
          <w:bCs/>
          <w:sz w:val="24"/>
          <w:szCs w:val="24"/>
        </w:rPr>
      </w:pPr>
      <w:r>
        <w:rPr>
          <w:rFonts w:ascii="仿宋_GB2312" w:eastAsia="仿宋_GB2312" w:hint="eastAsia"/>
          <w:b/>
          <w:bCs/>
          <w:sz w:val="24"/>
          <w:szCs w:val="24"/>
        </w:rPr>
        <w:t>4.1 报告期末产品资产组合情况</w:t>
      </w:r>
    </w:p>
    <w:p w:rsidR="00564E1C" w:rsidRPr="00FD1998" w:rsidRDefault="00564E1C" w:rsidP="00564E1C">
      <w:pPr>
        <w:rPr>
          <w:rFonts w:ascii="仿宋_GB2312" w:eastAsia="仿宋_GB2312" w:hAnsi="Calibr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620"/>
        <w:gridCol w:w="2694"/>
        <w:gridCol w:w="2477"/>
      </w:tblGrid>
      <w:tr w:rsidR="00564E1C" w:rsidTr="00B00579">
        <w:trPr>
          <w:trHeight w:val="415"/>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序号</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项目</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金额（元）</w:t>
            </w:r>
          </w:p>
        </w:tc>
        <w:tc>
          <w:tcPr>
            <w:tcW w:w="2477"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占产品资产净值比例</w:t>
            </w:r>
          </w:p>
        </w:tc>
      </w:tr>
      <w:tr w:rsidR="00564E1C" w:rsidRPr="00BE0BA1" w:rsidTr="00B00579">
        <w:trPr>
          <w:trHeight w:val="20"/>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银行存款</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706,603,917.82</w:t>
            </w:r>
          </w:p>
        </w:tc>
        <w:tc>
          <w:tcPr>
            <w:tcW w:w="2477" w:type="dxa"/>
            <w:vAlign w:val="center"/>
          </w:tcPr>
          <w:p w:rsidR="00564E1C" w:rsidRPr="00BE0BA1"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4.03%</w:t>
            </w:r>
          </w:p>
        </w:tc>
      </w:tr>
      <w:tr w:rsidR="00045667">
        <w:tc>
          <w:tcPr>
            <w:tcW w:w="1281" w:type="dxa"/>
            <w:vAlign w:val="center"/>
          </w:tcPr>
          <w:p w:rsidR="00045667" w:rsidRDefault="0061160C">
            <w:pPr>
              <w:jc w:val="center"/>
            </w:pPr>
            <w:r>
              <w:rPr>
                <w:rFonts w:ascii="仿宋_GB2312" w:eastAsia="仿宋_GB2312" w:hAnsi="Calibri" w:cs="宋体"/>
                <w:color w:val="000000"/>
                <w:sz w:val="24"/>
              </w:rPr>
              <w:t>2</w:t>
            </w:r>
          </w:p>
        </w:tc>
        <w:tc>
          <w:tcPr>
            <w:tcW w:w="2620" w:type="dxa"/>
            <w:vAlign w:val="center"/>
          </w:tcPr>
          <w:p w:rsidR="00045667" w:rsidRDefault="0061160C">
            <w:pPr>
              <w:jc w:val="center"/>
            </w:pPr>
            <w:r>
              <w:rPr>
                <w:rFonts w:ascii="仿宋_GB2312" w:eastAsia="仿宋_GB2312" w:hAnsi="Calibri" w:cs="宋体"/>
                <w:color w:val="000000"/>
                <w:sz w:val="24"/>
              </w:rPr>
              <w:t>债券投资</w:t>
            </w:r>
          </w:p>
        </w:tc>
        <w:tc>
          <w:tcPr>
            <w:tcW w:w="2694" w:type="dxa"/>
            <w:vAlign w:val="center"/>
          </w:tcPr>
          <w:p w:rsidR="00045667" w:rsidRDefault="0061160C">
            <w:pPr>
              <w:jc w:val="center"/>
            </w:pPr>
            <w:r>
              <w:rPr>
                <w:rFonts w:ascii="仿宋_GB2312" w:eastAsia="仿宋_GB2312" w:hAnsi="Calibri" w:cs="宋体"/>
                <w:color w:val="000000"/>
                <w:sz w:val="24"/>
              </w:rPr>
              <w:t>12,749,271,726.93</w:t>
            </w:r>
          </w:p>
        </w:tc>
        <w:tc>
          <w:tcPr>
            <w:tcW w:w="2477" w:type="dxa"/>
            <w:vAlign w:val="center"/>
          </w:tcPr>
          <w:p w:rsidR="00045667" w:rsidRDefault="0061160C">
            <w:pPr>
              <w:jc w:val="center"/>
            </w:pPr>
            <w:r>
              <w:rPr>
                <w:rFonts w:ascii="仿宋_GB2312" w:eastAsia="仿宋_GB2312" w:hAnsi="Calibri" w:cs="宋体"/>
                <w:color w:val="000000"/>
                <w:sz w:val="24"/>
              </w:rPr>
              <w:t>72.71%</w:t>
            </w:r>
          </w:p>
        </w:tc>
      </w:tr>
      <w:tr w:rsidR="00045667">
        <w:tc>
          <w:tcPr>
            <w:tcW w:w="1281" w:type="dxa"/>
            <w:vAlign w:val="center"/>
          </w:tcPr>
          <w:p w:rsidR="00045667" w:rsidRDefault="0061160C">
            <w:pPr>
              <w:jc w:val="center"/>
            </w:pPr>
            <w:r>
              <w:rPr>
                <w:rFonts w:ascii="仿宋_GB2312" w:eastAsia="仿宋_GB2312" w:hAnsi="Calibri" w:cs="宋体"/>
                <w:color w:val="000000"/>
                <w:sz w:val="24"/>
              </w:rPr>
              <w:t>3</w:t>
            </w:r>
          </w:p>
        </w:tc>
        <w:tc>
          <w:tcPr>
            <w:tcW w:w="2620" w:type="dxa"/>
            <w:vAlign w:val="center"/>
          </w:tcPr>
          <w:p w:rsidR="00045667" w:rsidRDefault="0061160C">
            <w:pPr>
              <w:jc w:val="center"/>
            </w:pPr>
            <w:r>
              <w:rPr>
                <w:rFonts w:ascii="仿宋_GB2312" w:eastAsia="仿宋_GB2312" w:hAnsi="Calibri" w:cs="宋体"/>
                <w:color w:val="000000"/>
                <w:sz w:val="24"/>
              </w:rPr>
              <w:t>资产支持证券投资</w:t>
            </w:r>
          </w:p>
        </w:tc>
        <w:tc>
          <w:tcPr>
            <w:tcW w:w="2694" w:type="dxa"/>
            <w:vAlign w:val="center"/>
          </w:tcPr>
          <w:p w:rsidR="00045667" w:rsidRDefault="0061160C">
            <w:pPr>
              <w:jc w:val="center"/>
            </w:pPr>
            <w:r>
              <w:rPr>
                <w:rFonts w:ascii="仿宋_GB2312" w:eastAsia="仿宋_GB2312" w:hAnsi="Calibri" w:cs="宋体"/>
                <w:color w:val="000000"/>
                <w:sz w:val="24"/>
              </w:rPr>
              <w:t>1,546,000,000.00</w:t>
            </w:r>
          </w:p>
        </w:tc>
        <w:tc>
          <w:tcPr>
            <w:tcW w:w="2477" w:type="dxa"/>
            <w:vAlign w:val="center"/>
          </w:tcPr>
          <w:p w:rsidR="00045667" w:rsidRDefault="0061160C">
            <w:pPr>
              <w:jc w:val="center"/>
            </w:pPr>
            <w:r>
              <w:rPr>
                <w:rFonts w:ascii="仿宋_GB2312" w:eastAsia="仿宋_GB2312" w:hAnsi="Calibri" w:cs="宋体"/>
                <w:color w:val="000000"/>
                <w:sz w:val="24"/>
              </w:rPr>
              <w:t>8.82%</w:t>
            </w:r>
          </w:p>
        </w:tc>
      </w:tr>
      <w:tr w:rsidR="00045667">
        <w:tc>
          <w:tcPr>
            <w:tcW w:w="1281" w:type="dxa"/>
            <w:vAlign w:val="center"/>
          </w:tcPr>
          <w:p w:rsidR="00045667" w:rsidRDefault="0061160C">
            <w:pPr>
              <w:jc w:val="center"/>
            </w:pPr>
            <w:r>
              <w:rPr>
                <w:rFonts w:ascii="仿宋_GB2312" w:eastAsia="仿宋_GB2312" w:hAnsi="Calibri" w:cs="宋体"/>
                <w:color w:val="000000"/>
                <w:sz w:val="24"/>
              </w:rPr>
              <w:t>4</w:t>
            </w:r>
          </w:p>
        </w:tc>
        <w:tc>
          <w:tcPr>
            <w:tcW w:w="2620" w:type="dxa"/>
            <w:vAlign w:val="center"/>
          </w:tcPr>
          <w:p w:rsidR="00045667" w:rsidRDefault="0061160C">
            <w:pPr>
              <w:jc w:val="center"/>
            </w:pPr>
            <w:r>
              <w:rPr>
                <w:rFonts w:ascii="仿宋_GB2312" w:eastAsia="仿宋_GB2312" w:hAnsi="Calibri" w:cs="宋体"/>
                <w:color w:val="000000"/>
                <w:sz w:val="24"/>
              </w:rPr>
              <w:t>信托计划</w:t>
            </w:r>
          </w:p>
        </w:tc>
        <w:tc>
          <w:tcPr>
            <w:tcW w:w="2694" w:type="dxa"/>
            <w:vAlign w:val="center"/>
          </w:tcPr>
          <w:p w:rsidR="00045667" w:rsidRDefault="0061160C">
            <w:pPr>
              <w:jc w:val="center"/>
            </w:pPr>
            <w:r>
              <w:rPr>
                <w:rFonts w:ascii="仿宋_GB2312" w:eastAsia="仿宋_GB2312" w:hAnsi="Calibri" w:cs="宋体"/>
                <w:color w:val="000000"/>
                <w:sz w:val="24"/>
              </w:rPr>
              <w:t>-</w:t>
            </w:r>
          </w:p>
        </w:tc>
        <w:tc>
          <w:tcPr>
            <w:tcW w:w="2477" w:type="dxa"/>
            <w:vAlign w:val="center"/>
          </w:tcPr>
          <w:p w:rsidR="00045667" w:rsidRDefault="0061160C">
            <w:pPr>
              <w:jc w:val="center"/>
            </w:pPr>
            <w:r>
              <w:rPr>
                <w:rFonts w:ascii="仿宋_GB2312" w:eastAsia="仿宋_GB2312" w:hAnsi="Calibri" w:cs="宋体"/>
                <w:color w:val="000000"/>
                <w:sz w:val="24"/>
              </w:rPr>
              <w:t>-</w:t>
            </w:r>
          </w:p>
        </w:tc>
      </w:tr>
      <w:tr w:rsidR="00045667">
        <w:tc>
          <w:tcPr>
            <w:tcW w:w="1281" w:type="dxa"/>
            <w:vAlign w:val="center"/>
          </w:tcPr>
          <w:p w:rsidR="00045667" w:rsidRDefault="0061160C">
            <w:pPr>
              <w:jc w:val="center"/>
            </w:pPr>
            <w:r>
              <w:rPr>
                <w:rFonts w:ascii="仿宋_GB2312" w:eastAsia="仿宋_GB2312" w:hAnsi="Calibri" w:cs="宋体"/>
                <w:color w:val="000000"/>
                <w:sz w:val="24"/>
              </w:rPr>
              <w:t>5</w:t>
            </w:r>
          </w:p>
        </w:tc>
        <w:tc>
          <w:tcPr>
            <w:tcW w:w="2620" w:type="dxa"/>
            <w:vAlign w:val="center"/>
          </w:tcPr>
          <w:p w:rsidR="00045667" w:rsidRDefault="0061160C">
            <w:pPr>
              <w:jc w:val="center"/>
            </w:pPr>
            <w:r>
              <w:rPr>
                <w:rFonts w:ascii="仿宋_GB2312" w:eastAsia="仿宋_GB2312" w:hAnsi="Calibri" w:cs="宋体"/>
                <w:color w:val="000000"/>
                <w:sz w:val="24"/>
              </w:rPr>
              <w:t>资产管理计划</w:t>
            </w:r>
          </w:p>
        </w:tc>
        <w:tc>
          <w:tcPr>
            <w:tcW w:w="2694" w:type="dxa"/>
            <w:vAlign w:val="center"/>
          </w:tcPr>
          <w:p w:rsidR="00045667" w:rsidRDefault="0061160C">
            <w:pPr>
              <w:jc w:val="center"/>
            </w:pPr>
            <w:r>
              <w:rPr>
                <w:rFonts w:ascii="仿宋_GB2312" w:eastAsia="仿宋_GB2312" w:hAnsi="Calibri" w:cs="宋体"/>
                <w:color w:val="000000"/>
                <w:sz w:val="24"/>
              </w:rPr>
              <w:t>-</w:t>
            </w:r>
          </w:p>
        </w:tc>
        <w:tc>
          <w:tcPr>
            <w:tcW w:w="2477" w:type="dxa"/>
            <w:vAlign w:val="center"/>
          </w:tcPr>
          <w:p w:rsidR="00045667" w:rsidRDefault="0061160C">
            <w:pPr>
              <w:jc w:val="center"/>
            </w:pPr>
            <w:r>
              <w:rPr>
                <w:rFonts w:ascii="仿宋_GB2312" w:eastAsia="仿宋_GB2312" w:hAnsi="Calibri" w:cs="宋体"/>
                <w:color w:val="000000"/>
                <w:sz w:val="24"/>
              </w:rPr>
              <w:t>-</w:t>
            </w:r>
          </w:p>
        </w:tc>
      </w:tr>
      <w:tr w:rsidR="00045667">
        <w:tc>
          <w:tcPr>
            <w:tcW w:w="1281" w:type="dxa"/>
            <w:vAlign w:val="center"/>
          </w:tcPr>
          <w:p w:rsidR="00045667" w:rsidRDefault="0061160C">
            <w:pPr>
              <w:jc w:val="center"/>
            </w:pPr>
            <w:r>
              <w:rPr>
                <w:rFonts w:ascii="仿宋_GB2312" w:eastAsia="仿宋_GB2312" w:hAnsi="Calibri" w:cs="宋体"/>
                <w:color w:val="000000"/>
                <w:sz w:val="24"/>
              </w:rPr>
              <w:t>6</w:t>
            </w:r>
          </w:p>
        </w:tc>
        <w:tc>
          <w:tcPr>
            <w:tcW w:w="2620" w:type="dxa"/>
            <w:vAlign w:val="center"/>
          </w:tcPr>
          <w:p w:rsidR="00045667" w:rsidRDefault="0061160C">
            <w:pPr>
              <w:jc w:val="center"/>
            </w:pPr>
            <w:r>
              <w:rPr>
                <w:rFonts w:ascii="仿宋_GB2312" w:eastAsia="仿宋_GB2312" w:hAnsi="Calibri" w:cs="宋体"/>
                <w:color w:val="000000"/>
                <w:sz w:val="24"/>
              </w:rPr>
              <w:t>净值类资产管理计划</w:t>
            </w:r>
          </w:p>
        </w:tc>
        <w:tc>
          <w:tcPr>
            <w:tcW w:w="2694" w:type="dxa"/>
            <w:vAlign w:val="center"/>
          </w:tcPr>
          <w:p w:rsidR="00045667" w:rsidRDefault="0061160C">
            <w:pPr>
              <w:jc w:val="center"/>
            </w:pPr>
            <w:r>
              <w:rPr>
                <w:rFonts w:ascii="仿宋_GB2312" w:eastAsia="仿宋_GB2312" w:hAnsi="Calibri" w:cs="宋体"/>
                <w:color w:val="000000"/>
                <w:sz w:val="24"/>
              </w:rPr>
              <w:t>-</w:t>
            </w:r>
          </w:p>
        </w:tc>
        <w:tc>
          <w:tcPr>
            <w:tcW w:w="2477" w:type="dxa"/>
            <w:vAlign w:val="center"/>
          </w:tcPr>
          <w:p w:rsidR="00045667" w:rsidRDefault="0061160C">
            <w:pPr>
              <w:jc w:val="center"/>
            </w:pPr>
            <w:r>
              <w:rPr>
                <w:rFonts w:ascii="仿宋_GB2312" w:eastAsia="仿宋_GB2312" w:hAnsi="Calibri" w:cs="宋体"/>
                <w:color w:val="000000"/>
                <w:sz w:val="24"/>
              </w:rPr>
              <w:t>-</w:t>
            </w:r>
          </w:p>
        </w:tc>
      </w:tr>
      <w:tr w:rsidR="00045667">
        <w:tc>
          <w:tcPr>
            <w:tcW w:w="1281" w:type="dxa"/>
            <w:vAlign w:val="center"/>
          </w:tcPr>
          <w:p w:rsidR="00045667" w:rsidRDefault="0061160C">
            <w:pPr>
              <w:jc w:val="center"/>
            </w:pPr>
            <w:r>
              <w:rPr>
                <w:rFonts w:ascii="仿宋_GB2312" w:eastAsia="仿宋_GB2312" w:hAnsi="Calibri" w:cs="宋体"/>
                <w:color w:val="000000"/>
                <w:sz w:val="24"/>
              </w:rPr>
              <w:t>7</w:t>
            </w:r>
          </w:p>
        </w:tc>
        <w:tc>
          <w:tcPr>
            <w:tcW w:w="2620" w:type="dxa"/>
            <w:vAlign w:val="center"/>
          </w:tcPr>
          <w:p w:rsidR="00045667" w:rsidRDefault="0061160C">
            <w:pPr>
              <w:jc w:val="center"/>
            </w:pPr>
            <w:r>
              <w:rPr>
                <w:rFonts w:ascii="仿宋_GB2312" w:eastAsia="仿宋_GB2312" w:hAnsi="Calibri" w:cs="宋体"/>
                <w:color w:val="000000"/>
                <w:sz w:val="24"/>
              </w:rPr>
              <w:t>资金拆出</w:t>
            </w:r>
          </w:p>
        </w:tc>
        <w:tc>
          <w:tcPr>
            <w:tcW w:w="2694" w:type="dxa"/>
            <w:vAlign w:val="center"/>
          </w:tcPr>
          <w:p w:rsidR="00045667" w:rsidRDefault="0061160C">
            <w:pPr>
              <w:jc w:val="center"/>
            </w:pPr>
            <w:r>
              <w:rPr>
                <w:rFonts w:ascii="仿宋_GB2312" w:eastAsia="仿宋_GB2312" w:hAnsi="Calibri" w:cs="宋体"/>
                <w:color w:val="000000"/>
                <w:sz w:val="24"/>
              </w:rPr>
              <w:t>260,000,000.00</w:t>
            </w:r>
          </w:p>
        </w:tc>
        <w:tc>
          <w:tcPr>
            <w:tcW w:w="2477" w:type="dxa"/>
            <w:vAlign w:val="center"/>
          </w:tcPr>
          <w:p w:rsidR="00045667" w:rsidRDefault="0061160C">
            <w:pPr>
              <w:jc w:val="center"/>
            </w:pPr>
            <w:r>
              <w:rPr>
                <w:rFonts w:ascii="仿宋_GB2312" w:eastAsia="仿宋_GB2312" w:hAnsi="Calibri" w:cs="宋体"/>
                <w:color w:val="000000"/>
                <w:sz w:val="24"/>
              </w:rPr>
              <w:t>1.48%</w:t>
            </w:r>
          </w:p>
        </w:tc>
      </w:tr>
      <w:tr w:rsidR="00045667">
        <w:tc>
          <w:tcPr>
            <w:tcW w:w="1281" w:type="dxa"/>
            <w:vAlign w:val="center"/>
          </w:tcPr>
          <w:p w:rsidR="00045667" w:rsidRDefault="0061160C">
            <w:pPr>
              <w:jc w:val="center"/>
            </w:pPr>
            <w:r>
              <w:rPr>
                <w:rFonts w:ascii="仿宋_GB2312" w:eastAsia="仿宋_GB2312" w:hAnsi="Calibri" w:cs="宋体"/>
                <w:color w:val="000000"/>
                <w:sz w:val="24"/>
              </w:rPr>
              <w:t>8</w:t>
            </w:r>
          </w:p>
        </w:tc>
        <w:tc>
          <w:tcPr>
            <w:tcW w:w="2620" w:type="dxa"/>
            <w:vAlign w:val="center"/>
          </w:tcPr>
          <w:p w:rsidR="00045667" w:rsidRDefault="0061160C">
            <w:pPr>
              <w:jc w:val="center"/>
            </w:pPr>
            <w:r>
              <w:rPr>
                <w:rFonts w:ascii="仿宋_GB2312" w:eastAsia="仿宋_GB2312" w:hAnsi="Calibri" w:cs="宋体"/>
                <w:color w:val="000000"/>
                <w:sz w:val="24"/>
              </w:rPr>
              <w:t>结算备付金</w:t>
            </w:r>
          </w:p>
        </w:tc>
        <w:tc>
          <w:tcPr>
            <w:tcW w:w="2694" w:type="dxa"/>
            <w:vAlign w:val="center"/>
          </w:tcPr>
          <w:p w:rsidR="00045667" w:rsidRDefault="0061160C">
            <w:pPr>
              <w:jc w:val="center"/>
            </w:pPr>
            <w:r>
              <w:rPr>
                <w:rFonts w:ascii="仿宋_GB2312" w:eastAsia="仿宋_GB2312" w:hAnsi="Calibri" w:cs="宋体"/>
                <w:color w:val="000000"/>
                <w:sz w:val="24"/>
              </w:rPr>
              <w:t>-</w:t>
            </w:r>
          </w:p>
        </w:tc>
        <w:tc>
          <w:tcPr>
            <w:tcW w:w="2477" w:type="dxa"/>
            <w:vAlign w:val="center"/>
          </w:tcPr>
          <w:p w:rsidR="00045667" w:rsidRDefault="0061160C">
            <w:pPr>
              <w:jc w:val="center"/>
            </w:pPr>
            <w:r>
              <w:rPr>
                <w:rFonts w:ascii="仿宋_GB2312" w:eastAsia="仿宋_GB2312" w:hAnsi="Calibri" w:cs="宋体"/>
                <w:color w:val="000000"/>
                <w:sz w:val="24"/>
              </w:rPr>
              <w:t>-</w:t>
            </w:r>
          </w:p>
        </w:tc>
      </w:tr>
      <w:tr w:rsidR="00045667">
        <w:tc>
          <w:tcPr>
            <w:tcW w:w="1281" w:type="dxa"/>
            <w:vAlign w:val="center"/>
          </w:tcPr>
          <w:p w:rsidR="00045667" w:rsidRDefault="0061160C">
            <w:pPr>
              <w:jc w:val="center"/>
            </w:pPr>
            <w:r>
              <w:rPr>
                <w:rFonts w:ascii="仿宋_GB2312" w:eastAsia="仿宋_GB2312" w:hAnsi="Calibri" w:cs="宋体"/>
                <w:color w:val="000000"/>
                <w:sz w:val="24"/>
              </w:rPr>
              <w:t>9</w:t>
            </w:r>
          </w:p>
        </w:tc>
        <w:tc>
          <w:tcPr>
            <w:tcW w:w="2620" w:type="dxa"/>
            <w:vAlign w:val="center"/>
          </w:tcPr>
          <w:p w:rsidR="00045667" w:rsidRDefault="0061160C">
            <w:pPr>
              <w:jc w:val="center"/>
            </w:pPr>
            <w:r>
              <w:rPr>
                <w:rFonts w:ascii="仿宋_GB2312" w:eastAsia="仿宋_GB2312" w:hAnsi="Calibri" w:cs="宋体"/>
                <w:color w:val="000000"/>
                <w:sz w:val="24"/>
              </w:rPr>
              <w:t>买入返售金融资产</w:t>
            </w:r>
          </w:p>
        </w:tc>
        <w:tc>
          <w:tcPr>
            <w:tcW w:w="2694" w:type="dxa"/>
            <w:vAlign w:val="center"/>
          </w:tcPr>
          <w:p w:rsidR="00045667" w:rsidRDefault="0061160C">
            <w:pPr>
              <w:jc w:val="center"/>
            </w:pPr>
            <w:r>
              <w:rPr>
                <w:rFonts w:ascii="仿宋_GB2312" w:eastAsia="仿宋_GB2312" w:hAnsi="Calibri" w:cs="宋体"/>
                <w:color w:val="000000"/>
                <w:sz w:val="24"/>
              </w:rPr>
              <w:t>2,910,183,401.07</w:t>
            </w:r>
          </w:p>
        </w:tc>
        <w:tc>
          <w:tcPr>
            <w:tcW w:w="2477" w:type="dxa"/>
            <w:vAlign w:val="center"/>
          </w:tcPr>
          <w:p w:rsidR="00045667" w:rsidRDefault="0061160C">
            <w:pPr>
              <w:jc w:val="center"/>
            </w:pPr>
            <w:r>
              <w:rPr>
                <w:rFonts w:ascii="仿宋_GB2312" w:eastAsia="仿宋_GB2312" w:hAnsi="Calibri" w:cs="宋体"/>
                <w:color w:val="000000"/>
                <w:sz w:val="24"/>
              </w:rPr>
              <w:t>16.60%</w:t>
            </w:r>
          </w:p>
        </w:tc>
      </w:tr>
      <w:tr w:rsidR="00045667">
        <w:tc>
          <w:tcPr>
            <w:tcW w:w="1281" w:type="dxa"/>
            <w:vAlign w:val="center"/>
          </w:tcPr>
          <w:p w:rsidR="00045667" w:rsidRDefault="0061160C">
            <w:pPr>
              <w:jc w:val="center"/>
            </w:pPr>
            <w:r>
              <w:rPr>
                <w:rFonts w:ascii="仿宋_GB2312" w:eastAsia="仿宋_GB2312" w:hAnsi="Calibri" w:cs="宋体"/>
                <w:color w:val="000000"/>
                <w:sz w:val="24"/>
              </w:rPr>
              <w:t>10</w:t>
            </w:r>
          </w:p>
        </w:tc>
        <w:tc>
          <w:tcPr>
            <w:tcW w:w="2620" w:type="dxa"/>
            <w:vAlign w:val="center"/>
          </w:tcPr>
          <w:p w:rsidR="00045667" w:rsidRDefault="0061160C">
            <w:pPr>
              <w:jc w:val="center"/>
            </w:pPr>
            <w:r>
              <w:rPr>
                <w:rFonts w:ascii="仿宋_GB2312" w:eastAsia="仿宋_GB2312" w:hAnsi="Calibri" w:cs="宋体"/>
                <w:color w:val="000000"/>
                <w:sz w:val="24"/>
              </w:rPr>
              <w:t>其他资产</w:t>
            </w:r>
          </w:p>
        </w:tc>
        <w:tc>
          <w:tcPr>
            <w:tcW w:w="2694" w:type="dxa"/>
            <w:vAlign w:val="center"/>
          </w:tcPr>
          <w:p w:rsidR="00045667" w:rsidRDefault="0061160C">
            <w:pPr>
              <w:jc w:val="center"/>
            </w:pPr>
            <w:r>
              <w:rPr>
                <w:rFonts w:ascii="仿宋_GB2312" w:eastAsia="仿宋_GB2312" w:hAnsi="Calibri" w:cs="宋体"/>
                <w:color w:val="000000"/>
                <w:sz w:val="24"/>
              </w:rPr>
              <w:t>29,349.75</w:t>
            </w:r>
          </w:p>
        </w:tc>
        <w:tc>
          <w:tcPr>
            <w:tcW w:w="2477" w:type="dxa"/>
            <w:vAlign w:val="center"/>
          </w:tcPr>
          <w:p w:rsidR="00045667" w:rsidRDefault="0061160C">
            <w:pPr>
              <w:jc w:val="center"/>
            </w:pPr>
            <w:r>
              <w:rPr>
                <w:rFonts w:ascii="仿宋_GB2312" w:eastAsia="仿宋_GB2312" w:hAnsi="Calibri" w:cs="宋体"/>
                <w:color w:val="000000"/>
                <w:sz w:val="24"/>
              </w:rPr>
              <w:t>0.00%</w:t>
            </w:r>
          </w:p>
        </w:tc>
      </w:tr>
      <w:tr w:rsidR="00045667">
        <w:tc>
          <w:tcPr>
            <w:tcW w:w="1281" w:type="dxa"/>
            <w:vAlign w:val="center"/>
          </w:tcPr>
          <w:p w:rsidR="00045667" w:rsidRDefault="0061160C">
            <w:pPr>
              <w:jc w:val="center"/>
            </w:pPr>
            <w:r>
              <w:rPr>
                <w:rFonts w:ascii="仿宋_GB2312" w:eastAsia="仿宋_GB2312" w:hAnsi="Calibri" w:cs="宋体"/>
                <w:color w:val="000000"/>
                <w:sz w:val="24"/>
              </w:rPr>
              <w:t>11</w:t>
            </w:r>
          </w:p>
        </w:tc>
        <w:tc>
          <w:tcPr>
            <w:tcW w:w="2620" w:type="dxa"/>
            <w:vAlign w:val="center"/>
          </w:tcPr>
          <w:p w:rsidR="00045667" w:rsidRDefault="0061160C">
            <w:pPr>
              <w:jc w:val="center"/>
            </w:pPr>
            <w:r>
              <w:rPr>
                <w:rFonts w:ascii="仿宋_GB2312" w:eastAsia="仿宋_GB2312" w:hAnsi="Calibri" w:cs="宋体"/>
                <w:color w:val="000000"/>
                <w:sz w:val="24"/>
              </w:rPr>
              <w:t>应收利息</w:t>
            </w:r>
          </w:p>
        </w:tc>
        <w:tc>
          <w:tcPr>
            <w:tcW w:w="2694" w:type="dxa"/>
            <w:vAlign w:val="center"/>
          </w:tcPr>
          <w:p w:rsidR="00045667" w:rsidRDefault="0061160C">
            <w:pPr>
              <w:jc w:val="center"/>
            </w:pPr>
            <w:r>
              <w:rPr>
                <w:rFonts w:ascii="仿宋_GB2312" w:eastAsia="仿宋_GB2312" w:hAnsi="Calibri" w:cs="宋体"/>
                <w:color w:val="000000"/>
                <w:sz w:val="24"/>
              </w:rPr>
              <w:t>123,714,929.47</w:t>
            </w:r>
          </w:p>
        </w:tc>
        <w:tc>
          <w:tcPr>
            <w:tcW w:w="2477" w:type="dxa"/>
            <w:vAlign w:val="center"/>
          </w:tcPr>
          <w:p w:rsidR="00045667" w:rsidRDefault="0061160C">
            <w:pPr>
              <w:jc w:val="center"/>
            </w:pPr>
            <w:r>
              <w:rPr>
                <w:rFonts w:ascii="仿宋_GB2312" w:eastAsia="仿宋_GB2312" w:hAnsi="Calibri" w:cs="宋体"/>
                <w:color w:val="000000"/>
                <w:sz w:val="24"/>
              </w:rPr>
              <w:t>0.71%</w:t>
            </w:r>
          </w:p>
        </w:tc>
      </w:tr>
      <w:tr w:rsidR="00045667">
        <w:tc>
          <w:tcPr>
            <w:tcW w:w="1281" w:type="dxa"/>
            <w:vAlign w:val="center"/>
          </w:tcPr>
          <w:p w:rsidR="00045667" w:rsidRDefault="00045667">
            <w:pPr>
              <w:jc w:val="center"/>
            </w:pPr>
          </w:p>
        </w:tc>
        <w:tc>
          <w:tcPr>
            <w:tcW w:w="2620" w:type="dxa"/>
            <w:vAlign w:val="center"/>
          </w:tcPr>
          <w:p w:rsidR="00045667" w:rsidRDefault="0061160C">
            <w:pPr>
              <w:jc w:val="center"/>
            </w:pPr>
            <w:r>
              <w:rPr>
                <w:rFonts w:ascii="仿宋_GB2312" w:eastAsia="仿宋_GB2312" w:hAnsi="Calibri" w:cs="宋体"/>
                <w:color w:val="000000"/>
                <w:sz w:val="24"/>
              </w:rPr>
              <w:t>合计</w:t>
            </w:r>
          </w:p>
        </w:tc>
        <w:tc>
          <w:tcPr>
            <w:tcW w:w="2694" w:type="dxa"/>
            <w:vAlign w:val="center"/>
          </w:tcPr>
          <w:p w:rsidR="00045667" w:rsidRDefault="0061160C">
            <w:pPr>
              <w:jc w:val="center"/>
            </w:pPr>
            <w:r>
              <w:rPr>
                <w:rFonts w:ascii="仿宋_GB2312" w:eastAsia="仿宋_GB2312" w:hAnsi="Calibri" w:cs="宋体"/>
                <w:color w:val="000000"/>
                <w:sz w:val="24"/>
              </w:rPr>
              <w:t>18,295,803,325.04</w:t>
            </w:r>
          </w:p>
        </w:tc>
        <w:tc>
          <w:tcPr>
            <w:tcW w:w="2477" w:type="dxa"/>
            <w:vAlign w:val="center"/>
          </w:tcPr>
          <w:p w:rsidR="00045667" w:rsidRDefault="0061160C">
            <w:pPr>
              <w:jc w:val="center"/>
            </w:pPr>
            <w:r>
              <w:rPr>
                <w:rFonts w:ascii="仿宋_GB2312" w:eastAsia="仿宋_GB2312" w:hAnsi="Calibri" w:cs="宋体"/>
                <w:color w:val="000000"/>
                <w:sz w:val="24"/>
              </w:rPr>
              <w:t>104.34%</w:t>
            </w:r>
          </w:p>
        </w:tc>
      </w:tr>
    </w:tbl>
    <w:p w:rsidR="00DE496A" w:rsidRDefault="00DE496A" w:rsidP="00DE496A">
      <w:pPr>
        <w:spacing w:line="360" w:lineRule="auto"/>
        <w:ind w:firstLine="482"/>
        <w:rPr>
          <w:rFonts w:ascii="仿宋_GB2312" w:eastAsia="仿宋_GB2312" w:hAnsi="Calibri"/>
          <w:sz w:val="24"/>
          <w:szCs w:val="24"/>
        </w:rPr>
      </w:pPr>
      <w:r w:rsidRPr="00756460">
        <w:rPr>
          <w:rFonts w:ascii="仿宋_GB2312" w:eastAsia="仿宋_GB2312" w:hint="eastAsia"/>
          <w:b/>
          <w:bCs/>
          <w:sz w:val="24"/>
          <w:szCs w:val="24"/>
        </w:rPr>
        <w:t>4.2 报告期内产品投资策略和组合流动性风险分析</w:t>
      </w:r>
    </w:p>
    <w:p w:rsidR="00DE496A" w:rsidRDefault="009F19FF" w:rsidP="009F19FF">
      <w:pPr>
        <w:ind w:firstLineChars="200" w:firstLine="480"/>
        <w:rPr>
          <w:rFonts w:ascii="仿宋_GB2312" w:eastAsia="仿宋_GB2312" w:hAnsi="Calibri"/>
          <w:sz w:val="24"/>
          <w:szCs w:val="24"/>
        </w:rPr>
      </w:pPr>
      <w:r w:rsidRPr="00ED3A26">
        <w:rPr>
          <w:rFonts w:ascii="仿宋_GB2312" w:eastAsia="仿宋_GB2312" w:hAnsi="Calibri" w:hint="eastAsia"/>
          <w:sz w:val="24"/>
          <w:szCs w:val="24"/>
        </w:rPr>
        <w:t>投资策略以配置</w:t>
      </w:r>
      <w:proofErr w:type="gramStart"/>
      <w:r w:rsidRPr="00ED3A26">
        <w:rPr>
          <w:rFonts w:ascii="仿宋_GB2312" w:eastAsia="仿宋_GB2312" w:hAnsi="Calibri" w:hint="eastAsia"/>
          <w:sz w:val="24"/>
          <w:szCs w:val="24"/>
        </w:rPr>
        <w:t>短久期</w:t>
      </w:r>
      <w:proofErr w:type="gramEnd"/>
      <w:r w:rsidRPr="00ED3A26">
        <w:rPr>
          <w:rFonts w:ascii="仿宋_GB2312" w:eastAsia="仿宋_GB2312" w:hAnsi="Calibri" w:hint="eastAsia"/>
          <w:sz w:val="24"/>
          <w:szCs w:val="24"/>
        </w:rPr>
        <w:t>的银行同业存单以及中</w:t>
      </w:r>
      <w:proofErr w:type="gramStart"/>
      <w:r w:rsidRPr="00ED3A26">
        <w:rPr>
          <w:rFonts w:ascii="仿宋_GB2312" w:eastAsia="仿宋_GB2312" w:hAnsi="Calibri" w:hint="eastAsia"/>
          <w:sz w:val="24"/>
          <w:szCs w:val="24"/>
        </w:rPr>
        <w:t>短久期</w:t>
      </w:r>
      <w:proofErr w:type="gramEnd"/>
      <w:r w:rsidRPr="00ED3A26">
        <w:rPr>
          <w:rFonts w:ascii="仿宋_GB2312" w:eastAsia="仿宋_GB2312" w:hAnsi="Calibri" w:hint="eastAsia"/>
          <w:sz w:val="24"/>
          <w:szCs w:val="24"/>
        </w:rPr>
        <w:t>的高等级信用</w:t>
      </w:r>
      <w:proofErr w:type="gramStart"/>
      <w:r w:rsidRPr="00ED3A26">
        <w:rPr>
          <w:rFonts w:ascii="仿宋_GB2312" w:eastAsia="仿宋_GB2312" w:hAnsi="Calibri" w:hint="eastAsia"/>
          <w:sz w:val="24"/>
          <w:szCs w:val="24"/>
        </w:rPr>
        <w:t>债为主</w:t>
      </w:r>
      <w:proofErr w:type="gramEnd"/>
      <w:r w:rsidRPr="00ED3A26">
        <w:rPr>
          <w:rFonts w:ascii="仿宋_GB2312" w:eastAsia="仿宋_GB2312" w:hAnsi="Calibri" w:hint="eastAsia"/>
          <w:sz w:val="24"/>
          <w:szCs w:val="24"/>
        </w:rPr>
        <w:t>,政策金融债为辅,严格控制</w:t>
      </w:r>
      <w:proofErr w:type="gramStart"/>
      <w:r w:rsidRPr="00ED3A26">
        <w:rPr>
          <w:rFonts w:ascii="仿宋_GB2312" w:eastAsia="仿宋_GB2312" w:hAnsi="Calibri" w:hint="eastAsia"/>
          <w:sz w:val="24"/>
          <w:szCs w:val="24"/>
        </w:rPr>
        <w:t>组合久期及</w:t>
      </w:r>
      <w:proofErr w:type="gramEnd"/>
      <w:r w:rsidRPr="00ED3A26">
        <w:rPr>
          <w:rFonts w:ascii="仿宋_GB2312" w:eastAsia="仿宋_GB2312" w:hAnsi="Calibri" w:hint="eastAsia"/>
          <w:sz w:val="24"/>
          <w:szCs w:val="24"/>
        </w:rPr>
        <w:t>杠杆率,保持产品中高流动性资产占比不低于40%,“资管新规”要求“现金类资产”保持在5%以上。</w:t>
      </w:r>
    </w:p>
    <w:p w:rsidR="00DE496A" w:rsidRDefault="00DE496A" w:rsidP="00DE496A">
      <w:pPr>
        <w:spacing w:line="360" w:lineRule="auto"/>
        <w:ind w:firstLineChars="200" w:firstLine="482"/>
        <w:rPr>
          <w:rFonts w:ascii="仿宋_GB2312" w:eastAsia="仿宋_GB2312" w:hAnsiTheme="minorEastAsia"/>
          <w:b/>
          <w:bCs/>
          <w:sz w:val="24"/>
          <w:szCs w:val="24"/>
        </w:rPr>
      </w:pPr>
      <w:r>
        <w:rPr>
          <w:rFonts w:ascii="仿宋_GB2312" w:eastAsia="仿宋_GB2312" w:hAnsiTheme="minorEastAsia"/>
          <w:b/>
          <w:bCs/>
          <w:sz w:val="24"/>
          <w:szCs w:val="24"/>
        </w:rPr>
        <w:t>4.3报告期末占比前十项资产明细</w:t>
      </w:r>
    </w:p>
    <w:tbl>
      <w:tblPr>
        <w:tblW w:w="90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9"/>
        <w:gridCol w:w="2268"/>
        <w:gridCol w:w="2835"/>
        <w:gridCol w:w="2835"/>
      </w:tblGrid>
      <w:tr w:rsidR="00DE496A" w:rsidTr="00B00579">
        <w:trPr>
          <w:trHeight w:val="296"/>
        </w:trPr>
        <w:tc>
          <w:tcPr>
            <w:tcW w:w="1139" w:type="dxa"/>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lastRenderedPageBreak/>
              <w:t>序号</w:t>
            </w:r>
          </w:p>
        </w:tc>
        <w:tc>
          <w:tcPr>
            <w:tcW w:w="2268" w:type="dxa"/>
            <w:tcMar>
              <w:top w:w="15" w:type="dxa"/>
              <w:left w:w="15" w:type="dxa"/>
              <w:bottom w:w="0" w:type="dxa"/>
              <w:right w:w="15" w:type="dxa"/>
            </w:tcMar>
            <w:vAlign w:val="center"/>
          </w:tcPr>
          <w:p w:rsidR="00DE496A" w:rsidRDefault="00DE496A" w:rsidP="00B00579">
            <w:pPr>
              <w:pStyle w:val="xl33"/>
              <w:widowControl w:val="0"/>
              <w:pBdr>
                <w:left w:val="none" w:sz="0" w:space="0" w:color="auto"/>
                <w:bottom w:val="none" w:sz="0" w:space="0" w:color="auto"/>
                <w:right w:val="none" w:sz="0" w:space="0" w:color="auto"/>
              </w:pBdr>
              <w:adjustRightInd w:val="0"/>
              <w:snapToGrid w:val="0"/>
              <w:spacing w:before="0" w:beforeAutospacing="0" w:after="0" w:afterAutospacing="0" w:line="360" w:lineRule="auto"/>
              <w:rPr>
                <w:rFonts w:ascii="仿宋_GB2312" w:eastAsia="仿宋_GB2312" w:hAnsiTheme="minorEastAsia" w:cs="Times New Roman"/>
                <w:color w:val="000000"/>
                <w:kern w:val="2"/>
              </w:rPr>
            </w:pPr>
            <w:r>
              <w:rPr>
                <w:rFonts w:ascii="仿宋_GB2312" w:eastAsia="仿宋_GB2312" w:hAnsiTheme="minorEastAsia" w:cs="Times New Roman" w:hint="eastAsia"/>
                <w:color w:val="000000"/>
                <w:kern w:val="2"/>
              </w:rPr>
              <w:t>资产名称</w:t>
            </w:r>
          </w:p>
        </w:tc>
        <w:tc>
          <w:tcPr>
            <w:tcW w:w="2835"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资产规模</w:t>
            </w:r>
          </w:p>
        </w:tc>
        <w:tc>
          <w:tcPr>
            <w:tcW w:w="2835" w:type="dxa"/>
            <w:tcMar>
              <w:top w:w="15" w:type="dxa"/>
              <w:left w:w="15" w:type="dxa"/>
              <w:bottom w:w="0" w:type="dxa"/>
              <w:right w:w="15" w:type="dxa"/>
            </w:tcMar>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占产品资产净值比例</w:t>
            </w:r>
          </w:p>
        </w:tc>
      </w:tr>
      <w:tr w:rsidR="00DE496A" w:rsidTr="00B00579">
        <w:trPr>
          <w:trHeight w:val="296"/>
        </w:trPr>
        <w:tc>
          <w:tcPr>
            <w:tcW w:w="1139" w:type="dxa"/>
          </w:tcPr>
          <w:p w:rsidR="00DE496A" w:rsidRPr="00E54BC9" w:rsidRDefault="00DE496A" w:rsidP="00B00579">
            <w:pPr>
              <w:adjustRightInd w:val="0"/>
              <w:snapToGrid w:val="0"/>
              <w:spacing w:line="360" w:lineRule="auto"/>
              <w:jc w:val="center"/>
              <w:rPr>
                <w:rFonts w:ascii="仿宋_GB2312" w:eastAsia="仿宋_GB2312" w:hAnsiTheme="minorEastAsia"/>
                <w:color w:val="000000"/>
                <w:sz w:val="24"/>
                <w:szCs w:val="24"/>
              </w:rPr>
            </w:pPr>
            <w:r w:rsidRPr="00E54BC9">
              <w:rPr>
                <w:rFonts w:ascii="仿宋_GB2312" w:eastAsia="仿宋_GB2312" w:hAnsi="Calibri" w:cs="宋体"/>
                <w:color w:val="000000"/>
                <w:sz w:val="24"/>
                <w:szCs w:val="24"/>
              </w:rPr>
              <w:t>1</w:t>
            </w:r>
          </w:p>
        </w:tc>
        <w:tc>
          <w:tcPr>
            <w:tcW w:w="2268" w:type="dxa"/>
            <w:tcMar>
              <w:top w:w="15" w:type="dxa"/>
              <w:left w:w="15" w:type="dxa"/>
              <w:bottom w:w="0" w:type="dxa"/>
              <w:right w:w="15" w:type="dxa"/>
            </w:tcMar>
          </w:tcPr>
          <w:p w:rsidR="00DE496A" w:rsidRPr="00E54BC9" w:rsidRDefault="00095851"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w:t>
            </w:r>
            <w:r w:rsidR="00DE496A" w:rsidRPr="00E54BC9">
              <w:rPr>
                <w:rFonts w:ascii="仿宋_GB2312" w:eastAsia="仿宋_GB2312" w:hAnsi="Calibri" w:cs="宋体"/>
                <w:color w:val="000000"/>
                <w:sz w:val="24"/>
                <w:szCs w:val="24"/>
              </w:rPr>
              <w:t>天回购</w:t>
            </w:r>
          </w:p>
        </w:tc>
        <w:tc>
          <w:tcPr>
            <w:tcW w:w="2835" w:type="dxa"/>
          </w:tcPr>
          <w:p w:rsidR="00DE496A" w:rsidRPr="00E40978" w:rsidRDefault="00DE496A" w:rsidP="008A646C">
            <w:pPr>
              <w:adjustRightInd w:val="0"/>
              <w:snapToGrid w:val="0"/>
              <w:spacing w:line="360" w:lineRule="auto"/>
              <w:jc w:val="center"/>
              <w:rPr>
                <w:rFonts w:ascii="仿宋_GB2312" w:eastAsia="仿宋_GB2312" w:hAnsiTheme="minorEastAsia"/>
                <w:color w:val="000000"/>
                <w:sz w:val="24"/>
                <w:szCs w:val="24"/>
              </w:rPr>
            </w:pPr>
            <w:r w:rsidRPr="00E40978">
              <w:rPr>
                <w:rFonts w:ascii="仿宋_GB2312" w:eastAsia="仿宋_GB2312" w:hAnsi="Calibri" w:cs="宋体"/>
                <w:color w:val="000000"/>
                <w:sz w:val="24"/>
                <w:szCs w:val="24"/>
              </w:rPr>
              <w:t>1,404,19</w:t>
            </w:r>
            <w:r w:rsidR="008A646C" w:rsidRPr="00E40978">
              <w:rPr>
                <w:rFonts w:ascii="仿宋_GB2312" w:eastAsia="仿宋_GB2312" w:hAnsi="Calibri" w:cs="宋体"/>
                <w:color w:val="000000"/>
                <w:sz w:val="24"/>
                <w:szCs w:val="24"/>
              </w:rPr>
              <w:t>6</w:t>
            </w:r>
            <w:r w:rsidRPr="00E40978">
              <w:rPr>
                <w:rFonts w:ascii="仿宋_GB2312" w:eastAsia="仿宋_GB2312" w:hAnsi="Calibri" w:cs="宋体"/>
                <w:color w:val="000000"/>
                <w:sz w:val="24"/>
                <w:szCs w:val="24"/>
              </w:rPr>
              <w:t>,</w:t>
            </w:r>
            <w:r w:rsidR="008A646C" w:rsidRPr="00E40978">
              <w:rPr>
                <w:rFonts w:ascii="仿宋_GB2312" w:eastAsia="仿宋_GB2312" w:hAnsi="Calibri" w:cs="宋体"/>
                <w:color w:val="000000"/>
                <w:sz w:val="24"/>
                <w:szCs w:val="24"/>
              </w:rPr>
              <w:t>622</w:t>
            </w:r>
            <w:r w:rsidR="009F19FF" w:rsidRPr="00E40978">
              <w:rPr>
                <w:rFonts w:ascii="仿宋_GB2312" w:eastAsia="仿宋_GB2312" w:hAnsi="Calibri" w:cs="宋体"/>
                <w:color w:val="000000"/>
                <w:sz w:val="24"/>
                <w:szCs w:val="24"/>
              </w:rPr>
              <w:t>.</w:t>
            </w:r>
            <w:r w:rsidR="008A646C" w:rsidRPr="00E40978">
              <w:rPr>
                <w:rFonts w:ascii="仿宋_GB2312" w:eastAsia="仿宋_GB2312" w:hAnsi="Calibri" w:cs="宋体"/>
                <w:color w:val="000000"/>
                <w:sz w:val="24"/>
                <w:szCs w:val="24"/>
              </w:rPr>
              <w:t>1</w:t>
            </w:r>
            <w:r w:rsidRPr="00E40978">
              <w:rPr>
                <w:rFonts w:ascii="仿宋_GB2312" w:eastAsia="仿宋_GB2312" w:hAnsi="Calibri" w:cs="宋体"/>
                <w:color w:val="000000"/>
                <w:sz w:val="24"/>
                <w:szCs w:val="24"/>
              </w:rPr>
              <w:t>0</w:t>
            </w:r>
          </w:p>
        </w:tc>
        <w:tc>
          <w:tcPr>
            <w:tcW w:w="2835" w:type="dxa"/>
            <w:tcMar>
              <w:top w:w="15" w:type="dxa"/>
              <w:left w:w="15" w:type="dxa"/>
              <w:bottom w:w="0" w:type="dxa"/>
              <w:right w:w="15" w:type="dxa"/>
            </w:tcMar>
          </w:tcPr>
          <w:p w:rsidR="00DE496A" w:rsidRPr="00E54BC9" w:rsidRDefault="00DE496A" w:rsidP="00B00579">
            <w:pPr>
              <w:adjustRightInd w:val="0"/>
              <w:snapToGrid w:val="0"/>
              <w:spacing w:line="360" w:lineRule="auto"/>
              <w:jc w:val="center"/>
              <w:rPr>
                <w:rFonts w:ascii="仿宋_GB2312" w:eastAsia="仿宋_GB2312" w:hAnsiTheme="minorEastAsia"/>
                <w:color w:val="000000"/>
                <w:sz w:val="24"/>
                <w:szCs w:val="24"/>
              </w:rPr>
            </w:pPr>
            <w:r w:rsidRPr="00E54BC9">
              <w:rPr>
                <w:rFonts w:ascii="仿宋_GB2312" w:eastAsia="仿宋_GB2312" w:hAnsi="Calibri" w:cs="宋体"/>
                <w:color w:val="000000"/>
                <w:sz w:val="24"/>
                <w:szCs w:val="24"/>
              </w:rPr>
              <w:t>8.01%</w:t>
            </w:r>
          </w:p>
        </w:tc>
      </w:tr>
      <w:tr w:rsidR="00045667">
        <w:tc>
          <w:tcPr>
            <w:tcW w:w="1139" w:type="dxa"/>
          </w:tcPr>
          <w:p w:rsidR="00045667" w:rsidRPr="00E54BC9" w:rsidRDefault="0061160C">
            <w:pPr>
              <w:jc w:val="center"/>
            </w:pPr>
            <w:r w:rsidRPr="00E54BC9">
              <w:rPr>
                <w:rFonts w:ascii="仿宋_GB2312" w:eastAsia="仿宋_GB2312" w:hAnsi="Calibri" w:cs="宋体"/>
                <w:color w:val="000000"/>
                <w:sz w:val="24"/>
              </w:rPr>
              <w:t>2</w:t>
            </w:r>
          </w:p>
        </w:tc>
        <w:tc>
          <w:tcPr>
            <w:tcW w:w="2268"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银行存款</w:t>
            </w:r>
          </w:p>
        </w:tc>
        <w:tc>
          <w:tcPr>
            <w:tcW w:w="2835" w:type="dxa"/>
          </w:tcPr>
          <w:p w:rsidR="00045667" w:rsidRPr="00E40978" w:rsidRDefault="0061160C">
            <w:pPr>
              <w:jc w:val="center"/>
            </w:pPr>
            <w:r w:rsidRPr="00E40978">
              <w:rPr>
                <w:rFonts w:ascii="仿宋_GB2312" w:eastAsia="仿宋_GB2312" w:hAnsi="Calibri" w:cs="宋体"/>
                <w:color w:val="000000"/>
                <w:sz w:val="24"/>
              </w:rPr>
              <w:t>706,603,917.82</w:t>
            </w:r>
          </w:p>
        </w:tc>
        <w:tc>
          <w:tcPr>
            <w:tcW w:w="2835"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4.03%</w:t>
            </w:r>
          </w:p>
        </w:tc>
      </w:tr>
      <w:tr w:rsidR="00045667">
        <w:tc>
          <w:tcPr>
            <w:tcW w:w="1139" w:type="dxa"/>
          </w:tcPr>
          <w:p w:rsidR="00045667" w:rsidRPr="00E54BC9" w:rsidRDefault="0061160C">
            <w:pPr>
              <w:jc w:val="center"/>
            </w:pPr>
            <w:r w:rsidRPr="00E54BC9">
              <w:rPr>
                <w:rFonts w:ascii="仿宋_GB2312" w:eastAsia="仿宋_GB2312" w:hAnsi="Calibri" w:cs="宋体"/>
                <w:color w:val="000000"/>
                <w:sz w:val="24"/>
              </w:rPr>
              <w:t>3</w:t>
            </w:r>
          </w:p>
        </w:tc>
        <w:tc>
          <w:tcPr>
            <w:tcW w:w="2268" w:type="dxa"/>
            <w:tcMar>
              <w:top w:w="15" w:type="dxa"/>
              <w:left w:w="15" w:type="dxa"/>
              <w:bottom w:w="0" w:type="dxa"/>
              <w:right w:w="15" w:type="dxa"/>
            </w:tcMar>
          </w:tcPr>
          <w:p w:rsidR="00045667" w:rsidRPr="00E54BC9" w:rsidRDefault="009F19FF">
            <w:pPr>
              <w:jc w:val="center"/>
            </w:pPr>
            <w:r w:rsidRPr="00E54BC9">
              <w:rPr>
                <w:rFonts w:ascii="仿宋_GB2312" w:eastAsia="仿宋_GB2312" w:hAnsi="Calibri" w:cs="宋体"/>
                <w:color w:val="000000"/>
                <w:sz w:val="24"/>
              </w:rPr>
              <w:t>7</w:t>
            </w:r>
            <w:r w:rsidR="0061160C" w:rsidRPr="00E54BC9">
              <w:rPr>
                <w:rFonts w:ascii="仿宋_GB2312" w:eastAsia="仿宋_GB2312" w:hAnsi="Calibri" w:cs="宋体"/>
                <w:color w:val="000000"/>
                <w:sz w:val="24"/>
              </w:rPr>
              <w:t>天回购</w:t>
            </w:r>
          </w:p>
        </w:tc>
        <w:tc>
          <w:tcPr>
            <w:tcW w:w="2835" w:type="dxa"/>
          </w:tcPr>
          <w:p w:rsidR="00045667" w:rsidRPr="00E40978" w:rsidRDefault="0061160C" w:rsidP="008A646C">
            <w:pPr>
              <w:jc w:val="center"/>
            </w:pPr>
            <w:r w:rsidRPr="00E40978">
              <w:rPr>
                <w:rFonts w:ascii="仿宋_GB2312" w:eastAsia="仿宋_GB2312" w:hAnsi="Calibri" w:cs="宋体"/>
                <w:color w:val="000000"/>
                <w:sz w:val="24"/>
              </w:rPr>
              <w:t>60</w:t>
            </w:r>
            <w:r w:rsidR="009F19FF" w:rsidRPr="00E40978">
              <w:rPr>
                <w:rFonts w:ascii="仿宋_GB2312" w:eastAsia="仿宋_GB2312" w:hAnsi="Calibri" w:cs="宋体"/>
                <w:color w:val="000000"/>
                <w:sz w:val="24"/>
              </w:rPr>
              <w:t>4</w:t>
            </w:r>
            <w:r w:rsidRPr="00E40978">
              <w:rPr>
                <w:rFonts w:ascii="仿宋_GB2312" w:eastAsia="仿宋_GB2312" w:hAnsi="Calibri" w:cs="宋体"/>
                <w:color w:val="000000"/>
                <w:sz w:val="24"/>
              </w:rPr>
              <w:t>,</w:t>
            </w:r>
            <w:r w:rsidR="009F19FF" w:rsidRPr="00E40978">
              <w:rPr>
                <w:rFonts w:ascii="仿宋_GB2312" w:eastAsia="仿宋_GB2312" w:hAnsi="Calibri" w:cs="宋体"/>
                <w:color w:val="000000"/>
                <w:sz w:val="24"/>
              </w:rPr>
              <w:t>89</w:t>
            </w:r>
            <w:r w:rsidR="008A646C" w:rsidRPr="00E40978">
              <w:rPr>
                <w:rFonts w:ascii="仿宋_GB2312" w:eastAsia="仿宋_GB2312" w:hAnsi="Calibri" w:cs="宋体"/>
                <w:color w:val="000000"/>
                <w:sz w:val="24"/>
              </w:rPr>
              <w:t>6</w:t>
            </w:r>
            <w:r w:rsidRPr="00E40978">
              <w:rPr>
                <w:rFonts w:ascii="仿宋_GB2312" w:eastAsia="仿宋_GB2312" w:hAnsi="Calibri" w:cs="宋体"/>
                <w:color w:val="000000"/>
                <w:sz w:val="24"/>
              </w:rPr>
              <w:t>,</w:t>
            </w:r>
            <w:r w:rsidR="008A646C" w:rsidRPr="00E40978">
              <w:rPr>
                <w:rFonts w:ascii="仿宋_GB2312" w:eastAsia="仿宋_GB2312" w:hAnsi="Calibri" w:cs="宋体"/>
                <w:color w:val="000000"/>
                <w:sz w:val="24"/>
              </w:rPr>
              <w:t>547.34</w:t>
            </w:r>
          </w:p>
        </w:tc>
        <w:tc>
          <w:tcPr>
            <w:tcW w:w="2835"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3</w:t>
            </w:r>
            <w:r w:rsidR="009F19FF" w:rsidRPr="00E54BC9">
              <w:rPr>
                <w:rFonts w:ascii="仿宋_GB2312" w:eastAsia="仿宋_GB2312" w:hAnsi="Calibri" w:cs="宋体"/>
                <w:color w:val="000000"/>
                <w:sz w:val="24"/>
              </w:rPr>
              <w:t>.45</w:t>
            </w:r>
            <w:r w:rsidRPr="00E54BC9">
              <w:rPr>
                <w:rFonts w:ascii="仿宋_GB2312" w:eastAsia="仿宋_GB2312" w:hAnsi="Calibri" w:cs="宋体"/>
                <w:color w:val="000000"/>
                <w:sz w:val="24"/>
              </w:rPr>
              <w:t>%</w:t>
            </w:r>
          </w:p>
        </w:tc>
      </w:tr>
      <w:tr w:rsidR="00045667">
        <w:tc>
          <w:tcPr>
            <w:tcW w:w="1139" w:type="dxa"/>
          </w:tcPr>
          <w:p w:rsidR="00045667" w:rsidRPr="00E54BC9" w:rsidRDefault="0061160C">
            <w:pPr>
              <w:jc w:val="center"/>
            </w:pPr>
            <w:r w:rsidRPr="00E54BC9">
              <w:rPr>
                <w:rFonts w:ascii="仿宋_GB2312" w:eastAsia="仿宋_GB2312" w:hAnsi="Calibri" w:cs="宋体"/>
                <w:color w:val="000000"/>
                <w:sz w:val="24"/>
              </w:rPr>
              <w:t>4</w:t>
            </w:r>
          </w:p>
        </w:tc>
        <w:tc>
          <w:tcPr>
            <w:tcW w:w="2268" w:type="dxa"/>
            <w:tcMar>
              <w:top w:w="15" w:type="dxa"/>
              <w:left w:w="15" w:type="dxa"/>
              <w:bottom w:w="0" w:type="dxa"/>
              <w:right w:w="15" w:type="dxa"/>
            </w:tcMar>
          </w:tcPr>
          <w:p w:rsidR="00045667" w:rsidRPr="00E54BC9" w:rsidRDefault="009F19FF">
            <w:pPr>
              <w:jc w:val="center"/>
            </w:pPr>
            <w:r w:rsidRPr="00E54BC9">
              <w:rPr>
                <w:rFonts w:ascii="仿宋_GB2312" w:eastAsia="仿宋_GB2312" w:hAnsi="Calibri" w:cs="宋体"/>
                <w:color w:val="000000"/>
                <w:sz w:val="24"/>
              </w:rPr>
              <w:t>21</w:t>
            </w:r>
            <w:r w:rsidR="0061160C" w:rsidRPr="00E54BC9">
              <w:rPr>
                <w:rFonts w:ascii="仿宋_GB2312" w:eastAsia="仿宋_GB2312" w:hAnsi="Calibri" w:cs="宋体"/>
                <w:color w:val="000000"/>
                <w:sz w:val="24"/>
              </w:rPr>
              <w:t>天回购</w:t>
            </w:r>
          </w:p>
        </w:tc>
        <w:tc>
          <w:tcPr>
            <w:tcW w:w="2835" w:type="dxa"/>
          </w:tcPr>
          <w:p w:rsidR="00045667" w:rsidRPr="00E40978" w:rsidRDefault="009F19FF" w:rsidP="008A646C">
            <w:pPr>
              <w:jc w:val="center"/>
            </w:pPr>
            <w:r w:rsidRPr="00E40978">
              <w:rPr>
                <w:rFonts w:ascii="仿宋_GB2312" w:eastAsia="仿宋_GB2312" w:hAnsi="Calibri" w:cs="宋体"/>
                <w:color w:val="000000"/>
                <w:sz w:val="24"/>
              </w:rPr>
              <w:t>600</w:t>
            </w:r>
            <w:r w:rsidR="0061160C" w:rsidRPr="00E40978">
              <w:rPr>
                <w:rFonts w:ascii="仿宋_GB2312" w:eastAsia="仿宋_GB2312" w:hAnsi="Calibri" w:cs="宋体"/>
                <w:color w:val="000000"/>
                <w:sz w:val="24"/>
              </w:rPr>
              <w:t>,</w:t>
            </w:r>
            <w:r w:rsidRPr="00E40978">
              <w:rPr>
                <w:rFonts w:ascii="仿宋_GB2312" w:eastAsia="仿宋_GB2312" w:hAnsi="Calibri" w:cs="宋体"/>
                <w:color w:val="000000"/>
                <w:sz w:val="24"/>
              </w:rPr>
              <w:t>02</w:t>
            </w:r>
            <w:r w:rsidR="008A646C" w:rsidRPr="00E40978">
              <w:rPr>
                <w:rFonts w:ascii="仿宋_GB2312" w:eastAsia="仿宋_GB2312" w:hAnsi="Calibri" w:cs="宋体"/>
                <w:color w:val="000000"/>
                <w:sz w:val="24"/>
              </w:rPr>
              <w:t>1</w:t>
            </w:r>
            <w:r w:rsidR="0061160C" w:rsidRPr="00E40978">
              <w:rPr>
                <w:rFonts w:ascii="仿宋_GB2312" w:eastAsia="仿宋_GB2312" w:hAnsi="Calibri" w:cs="宋体"/>
                <w:color w:val="000000"/>
                <w:sz w:val="24"/>
              </w:rPr>
              <w:t>,</w:t>
            </w:r>
            <w:r w:rsidR="008A646C" w:rsidRPr="00E40978">
              <w:rPr>
                <w:rFonts w:ascii="仿宋_GB2312" w:eastAsia="仿宋_GB2312" w:hAnsi="Calibri" w:cs="宋体"/>
                <w:color w:val="000000"/>
                <w:sz w:val="24"/>
              </w:rPr>
              <w:t>340.03</w:t>
            </w:r>
          </w:p>
        </w:tc>
        <w:tc>
          <w:tcPr>
            <w:tcW w:w="2835" w:type="dxa"/>
            <w:tcMar>
              <w:top w:w="15" w:type="dxa"/>
              <w:left w:w="15" w:type="dxa"/>
              <w:bottom w:w="0" w:type="dxa"/>
              <w:right w:w="15" w:type="dxa"/>
            </w:tcMar>
          </w:tcPr>
          <w:p w:rsidR="00045667" w:rsidRPr="00E54BC9" w:rsidRDefault="009F19FF">
            <w:pPr>
              <w:jc w:val="center"/>
            </w:pPr>
            <w:r w:rsidRPr="00E54BC9">
              <w:rPr>
                <w:rFonts w:ascii="仿宋_GB2312" w:eastAsia="仿宋_GB2312" w:hAnsi="Calibri" w:cs="宋体"/>
                <w:color w:val="000000"/>
                <w:sz w:val="24"/>
              </w:rPr>
              <w:t>3.42</w:t>
            </w:r>
            <w:r w:rsidR="0061160C" w:rsidRPr="00E54BC9">
              <w:rPr>
                <w:rFonts w:ascii="仿宋_GB2312" w:eastAsia="仿宋_GB2312" w:hAnsi="Calibri" w:cs="宋体"/>
                <w:color w:val="000000"/>
                <w:sz w:val="24"/>
              </w:rPr>
              <w:t>%</w:t>
            </w:r>
          </w:p>
        </w:tc>
      </w:tr>
      <w:tr w:rsidR="00045667">
        <w:tc>
          <w:tcPr>
            <w:tcW w:w="1139" w:type="dxa"/>
          </w:tcPr>
          <w:p w:rsidR="00045667" w:rsidRPr="00E54BC9" w:rsidRDefault="0061160C">
            <w:pPr>
              <w:jc w:val="center"/>
            </w:pPr>
            <w:r w:rsidRPr="00E54BC9">
              <w:rPr>
                <w:rFonts w:ascii="仿宋_GB2312" w:eastAsia="仿宋_GB2312" w:hAnsi="Calibri" w:cs="宋体"/>
                <w:color w:val="000000"/>
                <w:sz w:val="24"/>
              </w:rPr>
              <w:t>5</w:t>
            </w:r>
          </w:p>
        </w:tc>
        <w:tc>
          <w:tcPr>
            <w:tcW w:w="2268"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21民生银行CD323</w:t>
            </w:r>
          </w:p>
        </w:tc>
        <w:tc>
          <w:tcPr>
            <w:tcW w:w="2835" w:type="dxa"/>
          </w:tcPr>
          <w:p w:rsidR="00045667" w:rsidRPr="00E40978" w:rsidRDefault="0061160C">
            <w:pPr>
              <w:jc w:val="center"/>
            </w:pPr>
            <w:r w:rsidRPr="00E40978">
              <w:rPr>
                <w:rFonts w:ascii="仿宋_GB2312" w:eastAsia="仿宋_GB2312" w:hAnsi="Calibri" w:cs="宋体"/>
                <w:color w:val="000000"/>
                <w:sz w:val="24"/>
              </w:rPr>
              <w:t>498,655,984.27</w:t>
            </w:r>
          </w:p>
        </w:tc>
        <w:tc>
          <w:tcPr>
            <w:tcW w:w="2835"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2.84%</w:t>
            </w:r>
          </w:p>
        </w:tc>
      </w:tr>
      <w:tr w:rsidR="00045667">
        <w:tc>
          <w:tcPr>
            <w:tcW w:w="1139" w:type="dxa"/>
          </w:tcPr>
          <w:p w:rsidR="00045667" w:rsidRPr="00E54BC9" w:rsidRDefault="0061160C">
            <w:pPr>
              <w:jc w:val="center"/>
            </w:pPr>
            <w:r w:rsidRPr="00E54BC9">
              <w:rPr>
                <w:rFonts w:ascii="仿宋_GB2312" w:eastAsia="仿宋_GB2312" w:hAnsi="Calibri" w:cs="宋体"/>
                <w:color w:val="000000"/>
                <w:sz w:val="24"/>
              </w:rPr>
              <w:t>6</w:t>
            </w:r>
          </w:p>
        </w:tc>
        <w:tc>
          <w:tcPr>
            <w:tcW w:w="2268"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21广发银行CD292</w:t>
            </w:r>
          </w:p>
        </w:tc>
        <w:tc>
          <w:tcPr>
            <w:tcW w:w="2835" w:type="dxa"/>
          </w:tcPr>
          <w:p w:rsidR="00045667" w:rsidRPr="00E40978" w:rsidRDefault="0061160C">
            <w:pPr>
              <w:jc w:val="center"/>
            </w:pPr>
            <w:r w:rsidRPr="00E40978">
              <w:rPr>
                <w:rFonts w:ascii="仿宋_GB2312" w:eastAsia="仿宋_GB2312" w:hAnsi="Calibri" w:cs="宋体"/>
                <w:color w:val="000000"/>
                <w:sz w:val="24"/>
              </w:rPr>
              <w:t>395,232,483.60</w:t>
            </w:r>
          </w:p>
        </w:tc>
        <w:tc>
          <w:tcPr>
            <w:tcW w:w="2835"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2.25%</w:t>
            </w:r>
          </w:p>
        </w:tc>
      </w:tr>
      <w:tr w:rsidR="00045667">
        <w:tc>
          <w:tcPr>
            <w:tcW w:w="1139" w:type="dxa"/>
          </w:tcPr>
          <w:p w:rsidR="00045667" w:rsidRPr="00E54BC9" w:rsidRDefault="0061160C">
            <w:pPr>
              <w:jc w:val="center"/>
            </w:pPr>
            <w:r w:rsidRPr="00E54BC9">
              <w:rPr>
                <w:rFonts w:ascii="仿宋_GB2312" w:eastAsia="仿宋_GB2312" w:hAnsi="Calibri" w:cs="宋体"/>
                <w:color w:val="000000"/>
                <w:sz w:val="24"/>
              </w:rPr>
              <w:t>7</w:t>
            </w:r>
          </w:p>
        </w:tc>
        <w:tc>
          <w:tcPr>
            <w:tcW w:w="2268"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21国元证券CP006</w:t>
            </w:r>
          </w:p>
        </w:tc>
        <w:tc>
          <w:tcPr>
            <w:tcW w:w="2835" w:type="dxa"/>
          </w:tcPr>
          <w:p w:rsidR="00045667" w:rsidRPr="00E40978" w:rsidRDefault="0061160C">
            <w:pPr>
              <w:jc w:val="center"/>
            </w:pPr>
            <w:r w:rsidRPr="00E40978">
              <w:rPr>
                <w:rFonts w:ascii="仿宋_GB2312" w:eastAsia="仿宋_GB2312" w:hAnsi="Calibri" w:cs="宋体"/>
                <w:color w:val="000000"/>
                <w:sz w:val="24"/>
              </w:rPr>
              <w:t>359,916,455.94</w:t>
            </w:r>
          </w:p>
        </w:tc>
        <w:tc>
          <w:tcPr>
            <w:tcW w:w="2835"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2.05%</w:t>
            </w:r>
          </w:p>
        </w:tc>
      </w:tr>
      <w:tr w:rsidR="00045667">
        <w:tc>
          <w:tcPr>
            <w:tcW w:w="1139" w:type="dxa"/>
          </w:tcPr>
          <w:p w:rsidR="00045667" w:rsidRPr="00E54BC9" w:rsidRDefault="0061160C">
            <w:pPr>
              <w:jc w:val="center"/>
            </w:pPr>
            <w:r w:rsidRPr="00E54BC9">
              <w:rPr>
                <w:rFonts w:ascii="仿宋_GB2312" w:eastAsia="仿宋_GB2312" w:hAnsi="Calibri" w:cs="宋体"/>
                <w:color w:val="000000"/>
                <w:sz w:val="24"/>
              </w:rPr>
              <w:t>8</w:t>
            </w:r>
          </w:p>
        </w:tc>
        <w:tc>
          <w:tcPr>
            <w:tcW w:w="2268"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14天回购</w:t>
            </w:r>
          </w:p>
        </w:tc>
        <w:tc>
          <w:tcPr>
            <w:tcW w:w="2835" w:type="dxa"/>
          </w:tcPr>
          <w:p w:rsidR="00045667" w:rsidRPr="00E40978" w:rsidRDefault="0061160C" w:rsidP="008A646C">
            <w:pPr>
              <w:jc w:val="center"/>
            </w:pPr>
            <w:r w:rsidRPr="00E40978">
              <w:rPr>
                <w:rFonts w:ascii="仿宋_GB2312" w:eastAsia="仿宋_GB2312" w:hAnsi="Calibri" w:cs="宋体"/>
                <w:color w:val="000000"/>
                <w:sz w:val="24"/>
              </w:rPr>
              <w:t>301,068,</w:t>
            </w:r>
            <w:r w:rsidR="008A646C" w:rsidRPr="00E40978">
              <w:rPr>
                <w:rFonts w:ascii="仿宋_GB2312" w:eastAsia="仿宋_GB2312" w:hAnsi="Calibri" w:cs="宋体"/>
                <w:color w:val="000000"/>
                <w:sz w:val="24"/>
              </w:rPr>
              <w:t>891.6</w:t>
            </w:r>
            <w:r w:rsidRPr="00E40978">
              <w:rPr>
                <w:rFonts w:ascii="仿宋_GB2312" w:eastAsia="仿宋_GB2312" w:hAnsi="Calibri" w:cs="宋体"/>
                <w:color w:val="000000"/>
                <w:sz w:val="24"/>
              </w:rPr>
              <w:t>0</w:t>
            </w:r>
          </w:p>
        </w:tc>
        <w:tc>
          <w:tcPr>
            <w:tcW w:w="2835"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1.72%</w:t>
            </w:r>
          </w:p>
        </w:tc>
      </w:tr>
      <w:tr w:rsidR="00045667">
        <w:tc>
          <w:tcPr>
            <w:tcW w:w="1139" w:type="dxa"/>
          </w:tcPr>
          <w:p w:rsidR="00045667" w:rsidRPr="00E54BC9" w:rsidRDefault="0061160C">
            <w:pPr>
              <w:jc w:val="center"/>
            </w:pPr>
            <w:r w:rsidRPr="00E54BC9">
              <w:rPr>
                <w:rFonts w:ascii="仿宋_GB2312" w:eastAsia="仿宋_GB2312" w:hAnsi="Calibri" w:cs="宋体"/>
                <w:color w:val="000000"/>
                <w:sz w:val="24"/>
              </w:rPr>
              <w:t>9</w:t>
            </w:r>
          </w:p>
        </w:tc>
        <w:tc>
          <w:tcPr>
            <w:tcW w:w="2268"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19国开02</w:t>
            </w:r>
          </w:p>
        </w:tc>
        <w:tc>
          <w:tcPr>
            <w:tcW w:w="2835" w:type="dxa"/>
          </w:tcPr>
          <w:p w:rsidR="00045667" w:rsidRPr="00E40978" w:rsidRDefault="0061160C">
            <w:pPr>
              <w:jc w:val="center"/>
            </w:pPr>
            <w:r w:rsidRPr="00E40978">
              <w:rPr>
                <w:rFonts w:ascii="仿宋_GB2312" w:eastAsia="仿宋_GB2312" w:hAnsi="Calibri" w:cs="宋体"/>
                <w:color w:val="000000"/>
                <w:sz w:val="24"/>
              </w:rPr>
              <w:t>300,115,547.38</w:t>
            </w:r>
          </w:p>
        </w:tc>
        <w:tc>
          <w:tcPr>
            <w:tcW w:w="2835" w:type="dxa"/>
            <w:tcMar>
              <w:top w:w="15" w:type="dxa"/>
              <w:left w:w="15" w:type="dxa"/>
              <w:bottom w:w="0" w:type="dxa"/>
              <w:right w:w="15" w:type="dxa"/>
            </w:tcMar>
          </w:tcPr>
          <w:p w:rsidR="00045667" w:rsidRPr="00E54BC9" w:rsidRDefault="0061160C">
            <w:pPr>
              <w:jc w:val="center"/>
            </w:pPr>
            <w:r w:rsidRPr="00E54BC9">
              <w:rPr>
                <w:rFonts w:ascii="仿宋_GB2312" w:eastAsia="仿宋_GB2312" w:hAnsi="Calibri" w:cs="宋体"/>
                <w:color w:val="000000"/>
                <w:sz w:val="24"/>
              </w:rPr>
              <w:t>1.71%</w:t>
            </w:r>
          </w:p>
        </w:tc>
      </w:tr>
      <w:tr w:rsidR="00045667">
        <w:tc>
          <w:tcPr>
            <w:tcW w:w="1139" w:type="dxa"/>
          </w:tcPr>
          <w:p w:rsidR="00045667" w:rsidRDefault="0061160C">
            <w:pPr>
              <w:jc w:val="center"/>
            </w:pPr>
            <w:r>
              <w:rPr>
                <w:rFonts w:ascii="仿宋_GB2312" w:eastAsia="仿宋_GB2312" w:hAnsi="Calibri" w:cs="宋体"/>
                <w:color w:val="000000"/>
                <w:sz w:val="24"/>
              </w:rPr>
              <w:t>10</w:t>
            </w:r>
          </w:p>
        </w:tc>
        <w:tc>
          <w:tcPr>
            <w:tcW w:w="2268" w:type="dxa"/>
            <w:tcMar>
              <w:top w:w="15" w:type="dxa"/>
              <w:left w:w="15" w:type="dxa"/>
              <w:bottom w:w="0" w:type="dxa"/>
              <w:right w:w="15" w:type="dxa"/>
            </w:tcMar>
          </w:tcPr>
          <w:p w:rsidR="00045667" w:rsidRDefault="0061160C">
            <w:pPr>
              <w:jc w:val="center"/>
            </w:pPr>
            <w:r>
              <w:rPr>
                <w:rFonts w:ascii="仿宋_GB2312" w:eastAsia="仿宋_GB2312" w:hAnsi="Calibri" w:cs="宋体"/>
                <w:color w:val="000000"/>
                <w:sz w:val="24"/>
              </w:rPr>
              <w:t>21民生银行CD326</w:t>
            </w:r>
          </w:p>
        </w:tc>
        <w:tc>
          <w:tcPr>
            <w:tcW w:w="2835" w:type="dxa"/>
          </w:tcPr>
          <w:p w:rsidR="00045667" w:rsidRDefault="0061160C">
            <w:pPr>
              <w:jc w:val="center"/>
            </w:pPr>
            <w:r>
              <w:rPr>
                <w:rFonts w:ascii="仿宋_GB2312" w:eastAsia="仿宋_GB2312" w:hAnsi="Calibri" w:cs="宋体"/>
                <w:color w:val="000000"/>
                <w:sz w:val="24"/>
              </w:rPr>
              <w:t>299,172,356.28</w:t>
            </w:r>
          </w:p>
        </w:tc>
        <w:tc>
          <w:tcPr>
            <w:tcW w:w="2835" w:type="dxa"/>
            <w:tcMar>
              <w:top w:w="15" w:type="dxa"/>
              <w:left w:w="15" w:type="dxa"/>
              <w:bottom w:w="0" w:type="dxa"/>
              <w:right w:w="15" w:type="dxa"/>
            </w:tcMar>
          </w:tcPr>
          <w:p w:rsidR="00045667" w:rsidRDefault="0061160C">
            <w:pPr>
              <w:jc w:val="center"/>
            </w:pPr>
            <w:r>
              <w:rPr>
                <w:rFonts w:ascii="仿宋_GB2312" w:eastAsia="仿宋_GB2312" w:hAnsi="Calibri" w:cs="宋体"/>
                <w:color w:val="000000"/>
                <w:sz w:val="24"/>
              </w:rPr>
              <w:t>1.71%</w:t>
            </w:r>
          </w:p>
        </w:tc>
      </w:tr>
    </w:tbl>
    <w:p w:rsidR="00DE496A" w:rsidRPr="00DD633B" w:rsidRDefault="00DE496A" w:rsidP="00DE496A">
      <w:pPr>
        <w:rPr>
          <w:rFonts w:ascii="仿宋_GB2312" w:eastAsia="仿宋_GB2312" w:hAnsi="Calibri"/>
          <w:sz w:val="24"/>
          <w:szCs w:val="24"/>
        </w:rPr>
      </w:pPr>
    </w:p>
    <w:p w:rsidR="00DE496A" w:rsidRDefault="00DE496A" w:rsidP="00DE496A">
      <w:pPr>
        <w:adjustRightInd w:val="0"/>
        <w:snapToGrid w:val="0"/>
        <w:spacing w:line="360" w:lineRule="auto"/>
        <w:ind w:firstLineChars="200" w:firstLine="482"/>
        <w:rPr>
          <w:rFonts w:ascii="仿宋_GB2312" w:eastAsia="仿宋_GB2312" w:hAnsiTheme="minorEastAsia"/>
          <w:b/>
          <w:bCs/>
          <w:sz w:val="24"/>
          <w:szCs w:val="24"/>
        </w:rPr>
      </w:pPr>
      <w:r>
        <w:rPr>
          <w:rFonts w:ascii="仿宋_GB2312" w:eastAsia="仿宋_GB2312"/>
          <w:b/>
          <w:bCs/>
          <w:sz w:val="24"/>
          <w:szCs w:val="24"/>
        </w:rPr>
        <w:t xml:space="preserve"> </w:t>
      </w:r>
      <w:r>
        <w:rPr>
          <w:rFonts w:ascii="仿宋_GB2312" w:eastAsia="仿宋_GB2312" w:hAnsiTheme="minorEastAsia"/>
          <w:b/>
          <w:bCs/>
          <w:sz w:val="24"/>
          <w:szCs w:val="24"/>
        </w:rPr>
        <w:t>4.4报告期末非标准化债权</w:t>
      </w:r>
      <w:r>
        <w:rPr>
          <w:rStyle w:val="a9"/>
          <w:rFonts w:ascii="仿宋_GB2312" w:eastAsia="仿宋_GB2312" w:hAnsiTheme="minorEastAsia"/>
          <w:b/>
          <w:bCs/>
          <w:sz w:val="24"/>
          <w:szCs w:val="24"/>
        </w:rPr>
        <w:footnoteReference w:id="2"/>
      </w:r>
      <w:r>
        <w:rPr>
          <w:rFonts w:ascii="仿宋_GB2312" w:eastAsia="仿宋_GB2312" w:hAnsiTheme="minorEastAsia" w:hint="eastAsia"/>
          <w:b/>
          <w:bCs/>
          <w:sz w:val="24"/>
          <w:szCs w:val="24"/>
        </w:rPr>
        <w:t>投资明细（选填）</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312"/>
        <w:gridCol w:w="1382"/>
        <w:gridCol w:w="1419"/>
        <w:gridCol w:w="2972"/>
      </w:tblGrid>
      <w:tr w:rsidR="00DE496A" w:rsidTr="00B00579">
        <w:tc>
          <w:tcPr>
            <w:tcW w:w="85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序号</w:t>
            </w:r>
          </w:p>
        </w:tc>
        <w:tc>
          <w:tcPr>
            <w:tcW w:w="1134"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融资客户</w:t>
            </w:r>
          </w:p>
        </w:tc>
        <w:tc>
          <w:tcPr>
            <w:tcW w:w="131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资产名称</w:t>
            </w:r>
          </w:p>
        </w:tc>
        <w:tc>
          <w:tcPr>
            <w:tcW w:w="138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剩余融资期限</w:t>
            </w:r>
          </w:p>
        </w:tc>
        <w:tc>
          <w:tcPr>
            <w:tcW w:w="1419"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交易结构</w:t>
            </w:r>
          </w:p>
        </w:tc>
        <w:tc>
          <w:tcPr>
            <w:tcW w:w="297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占产品资产净值比例</w:t>
            </w:r>
          </w:p>
        </w:tc>
      </w:tr>
      <w:tr w:rsidR="00D601E1" w:rsidTr="00B00579">
        <w:tc>
          <w:tcPr>
            <w:tcW w:w="852" w:type="dxa"/>
            <w:vAlign w:val="center"/>
          </w:tcPr>
          <w:p w:rsidR="00D601E1" w:rsidRDefault="00D601E1" w:rsidP="00023644">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134"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12"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82" w:type="dxa"/>
            <w:vAlign w:val="center"/>
          </w:tcPr>
          <w:p w:rsidR="00D601E1" w:rsidRPr="00E1579D"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419"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c>
          <w:tcPr>
            <w:tcW w:w="2972"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r>
    </w:tbl>
    <w:p w:rsidR="00DE496A" w:rsidRDefault="00DE496A" w:rsidP="00DE496A">
      <w:pPr>
        <w:adjustRightInd w:val="0"/>
        <w:snapToGrid w:val="0"/>
        <w:spacing w:line="360" w:lineRule="auto"/>
        <w:rPr>
          <w:rFonts w:ascii="仿宋_GB2312" w:eastAsia="仿宋_GB2312" w:hAnsiTheme="minorEastAsia"/>
          <w:bCs/>
          <w:sz w:val="24"/>
          <w:szCs w:val="24"/>
        </w:rPr>
      </w:pPr>
      <w:r>
        <w:rPr>
          <w:rFonts w:ascii="仿宋_GB2312" w:eastAsia="仿宋_GB2312" w:hAnsiTheme="minorEastAsia" w:hint="eastAsia"/>
          <w:bCs/>
          <w:sz w:val="24"/>
          <w:szCs w:val="24"/>
        </w:rPr>
        <w:t>注：</w:t>
      </w:r>
      <w:r>
        <w:rPr>
          <w:rFonts w:ascii="仿宋_GB2312" w:eastAsia="仿宋_GB2312" w:hAnsiTheme="minorEastAsia"/>
          <w:bCs/>
          <w:sz w:val="24"/>
          <w:szCs w:val="24"/>
        </w:rPr>
        <w:t>1.截至期末，上述非标准化债权均按照合同约定按时分配收益；</w:t>
      </w:r>
    </w:p>
    <w:p w:rsidR="00FC64B6" w:rsidRDefault="00DE496A" w:rsidP="0041011E">
      <w:pPr>
        <w:snapToGrid w:val="0"/>
        <w:spacing w:line="360" w:lineRule="auto"/>
        <w:ind w:firstLine="480"/>
        <w:rPr>
          <w:rFonts w:ascii="仿宋_GB2312" w:eastAsia="仿宋_GB2312" w:hAnsiTheme="minorEastAsia"/>
          <w:bCs/>
          <w:sz w:val="24"/>
          <w:szCs w:val="24"/>
        </w:rPr>
      </w:pPr>
      <w:r>
        <w:rPr>
          <w:rFonts w:ascii="仿宋_GB2312" w:eastAsia="仿宋_GB2312" w:hAnsiTheme="minorEastAsia"/>
          <w:bCs/>
          <w:sz w:val="24"/>
          <w:szCs w:val="24"/>
        </w:rPr>
        <w:t>2.截至期末，上述非标准化债权未出现无法履行本金及收益兑付的实际情况。</w:t>
      </w: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5</w:t>
      </w:r>
      <w:r w:rsidRPr="006E00B8">
        <w:rPr>
          <w:rFonts w:ascii="仿宋_GB2312" w:eastAsia="仿宋_GB2312"/>
          <w:b/>
          <w:sz w:val="24"/>
          <w:szCs w:val="24"/>
        </w:rPr>
        <w:t> </w:t>
      </w:r>
      <w:r w:rsidRPr="006E00B8">
        <w:rPr>
          <w:rFonts w:ascii="仿宋_GB2312" w:eastAsia="仿宋_GB2312" w:hint="eastAsia"/>
          <w:b/>
          <w:sz w:val="24"/>
          <w:szCs w:val="24"/>
        </w:rPr>
        <w:t>.关联交易（如有）</w:t>
      </w:r>
    </w:p>
    <w:tbl>
      <w:tblPr>
        <w:tblStyle w:val="ab"/>
        <w:tblW w:w="9180" w:type="dxa"/>
        <w:tblLook w:val="04A0" w:firstRow="1" w:lastRow="0" w:firstColumn="1" w:lastColumn="0" w:noHBand="0" w:noVBand="1"/>
      </w:tblPr>
      <w:tblGrid>
        <w:gridCol w:w="973"/>
        <w:gridCol w:w="1543"/>
        <w:gridCol w:w="1896"/>
        <w:gridCol w:w="1070"/>
        <w:gridCol w:w="1112"/>
        <w:gridCol w:w="2586"/>
      </w:tblGrid>
      <w:tr w:rsidR="009F0B98" w:rsidTr="00F93AAE">
        <w:tc>
          <w:tcPr>
            <w:tcW w:w="973"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left"/>
              <w:rPr>
                <w:rFonts w:ascii="仿宋_GB2312" w:eastAsia="仿宋_GB2312" w:hAnsiTheme="minorEastAsia"/>
                <w:kern w:val="2"/>
                <w:sz w:val="24"/>
                <w:szCs w:val="24"/>
              </w:rPr>
            </w:pPr>
            <w:r>
              <w:rPr>
                <w:rFonts w:ascii="仿宋_GB2312" w:eastAsia="仿宋_GB2312" w:hAnsiTheme="minorEastAsia" w:hint="eastAsia"/>
                <w:sz w:val="24"/>
                <w:szCs w:val="24"/>
              </w:rPr>
              <w:t>序号</w:t>
            </w:r>
          </w:p>
        </w:tc>
        <w:tc>
          <w:tcPr>
            <w:tcW w:w="1543"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关联证券名称</w:t>
            </w:r>
          </w:p>
        </w:tc>
        <w:tc>
          <w:tcPr>
            <w:tcW w:w="1896"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规模</w:t>
            </w:r>
          </w:p>
        </w:tc>
        <w:tc>
          <w:tcPr>
            <w:tcW w:w="1070"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占比</w:t>
            </w:r>
          </w:p>
        </w:tc>
        <w:tc>
          <w:tcPr>
            <w:tcW w:w="1112"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关联方名称</w:t>
            </w:r>
          </w:p>
        </w:tc>
        <w:tc>
          <w:tcPr>
            <w:tcW w:w="2586"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关联方与本理财产品关联关系</w:t>
            </w:r>
          </w:p>
        </w:tc>
      </w:tr>
      <w:tr w:rsidR="00F93AAE" w:rsidTr="00F93AAE">
        <w:tc>
          <w:tcPr>
            <w:tcW w:w="973" w:type="dxa"/>
            <w:tcBorders>
              <w:top w:val="single" w:sz="4" w:space="0" w:color="auto"/>
              <w:left w:val="single" w:sz="4" w:space="0" w:color="auto"/>
              <w:bottom w:val="single" w:sz="4" w:space="0" w:color="auto"/>
              <w:right w:val="single" w:sz="4" w:space="0" w:color="auto"/>
            </w:tcBorders>
            <w:hideMark/>
          </w:tcPr>
          <w:p w:rsidR="00F93AAE" w:rsidRPr="00B44B39" w:rsidRDefault="00F93AAE" w:rsidP="00F93AAE">
            <w:pPr>
              <w:kinsoku w:val="0"/>
              <w:overflowPunct w:val="0"/>
              <w:autoSpaceDE w:val="0"/>
              <w:autoSpaceDN w:val="0"/>
              <w:spacing w:line="300" w:lineRule="auto"/>
              <w:jc w:val="center"/>
              <w:rPr>
                <w:rFonts w:ascii="仿宋_GB2312" w:eastAsia="仿宋_GB2312" w:hAnsiTheme="minorEastAsia"/>
                <w:sz w:val="24"/>
                <w:szCs w:val="24"/>
              </w:rPr>
            </w:pPr>
            <w:r w:rsidRPr="00B44B39">
              <w:rPr>
                <w:rFonts w:ascii="仿宋_GB2312" w:eastAsia="仿宋_GB2312" w:hAnsiTheme="minorEastAsia" w:hint="eastAsia"/>
                <w:sz w:val="24"/>
                <w:szCs w:val="24"/>
              </w:rPr>
              <w:t>1</w:t>
            </w:r>
          </w:p>
        </w:tc>
        <w:tc>
          <w:tcPr>
            <w:tcW w:w="1543"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sidRPr="00B44B39">
              <w:rPr>
                <w:rFonts w:ascii="仿宋_GB2312" w:eastAsia="仿宋_GB2312" w:hAnsiTheme="minorEastAsia" w:hint="eastAsia"/>
                <w:sz w:val="24"/>
                <w:szCs w:val="24"/>
              </w:rPr>
              <w:t>21红狮SCP006</w:t>
            </w:r>
          </w:p>
        </w:tc>
        <w:tc>
          <w:tcPr>
            <w:tcW w:w="1896"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sidRPr="00B44B39">
              <w:rPr>
                <w:rFonts w:ascii="仿宋_GB2312" w:eastAsia="仿宋_GB2312" w:hAnsiTheme="minorEastAsia"/>
                <w:sz w:val="24"/>
                <w:szCs w:val="24"/>
              </w:rPr>
              <w:t>100,000,000.00</w:t>
            </w:r>
          </w:p>
        </w:tc>
        <w:tc>
          <w:tcPr>
            <w:tcW w:w="1070"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Pr>
                <w:rFonts w:ascii="仿宋_GB2312" w:eastAsia="仿宋_GB2312" w:hAnsiTheme="minorEastAsia" w:hint="eastAsia"/>
                <w:sz w:val="24"/>
                <w:szCs w:val="24"/>
              </w:rPr>
              <w:t>0</w:t>
            </w:r>
            <w:r>
              <w:rPr>
                <w:rFonts w:ascii="仿宋_GB2312" w:eastAsia="仿宋_GB2312" w:hAnsiTheme="minorEastAsia"/>
                <w:sz w:val="24"/>
                <w:szCs w:val="24"/>
              </w:rPr>
              <w:t>.57</w:t>
            </w:r>
            <w:r>
              <w:rPr>
                <w:rFonts w:ascii="仿宋_GB2312" w:eastAsia="仿宋_GB2312" w:hAnsiTheme="minorEastAsia" w:hint="eastAsia"/>
                <w:sz w:val="24"/>
                <w:szCs w:val="24"/>
              </w:rPr>
              <w:t>%</w:t>
            </w:r>
          </w:p>
        </w:tc>
        <w:tc>
          <w:tcPr>
            <w:tcW w:w="1112"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Pr>
                <w:rFonts w:ascii="仿宋_GB2312" w:eastAsia="仿宋_GB2312" w:hAnsiTheme="minorEastAsia" w:hint="eastAsia"/>
                <w:sz w:val="24"/>
                <w:szCs w:val="24"/>
              </w:rPr>
              <w:t>国泰君安证券股份有限公司</w:t>
            </w:r>
          </w:p>
        </w:tc>
        <w:tc>
          <w:tcPr>
            <w:tcW w:w="2586"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Pr>
                <w:rFonts w:ascii="仿宋_GB2312" w:eastAsia="仿宋_GB2312" w:hAnsiTheme="minorEastAsia" w:hint="eastAsia"/>
                <w:sz w:val="24"/>
                <w:szCs w:val="24"/>
              </w:rPr>
              <w:t>持仓证券承销商</w:t>
            </w:r>
          </w:p>
        </w:tc>
      </w:tr>
      <w:tr w:rsidR="00F93AAE" w:rsidTr="00F93AAE">
        <w:tc>
          <w:tcPr>
            <w:tcW w:w="973" w:type="dxa"/>
            <w:tcBorders>
              <w:top w:val="single" w:sz="4" w:space="0" w:color="auto"/>
              <w:left w:val="single" w:sz="4" w:space="0" w:color="auto"/>
              <w:bottom w:val="single" w:sz="4" w:space="0" w:color="auto"/>
              <w:right w:val="single" w:sz="4" w:space="0" w:color="auto"/>
            </w:tcBorders>
            <w:hideMark/>
          </w:tcPr>
          <w:p w:rsidR="00F93AAE" w:rsidRPr="00B44B39" w:rsidRDefault="00F93AAE" w:rsidP="00F93AAE">
            <w:pPr>
              <w:kinsoku w:val="0"/>
              <w:overflowPunct w:val="0"/>
              <w:autoSpaceDE w:val="0"/>
              <w:autoSpaceDN w:val="0"/>
              <w:spacing w:line="300" w:lineRule="auto"/>
              <w:jc w:val="center"/>
              <w:rPr>
                <w:rFonts w:ascii="仿宋_GB2312" w:eastAsia="仿宋_GB2312" w:hAnsiTheme="minorEastAsia"/>
                <w:sz w:val="24"/>
                <w:szCs w:val="24"/>
              </w:rPr>
            </w:pPr>
            <w:r w:rsidRPr="00B44B39">
              <w:rPr>
                <w:rFonts w:ascii="仿宋_GB2312" w:eastAsia="仿宋_GB2312" w:hAnsiTheme="minorEastAsia" w:hint="eastAsia"/>
                <w:sz w:val="24"/>
                <w:szCs w:val="24"/>
              </w:rPr>
              <w:t>2</w:t>
            </w:r>
          </w:p>
        </w:tc>
        <w:tc>
          <w:tcPr>
            <w:tcW w:w="1543"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sidRPr="00B44B39">
              <w:rPr>
                <w:rFonts w:ascii="仿宋_GB2312" w:eastAsia="仿宋_GB2312" w:hAnsiTheme="minorEastAsia" w:hint="eastAsia"/>
                <w:sz w:val="24"/>
                <w:szCs w:val="24"/>
              </w:rPr>
              <w:t>19水发集团MTN002</w:t>
            </w:r>
          </w:p>
        </w:tc>
        <w:tc>
          <w:tcPr>
            <w:tcW w:w="1896"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sidRPr="00B44B39">
              <w:rPr>
                <w:rFonts w:ascii="仿宋_GB2312" w:eastAsia="仿宋_GB2312" w:hAnsiTheme="minorEastAsia"/>
                <w:sz w:val="24"/>
                <w:szCs w:val="24"/>
              </w:rPr>
              <w:t>10,000,000.00</w:t>
            </w:r>
          </w:p>
        </w:tc>
        <w:tc>
          <w:tcPr>
            <w:tcW w:w="1070"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Pr>
                <w:rFonts w:ascii="仿宋_GB2312" w:eastAsia="仿宋_GB2312" w:hAnsiTheme="minorEastAsia" w:hint="eastAsia"/>
                <w:sz w:val="24"/>
                <w:szCs w:val="24"/>
              </w:rPr>
              <w:t>0</w:t>
            </w:r>
            <w:r>
              <w:rPr>
                <w:rFonts w:ascii="仿宋_GB2312" w:eastAsia="仿宋_GB2312" w:hAnsiTheme="minorEastAsia"/>
                <w:sz w:val="24"/>
                <w:szCs w:val="24"/>
              </w:rPr>
              <w:t>.06</w:t>
            </w:r>
            <w:r>
              <w:rPr>
                <w:rFonts w:ascii="仿宋_GB2312" w:eastAsia="仿宋_GB2312" w:hAnsiTheme="minorEastAsia" w:hint="eastAsia"/>
                <w:sz w:val="24"/>
                <w:szCs w:val="24"/>
              </w:rPr>
              <w:t>%</w:t>
            </w:r>
          </w:p>
        </w:tc>
        <w:tc>
          <w:tcPr>
            <w:tcW w:w="1112"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Pr>
                <w:rFonts w:ascii="仿宋_GB2312" w:eastAsia="仿宋_GB2312" w:hAnsiTheme="minorEastAsia" w:hint="eastAsia"/>
                <w:sz w:val="24"/>
                <w:szCs w:val="24"/>
              </w:rPr>
              <w:t>国泰君安证券股份有限公司</w:t>
            </w:r>
          </w:p>
        </w:tc>
        <w:tc>
          <w:tcPr>
            <w:tcW w:w="2586"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Pr>
                <w:rFonts w:ascii="仿宋_GB2312" w:eastAsia="仿宋_GB2312" w:hAnsiTheme="minorEastAsia" w:hint="eastAsia"/>
                <w:sz w:val="24"/>
                <w:szCs w:val="24"/>
              </w:rPr>
              <w:t>持仓证券承销商</w:t>
            </w:r>
          </w:p>
        </w:tc>
      </w:tr>
      <w:tr w:rsidR="00F93AAE" w:rsidTr="00F93AAE">
        <w:tc>
          <w:tcPr>
            <w:tcW w:w="973" w:type="dxa"/>
            <w:tcBorders>
              <w:top w:val="single" w:sz="4" w:space="0" w:color="auto"/>
              <w:left w:val="single" w:sz="4" w:space="0" w:color="auto"/>
              <w:bottom w:val="single" w:sz="4" w:space="0" w:color="auto"/>
              <w:right w:val="single" w:sz="4" w:space="0" w:color="auto"/>
            </w:tcBorders>
            <w:hideMark/>
          </w:tcPr>
          <w:p w:rsidR="00F93AAE" w:rsidRPr="00B44B39" w:rsidRDefault="00F93AAE" w:rsidP="00F93AAE">
            <w:pPr>
              <w:kinsoku w:val="0"/>
              <w:overflowPunct w:val="0"/>
              <w:autoSpaceDE w:val="0"/>
              <w:autoSpaceDN w:val="0"/>
              <w:spacing w:line="300" w:lineRule="auto"/>
              <w:jc w:val="center"/>
              <w:rPr>
                <w:rFonts w:ascii="仿宋_GB2312" w:eastAsia="仿宋_GB2312" w:hAnsiTheme="minorEastAsia"/>
                <w:sz w:val="24"/>
                <w:szCs w:val="24"/>
              </w:rPr>
            </w:pPr>
            <w:r>
              <w:rPr>
                <w:rFonts w:ascii="仿宋_GB2312" w:eastAsia="仿宋_GB2312" w:hAnsiTheme="minorEastAsia"/>
                <w:sz w:val="24"/>
                <w:szCs w:val="24"/>
              </w:rPr>
              <w:t>3</w:t>
            </w:r>
          </w:p>
        </w:tc>
        <w:tc>
          <w:tcPr>
            <w:tcW w:w="1543"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sidRPr="00F93AAE">
              <w:rPr>
                <w:rFonts w:ascii="仿宋_GB2312" w:eastAsia="仿宋_GB2312" w:hAnsiTheme="minorEastAsia" w:hint="eastAsia"/>
                <w:sz w:val="24"/>
                <w:szCs w:val="24"/>
              </w:rPr>
              <w:t>17</w:t>
            </w:r>
            <w:proofErr w:type="gramStart"/>
            <w:r w:rsidRPr="00F93AAE">
              <w:rPr>
                <w:rFonts w:ascii="仿宋_GB2312" w:eastAsia="仿宋_GB2312" w:hAnsiTheme="minorEastAsia" w:hint="eastAsia"/>
                <w:sz w:val="24"/>
                <w:szCs w:val="24"/>
              </w:rPr>
              <w:t>襄阳房投</w:t>
            </w:r>
            <w:proofErr w:type="gramEnd"/>
            <w:r w:rsidRPr="00F93AAE">
              <w:rPr>
                <w:rFonts w:ascii="仿宋_GB2312" w:eastAsia="仿宋_GB2312" w:hAnsiTheme="minorEastAsia" w:hint="eastAsia"/>
                <w:sz w:val="24"/>
                <w:szCs w:val="24"/>
              </w:rPr>
              <w:t>PPN001</w:t>
            </w:r>
          </w:p>
        </w:tc>
        <w:tc>
          <w:tcPr>
            <w:tcW w:w="1896"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sidRPr="00F93AAE">
              <w:rPr>
                <w:rFonts w:ascii="仿宋_GB2312" w:eastAsia="仿宋_GB2312" w:hAnsiTheme="minorEastAsia"/>
                <w:sz w:val="24"/>
                <w:szCs w:val="24"/>
              </w:rPr>
              <w:t>180,000,000.00</w:t>
            </w:r>
          </w:p>
        </w:tc>
        <w:tc>
          <w:tcPr>
            <w:tcW w:w="1070"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Pr>
                <w:rFonts w:ascii="仿宋_GB2312" w:eastAsia="仿宋_GB2312" w:hAnsiTheme="minorEastAsia" w:hint="eastAsia"/>
                <w:sz w:val="24"/>
                <w:szCs w:val="24"/>
              </w:rPr>
              <w:t>1</w:t>
            </w:r>
            <w:r>
              <w:rPr>
                <w:rFonts w:ascii="仿宋_GB2312" w:eastAsia="仿宋_GB2312" w:hAnsiTheme="minorEastAsia"/>
                <w:sz w:val="24"/>
                <w:szCs w:val="24"/>
              </w:rPr>
              <w:t>.03</w:t>
            </w:r>
            <w:r>
              <w:rPr>
                <w:rFonts w:ascii="仿宋_GB2312" w:eastAsia="仿宋_GB2312" w:hAnsiTheme="minorEastAsia" w:hint="eastAsia"/>
                <w:sz w:val="24"/>
                <w:szCs w:val="24"/>
              </w:rPr>
              <w:t>%</w:t>
            </w:r>
          </w:p>
        </w:tc>
        <w:tc>
          <w:tcPr>
            <w:tcW w:w="1112"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Pr>
                <w:rFonts w:ascii="仿宋_GB2312" w:eastAsia="仿宋_GB2312" w:hAnsiTheme="minorEastAsia" w:hint="eastAsia"/>
                <w:sz w:val="24"/>
                <w:szCs w:val="24"/>
              </w:rPr>
              <w:t>国泰君安证券股份有限公司</w:t>
            </w:r>
          </w:p>
        </w:tc>
        <w:tc>
          <w:tcPr>
            <w:tcW w:w="2586" w:type="dxa"/>
            <w:tcBorders>
              <w:top w:val="single" w:sz="4" w:space="0" w:color="auto"/>
              <w:left w:val="single" w:sz="4" w:space="0" w:color="auto"/>
              <w:bottom w:val="single" w:sz="4" w:space="0" w:color="auto"/>
              <w:right w:val="single" w:sz="4" w:space="0" w:color="auto"/>
            </w:tcBorders>
          </w:tcPr>
          <w:p w:rsidR="00F93AAE" w:rsidRPr="00B44B39" w:rsidRDefault="00F93AAE" w:rsidP="00F93AAE">
            <w:pPr>
              <w:jc w:val="center"/>
              <w:rPr>
                <w:rFonts w:ascii="仿宋_GB2312" w:eastAsia="仿宋_GB2312" w:hAnsiTheme="minorEastAsia"/>
                <w:sz w:val="24"/>
                <w:szCs w:val="24"/>
              </w:rPr>
            </w:pPr>
            <w:r>
              <w:rPr>
                <w:rFonts w:ascii="仿宋_GB2312" w:eastAsia="仿宋_GB2312" w:hAnsiTheme="minorEastAsia" w:hint="eastAsia"/>
                <w:sz w:val="24"/>
                <w:szCs w:val="24"/>
              </w:rPr>
              <w:t>持仓证券承销商</w:t>
            </w:r>
          </w:p>
        </w:tc>
      </w:tr>
    </w:tbl>
    <w:p w:rsidR="009F0B98" w:rsidRDefault="009F0B98" w:rsidP="009F0B98">
      <w:pPr>
        <w:snapToGrid w:val="0"/>
        <w:spacing w:line="360" w:lineRule="auto"/>
        <w:rPr>
          <w:rFonts w:ascii="仿宋_GB2312" w:eastAsia="仿宋_GB2312"/>
          <w:b/>
          <w:sz w:val="24"/>
          <w:szCs w:val="24"/>
          <w:highlight w:val="yellow"/>
        </w:rPr>
      </w:pP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lastRenderedPageBreak/>
        <w:t>6</w:t>
      </w:r>
      <w:r w:rsidRPr="006E00B8">
        <w:rPr>
          <w:rFonts w:ascii="仿宋_GB2312" w:eastAsia="仿宋_GB2312"/>
          <w:b/>
          <w:sz w:val="24"/>
          <w:szCs w:val="24"/>
        </w:rPr>
        <w:t> </w:t>
      </w:r>
      <w:r w:rsidRPr="006E00B8">
        <w:rPr>
          <w:rFonts w:ascii="仿宋_GB2312" w:eastAsia="仿宋_GB2312" w:hint="eastAsia"/>
          <w:b/>
          <w:sz w:val="24"/>
          <w:szCs w:val="24"/>
        </w:rPr>
        <w:t>.影响投资者决策的其他重要信息</w:t>
      </w:r>
    </w:p>
    <w:p w:rsidR="009F0B98" w:rsidRDefault="009F0B98" w:rsidP="009F0B98">
      <w:pPr>
        <w:rPr>
          <w:rFonts w:ascii="仿宋_GB2312" w:eastAsia="仿宋_GB2312"/>
          <w:sz w:val="24"/>
          <w:szCs w:val="24"/>
        </w:rPr>
      </w:pPr>
      <w:r>
        <w:rPr>
          <w:rFonts w:ascii="仿宋_GB2312" w:eastAsia="仿宋_GB2312" w:hint="eastAsia"/>
          <w:sz w:val="24"/>
          <w:szCs w:val="24"/>
        </w:rPr>
        <w:t>无。</w:t>
      </w: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7.托管机构报告</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上海浦东发展银行股份有限公司（以下简称“本托管人”）在对本产品托管过程中，严格遵守《关于规范金融机构资产管理业务的指导意见》（银发〔2018〕106号）、《商业银行理财业务监督管理办法》（银保监会令〔2018〕6号）及其他有关法律法规、产品合同、托管协议的规定，不存在损害产品份额持有人利益的行为，完全尽职尽责地履行了托管人应尽的义务。</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本托管人依照《关于规范金融机构资产管理业务的指导意见》（银发〔2018〕106号）、《商业银行理财业务监督管理办法》（银保监会令〔2018〕6号）及其他有关法律法规、产品合同、托管协议的规定，对本产品的投资运作进行了监督，对本报告中的财务指标、净值表现、投资组合报告等内容进行了认真的复核，未发现产品管理人存在损害产品份额持有人利益的行为。</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本报告期内，由上海浦东发展银行编制的本托管人复核的本报告中的财务指标、净值表现、投资组合报告等内容真实、准确、完整。</w:t>
      </w:r>
    </w:p>
    <w:p w:rsidR="009F0B98" w:rsidRDefault="009F0B98" w:rsidP="009F0B98">
      <w:pPr>
        <w:rPr>
          <w:rFonts w:ascii="仿宋_GB2312" w:eastAsia="仿宋_GB2312"/>
          <w:sz w:val="24"/>
          <w:szCs w:val="24"/>
        </w:rPr>
      </w:pP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8.备查文件</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8.1 备查文件目录</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产品说明书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销售协议</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风险揭示书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投资者权益须知</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8.2 存放地点</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color w:val="000000"/>
          <w:sz w:val="24"/>
          <w:szCs w:val="24"/>
        </w:rPr>
        <w:t>上海市北京东路689号东银大厦</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8.3 查阅方式</w:t>
      </w:r>
    </w:p>
    <w:p w:rsidR="0041011E" w:rsidRPr="0041011E" w:rsidRDefault="009F0B98" w:rsidP="009F0B98">
      <w:pPr>
        <w:snapToGrid w:val="0"/>
        <w:spacing w:line="360" w:lineRule="auto"/>
        <w:ind w:firstLine="480"/>
        <w:rPr>
          <w:rFonts w:ascii="仿宋_GB2312" w:eastAsia="仿宋_GB2312"/>
          <w:b/>
          <w:bCs/>
          <w:sz w:val="24"/>
          <w:szCs w:val="24"/>
        </w:rPr>
      </w:pPr>
      <w:r>
        <w:rPr>
          <w:rFonts w:ascii="仿宋_GB2312" w:eastAsia="仿宋_GB2312" w:hint="eastAsia"/>
          <w:color w:val="000000"/>
          <w:sz w:val="24"/>
          <w:szCs w:val="24"/>
        </w:rPr>
        <w:t>浦发银行官方网站：</w:t>
      </w:r>
      <w:hyperlink r:id="rId6" w:history="1">
        <w:r>
          <w:rPr>
            <w:rStyle w:val="ac"/>
            <w:rFonts w:ascii="仿宋_GB2312" w:eastAsia="仿宋_GB2312" w:hint="eastAsia"/>
            <w:sz w:val="24"/>
            <w:szCs w:val="24"/>
          </w:rPr>
          <w:t>http://www.spdb.com.cn/</w:t>
        </w:r>
      </w:hyperlink>
    </w:p>
    <w:sectPr w:rsidR="0041011E" w:rsidRPr="004101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09C" w:rsidRDefault="0050709C" w:rsidP="00E61C1A">
      <w:r>
        <w:separator/>
      </w:r>
    </w:p>
  </w:endnote>
  <w:endnote w:type="continuationSeparator" w:id="0">
    <w:p w:rsidR="0050709C" w:rsidRDefault="0050709C" w:rsidP="00E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等线"/>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09C" w:rsidRDefault="0050709C" w:rsidP="00E61C1A">
      <w:r>
        <w:separator/>
      </w:r>
    </w:p>
  </w:footnote>
  <w:footnote w:type="continuationSeparator" w:id="0">
    <w:p w:rsidR="0050709C" w:rsidRDefault="0050709C" w:rsidP="00E61C1A">
      <w:r>
        <w:continuationSeparator/>
      </w:r>
    </w:p>
  </w:footnote>
  <w:footnote w:id="1">
    <w:p w:rsidR="00E61C1A" w:rsidRDefault="00E61C1A" w:rsidP="00E61C1A">
      <w:pPr>
        <w:pStyle w:val="a7"/>
      </w:pPr>
      <w:r>
        <w:rPr>
          <w:rStyle w:val="a9"/>
        </w:rPr>
        <w:footnoteRef/>
      </w:r>
      <w:r>
        <w:rPr>
          <w:rFonts w:hint="eastAsia"/>
          <w:sz w:val="15"/>
          <w:szCs w:val="15"/>
        </w:rPr>
        <w:t>产品登记编码指本产品在全国银行理财信息登记系统获取的登记编码。</w:t>
      </w:r>
    </w:p>
  </w:footnote>
  <w:footnote w:id="2">
    <w:p w:rsidR="00DE496A" w:rsidRDefault="00DE496A" w:rsidP="00DE496A">
      <w:pPr>
        <w:pStyle w:val="a7"/>
        <w:rPr>
          <w:sz w:val="15"/>
          <w:szCs w:val="15"/>
        </w:rPr>
      </w:pPr>
      <w:r>
        <w:rPr>
          <w:rStyle w:val="a9"/>
        </w:rPr>
        <w:footnoteRef/>
      </w:r>
      <w:r>
        <w:rPr>
          <w:rFonts w:hint="eastAsia"/>
        </w:rPr>
        <w:t xml:space="preserve"> </w:t>
      </w:r>
      <w:r>
        <w:rPr>
          <w:rFonts w:hint="eastAsia"/>
          <w:sz w:val="15"/>
          <w:szCs w:val="15"/>
        </w:rPr>
        <w:t>本报告所称非标准化债权资产，指根据《关于规范金融机构资产管理业务的指导意见》（银发〔</w:t>
      </w:r>
      <w:r>
        <w:rPr>
          <w:rFonts w:hint="eastAsia"/>
          <w:sz w:val="15"/>
          <w:szCs w:val="15"/>
        </w:rPr>
        <w:t>2018</w:t>
      </w:r>
      <w:r>
        <w:rPr>
          <w:rFonts w:hint="eastAsia"/>
          <w:sz w:val="15"/>
          <w:szCs w:val="15"/>
        </w:rPr>
        <w:t>〕</w:t>
      </w:r>
      <w:r>
        <w:rPr>
          <w:rFonts w:hint="eastAsia"/>
          <w:sz w:val="15"/>
          <w:szCs w:val="15"/>
        </w:rPr>
        <w:t>106</w:t>
      </w:r>
      <w:r>
        <w:rPr>
          <w:rFonts w:hint="eastAsia"/>
          <w:sz w:val="15"/>
          <w:szCs w:val="15"/>
        </w:rPr>
        <w:t>号）规定，标准化债权类资产之外的债权类资产。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62"/>
    <w:rsid w:val="00023644"/>
    <w:rsid w:val="00045667"/>
    <w:rsid w:val="00046D3D"/>
    <w:rsid w:val="00065EC7"/>
    <w:rsid w:val="00077F23"/>
    <w:rsid w:val="00095851"/>
    <w:rsid w:val="00130728"/>
    <w:rsid w:val="001814DB"/>
    <w:rsid w:val="001F2DA5"/>
    <w:rsid w:val="00211495"/>
    <w:rsid w:val="00213ECF"/>
    <w:rsid w:val="00274D37"/>
    <w:rsid w:val="00352F7F"/>
    <w:rsid w:val="00367DBF"/>
    <w:rsid w:val="00380BE2"/>
    <w:rsid w:val="003F480F"/>
    <w:rsid w:val="00400A77"/>
    <w:rsid w:val="0041011E"/>
    <w:rsid w:val="0041666B"/>
    <w:rsid w:val="0042245C"/>
    <w:rsid w:val="00442040"/>
    <w:rsid w:val="0048092C"/>
    <w:rsid w:val="004A0D12"/>
    <w:rsid w:val="004E272F"/>
    <w:rsid w:val="0050709C"/>
    <w:rsid w:val="00564E1C"/>
    <w:rsid w:val="0058623B"/>
    <w:rsid w:val="00594725"/>
    <w:rsid w:val="005B0E63"/>
    <w:rsid w:val="0061160C"/>
    <w:rsid w:val="006304A5"/>
    <w:rsid w:val="006E00B8"/>
    <w:rsid w:val="007167B6"/>
    <w:rsid w:val="00781652"/>
    <w:rsid w:val="007D042E"/>
    <w:rsid w:val="007E2254"/>
    <w:rsid w:val="008579C9"/>
    <w:rsid w:val="008A646C"/>
    <w:rsid w:val="008D4921"/>
    <w:rsid w:val="009027FB"/>
    <w:rsid w:val="0093653B"/>
    <w:rsid w:val="00973891"/>
    <w:rsid w:val="009B6B6E"/>
    <w:rsid w:val="009F0B98"/>
    <w:rsid w:val="009F19FF"/>
    <w:rsid w:val="00A7331C"/>
    <w:rsid w:val="00A768E1"/>
    <w:rsid w:val="00B2798E"/>
    <w:rsid w:val="00B9403A"/>
    <w:rsid w:val="00BB17CD"/>
    <w:rsid w:val="00C2222B"/>
    <w:rsid w:val="00C55E0E"/>
    <w:rsid w:val="00C7699C"/>
    <w:rsid w:val="00CA2EB7"/>
    <w:rsid w:val="00CA6A9F"/>
    <w:rsid w:val="00D170C5"/>
    <w:rsid w:val="00D37F3B"/>
    <w:rsid w:val="00D601E1"/>
    <w:rsid w:val="00DC25F6"/>
    <w:rsid w:val="00DD0D5E"/>
    <w:rsid w:val="00DE1F30"/>
    <w:rsid w:val="00DE496A"/>
    <w:rsid w:val="00E40978"/>
    <w:rsid w:val="00E54BC9"/>
    <w:rsid w:val="00E61C1A"/>
    <w:rsid w:val="00E63347"/>
    <w:rsid w:val="00E814A8"/>
    <w:rsid w:val="00F864D2"/>
    <w:rsid w:val="00F93AAE"/>
    <w:rsid w:val="00FB1262"/>
    <w:rsid w:val="00FB4D10"/>
    <w:rsid w:val="00FC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1DC41D-648A-4DA7-B886-8E36399EB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C1A"/>
    <w:pPr>
      <w:widowControl w:val="0"/>
      <w:jc w:val="both"/>
    </w:pPr>
    <w:rPr>
      <w:rFonts w:ascii="Times New Roman" w:eastAsia="方正仿宋简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C1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61C1A"/>
    <w:rPr>
      <w:sz w:val="18"/>
      <w:szCs w:val="18"/>
    </w:rPr>
  </w:style>
  <w:style w:type="paragraph" w:styleId="a5">
    <w:name w:val="footer"/>
    <w:basedOn w:val="a"/>
    <w:link w:val="a6"/>
    <w:uiPriority w:val="99"/>
    <w:unhideWhenUsed/>
    <w:rsid w:val="00E61C1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61C1A"/>
    <w:rPr>
      <w:sz w:val="18"/>
      <w:szCs w:val="18"/>
    </w:rPr>
  </w:style>
  <w:style w:type="paragraph" w:styleId="a7">
    <w:name w:val="footnote text"/>
    <w:basedOn w:val="a"/>
    <w:link w:val="a8"/>
    <w:uiPriority w:val="99"/>
    <w:semiHidden/>
    <w:qFormat/>
    <w:rsid w:val="00E61C1A"/>
    <w:pPr>
      <w:snapToGrid w:val="0"/>
      <w:jc w:val="left"/>
    </w:pPr>
    <w:rPr>
      <w:rFonts w:eastAsia="宋体"/>
      <w:sz w:val="18"/>
      <w:szCs w:val="18"/>
    </w:rPr>
  </w:style>
  <w:style w:type="character" w:customStyle="1" w:styleId="a8">
    <w:name w:val="脚注文本 字符"/>
    <w:basedOn w:val="a0"/>
    <w:link w:val="a7"/>
    <w:uiPriority w:val="99"/>
    <w:semiHidden/>
    <w:rsid w:val="00E61C1A"/>
    <w:rPr>
      <w:rFonts w:ascii="Times New Roman" w:eastAsia="宋体" w:hAnsi="Times New Roman" w:cs="Times New Roman"/>
      <w:sz w:val="18"/>
      <w:szCs w:val="18"/>
    </w:rPr>
  </w:style>
  <w:style w:type="character" w:styleId="a9">
    <w:name w:val="footnote reference"/>
    <w:uiPriority w:val="99"/>
    <w:semiHidden/>
    <w:qFormat/>
    <w:rsid w:val="00E61C1A"/>
    <w:rPr>
      <w:vertAlign w:val="superscript"/>
    </w:rPr>
  </w:style>
  <w:style w:type="paragraph" w:styleId="aa">
    <w:name w:val="Normal (Web)"/>
    <w:basedOn w:val="a"/>
    <w:uiPriority w:val="99"/>
    <w:qFormat/>
    <w:rsid w:val="004E272F"/>
    <w:pPr>
      <w:widowControl/>
      <w:spacing w:before="100" w:beforeAutospacing="1" w:after="100" w:afterAutospacing="1"/>
      <w:jc w:val="left"/>
    </w:pPr>
    <w:rPr>
      <w:rFonts w:ascii="宋体" w:eastAsia="宋体" w:hAnsi="宋体"/>
      <w:kern w:val="0"/>
      <w:sz w:val="24"/>
      <w:szCs w:val="24"/>
    </w:rPr>
  </w:style>
  <w:style w:type="table" w:styleId="ab">
    <w:name w:val="Table Grid"/>
    <w:basedOn w:val="a1"/>
    <w:uiPriority w:val="59"/>
    <w:rsid w:val="004E272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
    <w:name w:val="xl33"/>
    <w:basedOn w:val="a"/>
    <w:uiPriority w:val="99"/>
    <w:qFormat/>
    <w:rsid w:val="00DE49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character" w:styleId="ac">
    <w:name w:val="Hyperlink"/>
    <w:basedOn w:val="a0"/>
    <w:uiPriority w:val="99"/>
    <w:semiHidden/>
    <w:unhideWhenUsed/>
    <w:rsid w:val="00410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08575">
      <w:bodyDiv w:val="1"/>
      <w:marLeft w:val="0"/>
      <w:marRight w:val="0"/>
      <w:marTop w:val="0"/>
      <w:marBottom w:val="0"/>
      <w:divBdr>
        <w:top w:val="none" w:sz="0" w:space="0" w:color="auto"/>
        <w:left w:val="none" w:sz="0" w:space="0" w:color="auto"/>
        <w:bottom w:val="none" w:sz="0" w:space="0" w:color="auto"/>
        <w:right w:val="none" w:sz="0" w:space="0" w:color="auto"/>
      </w:divBdr>
    </w:div>
    <w:div w:id="719522124">
      <w:bodyDiv w:val="1"/>
      <w:marLeft w:val="0"/>
      <w:marRight w:val="0"/>
      <w:marTop w:val="0"/>
      <w:marBottom w:val="0"/>
      <w:divBdr>
        <w:top w:val="none" w:sz="0" w:space="0" w:color="auto"/>
        <w:left w:val="none" w:sz="0" w:space="0" w:color="auto"/>
        <w:bottom w:val="none" w:sz="0" w:space="0" w:color="auto"/>
        <w:right w:val="none" w:sz="0" w:space="0" w:color="auto"/>
      </w:divBdr>
    </w:div>
    <w:div w:id="1973435500">
      <w:bodyDiv w:val="1"/>
      <w:marLeft w:val="0"/>
      <w:marRight w:val="0"/>
      <w:marTop w:val="0"/>
      <w:marBottom w:val="0"/>
      <w:divBdr>
        <w:top w:val="none" w:sz="0" w:space="0" w:color="auto"/>
        <w:left w:val="none" w:sz="0" w:space="0" w:color="auto"/>
        <w:bottom w:val="none" w:sz="0" w:space="0" w:color="auto"/>
        <w:right w:val="none" w:sz="0" w:space="0" w:color="auto"/>
      </w:divBdr>
    </w:div>
    <w:div w:id="21349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db.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404</Words>
  <Characters>2304</Characters>
  <Application>Microsoft Office Word</Application>
  <DocSecurity>0</DocSecurity>
  <Lines>19</Lines>
  <Paragraphs>5</Paragraphs>
  <ScaleCrop>false</ScaleCrop>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DEVVDI02</dc:creator>
  <cp:lastModifiedBy>张馨茹</cp:lastModifiedBy>
  <cp:revision>5</cp:revision>
  <dcterms:created xsi:type="dcterms:W3CDTF">2022-01-12T07:09:00Z</dcterms:created>
  <dcterms:modified xsi:type="dcterms:W3CDTF">2022-02-14T06:45:00Z</dcterms:modified>
</cp:coreProperties>
</file>