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1C1A" w:rsidRDefault="00E61C1A" w:rsidP="00E61C1A">
      <w:pPr>
        <w:snapToGrid w:val="0"/>
        <w:spacing w:line="360" w:lineRule="auto"/>
        <w:jc w:val="center"/>
        <w:rPr>
          <w:rFonts w:ascii="仿宋_GB2312" w:eastAsia="仿宋_GB2312"/>
          <w:b/>
          <w:bCs/>
          <w:sz w:val="24"/>
          <w:szCs w:val="24"/>
          <w:vertAlign w:val="superscript"/>
        </w:rPr>
      </w:pPr>
      <w:r>
        <w:rPr>
          <w:rFonts w:ascii="仿宋_GB2312" w:eastAsia="仿宋_GB2312" w:hint="eastAsia"/>
          <w:b/>
          <w:bCs/>
          <w:color w:val="000000"/>
          <w:sz w:val="24"/>
          <w:szCs w:val="24"/>
        </w:rPr>
        <w:t>公募理财产品定期</w:t>
      </w:r>
      <w:r>
        <w:rPr>
          <w:rFonts w:ascii="仿宋_GB2312" w:eastAsia="仿宋_GB2312" w:hint="eastAsia"/>
          <w:b/>
          <w:bCs/>
          <w:sz w:val="24"/>
          <w:szCs w:val="24"/>
        </w:rPr>
        <w:t>报告</w:t>
      </w:r>
    </w:p>
    <w:p w:rsidR="00E61C1A" w:rsidRDefault="00E61C1A" w:rsidP="00E61C1A">
      <w:pPr>
        <w:snapToGrid w:val="0"/>
        <w:spacing w:line="360" w:lineRule="auto"/>
        <w:rPr>
          <w:rFonts w:ascii="仿宋_GB2312" w:eastAsia="仿宋_GB2312"/>
          <w:b/>
          <w:bCs/>
          <w:sz w:val="24"/>
          <w:szCs w:val="24"/>
          <w:vertAlign w:val="superscript"/>
        </w:rPr>
      </w:pPr>
      <w:r>
        <w:rPr>
          <w:rFonts w:ascii="仿宋_GB2312" w:eastAsia="仿宋_GB2312" w:hint="eastAsia"/>
          <w:b/>
          <w:sz w:val="24"/>
          <w:szCs w:val="24"/>
        </w:rPr>
        <w:t>1</w:t>
      </w:r>
      <w:r>
        <w:rPr>
          <w:rFonts w:hint="eastAsia"/>
          <w:b/>
          <w:sz w:val="24"/>
          <w:szCs w:val="24"/>
        </w:rPr>
        <w:t> </w:t>
      </w:r>
      <w:r>
        <w:rPr>
          <w:rFonts w:ascii="仿宋_GB2312" w:eastAsia="仿宋_GB2312" w:hint="eastAsia"/>
          <w:b/>
          <w:sz w:val="24"/>
          <w:szCs w:val="24"/>
        </w:rPr>
        <w:t>.重要提示</w:t>
      </w:r>
    </w:p>
    <w:tbl>
      <w:tblPr>
        <w:tblW w:w="9072" w:type="dxa"/>
        <w:tblBorders>
          <w:top w:val="single" w:sz="4" w:space="0" w:color="auto"/>
          <w:left w:val="single" w:sz="8" w:space="0" w:color="auto"/>
          <w:bottom w:val="single" w:sz="8" w:space="0" w:color="auto"/>
          <w:right w:val="single" w:sz="8" w:space="0" w:color="auto"/>
        </w:tblBorders>
        <w:tblLayout w:type="fixed"/>
        <w:tblCellMar>
          <w:left w:w="0" w:type="dxa"/>
          <w:right w:w="0" w:type="dxa"/>
        </w:tblCellMar>
        <w:tblLook w:val="04A0" w:firstRow="1" w:lastRow="0" w:firstColumn="1" w:lastColumn="0" w:noHBand="0" w:noVBand="1"/>
      </w:tblPr>
      <w:tblGrid>
        <w:gridCol w:w="9072"/>
      </w:tblGrid>
      <w:tr w:rsidR="00E61C1A" w:rsidTr="00B00579">
        <w:trPr>
          <w:trHeight w:val="2514"/>
        </w:trPr>
        <w:tc>
          <w:tcPr>
            <w:tcW w:w="9072" w:type="dxa"/>
            <w:tcMar>
              <w:top w:w="0" w:type="dxa"/>
              <w:left w:w="108" w:type="dxa"/>
              <w:bottom w:w="0" w:type="dxa"/>
              <w:right w:w="108" w:type="dxa"/>
            </w:tcMar>
          </w:tcPr>
          <w:p w:rsidR="00F864D2" w:rsidRDefault="00F864D2" w:rsidP="00F864D2">
            <w:pPr>
              <w:snapToGrid w:val="0"/>
              <w:spacing w:line="360" w:lineRule="auto"/>
              <w:ind w:firstLine="360"/>
              <w:jc w:val="left"/>
              <w:rPr>
                <w:rFonts w:ascii="仿宋_GB2312" w:eastAsia="仿宋_GB2312" w:hAnsi="Calibri" w:cs="宋体"/>
                <w:color w:val="404040"/>
                <w:sz w:val="24"/>
                <w:szCs w:val="24"/>
              </w:rPr>
            </w:pPr>
            <w:r>
              <w:rPr>
                <w:rFonts w:ascii="仿宋_GB2312" w:eastAsia="仿宋_GB2312" w:hint="eastAsia"/>
                <w:color w:val="404040"/>
                <w:sz w:val="24"/>
                <w:szCs w:val="24"/>
              </w:rPr>
              <w:t>产品管理人保证本报告所载资料不存在虚假记载、误导性陈述或重大遗漏，并对其内容的真实性、准确性和完整性负责。</w:t>
            </w:r>
          </w:p>
          <w:p w:rsidR="00F864D2" w:rsidRDefault="00F864D2" w:rsidP="00F864D2">
            <w:pPr>
              <w:snapToGrid w:val="0"/>
              <w:spacing w:line="360" w:lineRule="auto"/>
              <w:ind w:firstLine="360"/>
              <w:jc w:val="left"/>
              <w:rPr>
                <w:rFonts w:ascii="仿宋_GB2312" w:eastAsia="仿宋_GB2312"/>
                <w:color w:val="404040"/>
                <w:sz w:val="24"/>
                <w:szCs w:val="24"/>
              </w:rPr>
            </w:pPr>
            <w:r>
              <w:rPr>
                <w:rFonts w:ascii="仿宋_GB2312" w:eastAsia="仿宋_GB2312" w:hint="eastAsia"/>
                <w:color w:val="404040"/>
                <w:sz w:val="24"/>
                <w:szCs w:val="24"/>
              </w:rPr>
              <w:t xml:space="preserve">产品托管人上海浦东发展银行根据本产品合同规定，复核了本报告中的财务指标、净值表现、投资组合报告等内容，保证复核内容不存在虚假记载、误导性陈述或者重大遗漏。　</w:t>
            </w:r>
          </w:p>
          <w:p w:rsidR="00F864D2" w:rsidRDefault="00F864D2" w:rsidP="00F864D2">
            <w:pPr>
              <w:snapToGrid w:val="0"/>
              <w:spacing w:line="360" w:lineRule="auto"/>
              <w:ind w:firstLine="360"/>
              <w:jc w:val="left"/>
              <w:rPr>
                <w:rFonts w:ascii="仿宋_GB2312" w:eastAsia="仿宋_GB2312"/>
                <w:color w:val="404040"/>
                <w:sz w:val="24"/>
                <w:szCs w:val="24"/>
              </w:rPr>
            </w:pPr>
            <w:r>
              <w:rPr>
                <w:rFonts w:ascii="仿宋_GB2312" w:eastAsia="仿宋_GB2312" w:hint="eastAsia"/>
                <w:color w:val="404040"/>
                <w:sz w:val="24"/>
                <w:szCs w:val="24"/>
              </w:rPr>
              <w:t xml:space="preserve">产品管理人承诺以诚实信用、勤勉尽责的原则管理和运用产品资产，但不保证产品一定盈利。　　</w:t>
            </w:r>
          </w:p>
          <w:p w:rsidR="00F864D2" w:rsidRDefault="00F864D2" w:rsidP="00F864D2">
            <w:pPr>
              <w:snapToGrid w:val="0"/>
              <w:spacing w:line="360" w:lineRule="auto"/>
              <w:ind w:firstLine="360"/>
              <w:jc w:val="left"/>
              <w:rPr>
                <w:rFonts w:ascii="仿宋_GB2312" w:eastAsia="仿宋_GB2312"/>
                <w:color w:val="404040"/>
                <w:sz w:val="24"/>
                <w:szCs w:val="24"/>
              </w:rPr>
            </w:pPr>
            <w:r>
              <w:rPr>
                <w:rFonts w:ascii="仿宋_GB2312" w:eastAsia="仿宋_GB2312" w:hint="eastAsia"/>
                <w:color w:val="404040"/>
                <w:sz w:val="24"/>
                <w:szCs w:val="24"/>
              </w:rPr>
              <w:t>产品的过往业绩并不代表其未来表现。投资有风险，投资者在做出投资决策前应仔细阅读本产品的销售文件。</w:t>
            </w:r>
          </w:p>
          <w:p w:rsidR="00E61C1A" w:rsidRDefault="00F864D2" w:rsidP="00F864D2">
            <w:pPr>
              <w:snapToGrid w:val="0"/>
              <w:spacing w:line="360" w:lineRule="auto"/>
              <w:ind w:firstLine="360"/>
              <w:jc w:val="left"/>
              <w:rPr>
                <w:rFonts w:ascii="仿宋_GB2312" w:eastAsia="仿宋_GB2312" w:hAnsi="Calibri" w:cs="宋体"/>
                <w:color w:val="404040"/>
                <w:sz w:val="24"/>
                <w:szCs w:val="24"/>
              </w:rPr>
            </w:pPr>
            <w:r>
              <w:rPr>
                <w:rFonts w:ascii="仿宋_GB2312" w:eastAsia="仿宋_GB2312" w:hint="eastAsia"/>
                <w:color w:val="404040"/>
                <w:sz w:val="24"/>
                <w:szCs w:val="24"/>
              </w:rPr>
              <w:t>本报告中财务资料未经审计。</w:t>
            </w:r>
          </w:p>
        </w:tc>
      </w:tr>
    </w:tbl>
    <w:p w:rsidR="00E61C1A" w:rsidRDefault="00E61C1A" w:rsidP="00E61C1A">
      <w:pPr>
        <w:snapToGrid w:val="0"/>
        <w:spacing w:line="360" w:lineRule="auto"/>
        <w:rPr>
          <w:rFonts w:ascii="仿宋_GB2312" w:eastAsia="仿宋_GB2312"/>
          <w:b/>
          <w:sz w:val="24"/>
          <w:szCs w:val="24"/>
        </w:rPr>
      </w:pPr>
      <w:r>
        <w:rPr>
          <w:rFonts w:ascii="仿宋_GB2312" w:eastAsia="仿宋_GB2312" w:hint="eastAsia"/>
          <w:b/>
          <w:sz w:val="24"/>
          <w:szCs w:val="24"/>
        </w:rPr>
        <w:t>2.</w:t>
      </w:r>
      <w:r>
        <w:rPr>
          <w:rFonts w:ascii="仿宋_GB2312" w:eastAsia="仿宋_GB2312" w:hint="eastAsia"/>
          <w:b/>
          <w:sz w:val="24"/>
          <w:szCs w:val="24"/>
        </w:rPr>
        <w:t> </w:t>
      </w:r>
      <w:r>
        <w:rPr>
          <w:rFonts w:ascii="仿宋_GB2312" w:eastAsia="仿宋_GB2312" w:hint="eastAsia"/>
          <w:b/>
          <w:sz w:val="24"/>
          <w:szCs w:val="24"/>
        </w:rPr>
        <w:t>产品概况</w:t>
      </w:r>
    </w:p>
    <w:tbl>
      <w:tblPr>
        <w:tblW w:w="907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19"/>
        <w:gridCol w:w="4853"/>
      </w:tblGrid>
      <w:tr w:rsidR="00E61C1A" w:rsidTr="00B00579">
        <w:tc>
          <w:tcPr>
            <w:tcW w:w="4219" w:type="dxa"/>
            <w:tcMar>
              <w:top w:w="0" w:type="dxa"/>
              <w:left w:w="108" w:type="dxa"/>
              <w:bottom w:w="0" w:type="dxa"/>
              <w:right w:w="108" w:type="dxa"/>
            </w:tcMar>
            <w:vAlign w:val="center"/>
          </w:tcPr>
          <w:p w:rsidR="00E61C1A" w:rsidRDefault="00E61C1A" w:rsidP="00B00579">
            <w:pPr>
              <w:snapToGrid w:val="0"/>
              <w:spacing w:line="360" w:lineRule="auto"/>
              <w:ind w:firstLine="480"/>
              <w:jc w:val="center"/>
              <w:rPr>
                <w:rFonts w:ascii="仿宋_GB2312" w:eastAsia="仿宋_GB2312" w:hAnsi="Calibri" w:cs="宋体"/>
                <w:color w:val="FF0000"/>
                <w:sz w:val="24"/>
                <w:szCs w:val="24"/>
              </w:rPr>
            </w:pPr>
            <w:r w:rsidRPr="009106D5">
              <w:rPr>
                <w:rFonts w:ascii="仿宋_GB2312" w:eastAsia="仿宋_GB2312" w:hAnsiTheme="minorEastAsia" w:hint="eastAsia"/>
                <w:kern w:val="0"/>
                <w:sz w:val="24"/>
                <w:szCs w:val="24"/>
              </w:rPr>
              <w:t>产品名称</w:t>
            </w:r>
          </w:p>
        </w:tc>
        <w:tc>
          <w:tcPr>
            <w:tcW w:w="4853" w:type="dxa"/>
            <w:tcMar>
              <w:top w:w="0" w:type="dxa"/>
              <w:left w:w="108" w:type="dxa"/>
              <w:bottom w:w="0" w:type="dxa"/>
              <w:right w:w="108" w:type="dxa"/>
            </w:tcMar>
            <w:vAlign w:val="center"/>
          </w:tcPr>
          <w:p w:rsidR="00E61C1A" w:rsidRDefault="001814DB" w:rsidP="00B00579">
            <w:pPr>
              <w:snapToGrid w:val="0"/>
              <w:spacing w:line="360" w:lineRule="auto"/>
              <w:jc w:val="center"/>
              <w:rPr>
                <w:rFonts w:ascii="仿宋_GB2312" w:eastAsia="仿宋_GB2312" w:hAnsi="Calibri" w:cs="宋体"/>
                <w:color w:val="000000"/>
                <w:sz w:val="24"/>
                <w:szCs w:val="24"/>
              </w:rPr>
            </w:pPr>
            <w:r>
              <w:rPr>
                <w:rFonts w:ascii="仿宋_GB2312" w:eastAsia="仿宋_GB2312" w:hAnsi="Calibri" w:cs="宋体"/>
                <w:color w:val="000000"/>
                <w:sz w:val="24"/>
                <w:szCs w:val="24"/>
              </w:rPr>
              <w:t>浦发银行鑫盈利系列1年定开6号理财产品</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kern w:val="0"/>
                <w:sz w:val="24"/>
                <w:szCs w:val="24"/>
              </w:rPr>
            </w:pPr>
            <w:r w:rsidRPr="009106D5">
              <w:rPr>
                <w:rFonts w:ascii="仿宋_GB2312" w:eastAsia="仿宋_GB2312" w:hAnsiTheme="minorEastAsia" w:hint="eastAsia"/>
                <w:kern w:val="0"/>
                <w:sz w:val="24"/>
                <w:szCs w:val="24"/>
              </w:rPr>
              <w:t>产品代码</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olor w:val="000000"/>
                <w:kern w:val="0"/>
                <w:sz w:val="24"/>
                <w:szCs w:val="24"/>
              </w:rPr>
            </w:pPr>
            <w:r>
              <w:rPr>
                <w:rFonts w:ascii="仿宋_GB2312" w:eastAsia="仿宋_GB2312" w:hAnsi="Calibri" w:cs="宋体"/>
                <w:color w:val="000000"/>
                <w:sz w:val="24"/>
                <w:szCs w:val="24"/>
              </w:rPr>
              <w:t>2301202506(销售代码:2301202812/2301202813/2301202814/2301202815)</w:t>
            </w:r>
          </w:p>
        </w:tc>
      </w:tr>
      <w:tr w:rsidR="00E61C1A" w:rsidTr="00B00579">
        <w:tblPrEx>
          <w:tblBorders>
            <w:top w:val="none" w:sz="0"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kern w:val="0"/>
                <w:sz w:val="24"/>
                <w:szCs w:val="24"/>
              </w:rPr>
            </w:pPr>
            <w:r w:rsidRPr="009106D5">
              <w:rPr>
                <w:rFonts w:ascii="仿宋_GB2312" w:eastAsia="仿宋_GB2312" w:hAnsiTheme="minorEastAsia" w:hint="eastAsia"/>
                <w:kern w:val="0"/>
                <w:sz w:val="24"/>
                <w:szCs w:val="24"/>
              </w:rPr>
              <w:t>产品登记编码</w:t>
            </w:r>
            <w:r w:rsidRPr="009106D5">
              <w:rPr>
                <w:rStyle w:val="a9"/>
                <w:rFonts w:ascii="仿宋_GB2312" w:eastAsia="仿宋_GB2312" w:hAnsiTheme="minorEastAsia"/>
                <w:kern w:val="0"/>
                <w:sz w:val="24"/>
                <w:szCs w:val="24"/>
              </w:rPr>
              <w:footnoteReference w:id="1"/>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C1031020000006</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产品类型</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固定收益类</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产品成立日</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2020-05-20</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报告期末产品份额总额</w:t>
            </w:r>
          </w:p>
        </w:tc>
        <w:tc>
          <w:tcPr>
            <w:tcW w:w="4853" w:type="dxa"/>
            <w:tcMar>
              <w:top w:w="0" w:type="dxa"/>
              <w:left w:w="108" w:type="dxa"/>
              <w:bottom w:w="0" w:type="dxa"/>
              <w:right w:w="108" w:type="dxa"/>
            </w:tcMar>
            <w:vAlign w:val="center"/>
          </w:tcPr>
          <w:p w:rsidR="00E61C1A" w:rsidRDefault="00442040" w:rsidP="00B00579">
            <w:pPr>
              <w:adjustRightInd w:val="0"/>
              <w:snapToGrid w:val="0"/>
              <w:spacing w:line="360" w:lineRule="auto"/>
              <w:ind w:firstLine="420"/>
              <w:jc w:val="center"/>
              <w:rPr>
                <w:rFonts w:ascii="仿宋_GB2312" w:eastAsia="仿宋_GB2312" w:hAnsiTheme="minorEastAsia" w:cs="宋体"/>
                <w:color w:val="000000"/>
                <w:sz w:val="24"/>
                <w:szCs w:val="24"/>
              </w:rPr>
            </w:pPr>
            <w:r>
              <w:rPr>
                <w:rFonts w:ascii="仿宋_GB2312" w:eastAsia="仿宋_GB2312" w:hAnsiTheme="minorEastAsia" w:cs="宋体"/>
                <w:color w:val="000000"/>
                <w:sz w:val="24"/>
                <w:szCs w:val="24"/>
              </w:rPr>
              <w:t>608,902,320.13</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kern w:val="0"/>
                <w:sz w:val="24"/>
                <w:szCs w:val="24"/>
              </w:rPr>
            </w:pPr>
            <w:r w:rsidRPr="009106D5">
              <w:rPr>
                <w:rFonts w:ascii="仿宋_GB2312" w:eastAsia="仿宋_GB2312" w:hAnsiTheme="minorEastAsia" w:hint="eastAsia"/>
                <w:kern w:val="0"/>
                <w:sz w:val="24"/>
                <w:szCs w:val="24"/>
              </w:rPr>
              <w:t>报告期末产品杠杆水平</w:t>
            </w:r>
          </w:p>
        </w:tc>
        <w:tc>
          <w:tcPr>
            <w:tcW w:w="4853" w:type="dxa"/>
            <w:tcMar>
              <w:top w:w="0" w:type="dxa"/>
              <w:left w:w="108" w:type="dxa"/>
              <w:bottom w:w="0" w:type="dxa"/>
              <w:right w:w="108" w:type="dxa"/>
            </w:tcMar>
            <w:vAlign w:val="center"/>
          </w:tcPr>
          <w:p w:rsidR="00E61C1A" w:rsidRDefault="00442040" w:rsidP="00B00579">
            <w:pPr>
              <w:adjustRightInd w:val="0"/>
              <w:snapToGrid w:val="0"/>
              <w:spacing w:line="360" w:lineRule="auto"/>
              <w:ind w:firstLine="420"/>
              <w:jc w:val="center"/>
              <w:rPr>
                <w:rFonts w:ascii="仿宋_GB2312" w:eastAsia="仿宋_GB2312" w:hAnsiTheme="minorEastAsia" w:cs="宋体"/>
                <w:color w:val="000000"/>
                <w:sz w:val="24"/>
                <w:szCs w:val="24"/>
              </w:rPr>
            </w:pPr>
            <w:r>
              <w:rPr>
                <w:rFonts w:ascii="仿宋_GB2312" w:eastAsia="仿宋_GB2312" w:hAnsiTheme="minorEastAsia" w:cs="宋体"/>
                <w:color w:val="000000"/>
                <w:sz w:val="24"/>
                <w:szCs w:val="24"/>
              </w:rPr>
              <w:t>100.60%</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业绩比较基准</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2301202812 : 3.60%-4.10%</w:t>
            </w:r>
            <w:r>
              <w:rPr>
                <w:rFonts w:ascii="仿宋_GB2312" w:eastAsia="仿宋_GB2312" w:hAnsi="Calibri" w:cs="宋体"/>
                <w:color w:val="000000"/>
                <w:sz w:val="24"/>
                <w:szCs w:val="24"/>
              </w:rPr>
              <w:br/>
              <w:t>2301202813 : 3.63%-4.13%</w:t>
            </w:r>
            <w:r>
              <w:rPr>
                <w:rFonts w:ascii="仿宋_GB2312" w:eastAsia="仿宋_GB2312" w:hAnsi="Calibri" w:cs="宋体"/>
                <w:color w:val="000000"/>
                <w:sz w:val="24"/>
                <w:szCs w:val="24"/>
              </w:rPr>
              <w:br/>
              <w:t>2301202814 : 3.65%-4.15%</w:t>
            </w:r>
            <w:r>
              <w:rPr>
                <w:rFonts w:ascii="仿宋_GB2312" w:eastAsia="仿宋_GB2312" w:hAnsi="Calibri" w:cs="宋体"/>
                <w:color w:val="000000"/>
                <w:sz w:val="24"/>
                <w:szCs w:val="24"/>
              </w:rPr>
              <w:br/>
              <w:t>2301202815 : 3.70%-4.20%</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风险等级</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较低风险</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Default="00E61C1A" w:rsidP="00B00579">
            <w:pPr>
              <w:adjustRightInd w:val="0"/>
              <w:snapToGrid w:val="0"/>
              <w:spacing w:line="360" w:lineRule="auto"/>
              <w:ind w:firstLine="480"/>
              <w:jc w:val="center"/>
              <w:rPr>
                <w:rFonts w:ascii="仿宋_GB2312" w:eastAsia="仿宋_GB2312" w:hAnsiTheme="minorEastAsia" w:cs="宋体"/>
                <w:color w:val="000000" w:themeColor="text1"/>
                <w:sz w:val="24"/>
                <w:szCs w:val="24"/>
              </w:rPr>
            </w:pPr>
            <w:r>
              <w:rPr>
                <w:rFonts w:ascii="仿宋_GB2312" w:eastAsia="仿宋_GB2312" w:hAnsiTheme="minorEastAsia" w:hint="eastAsia"/>
                <w:color w:val="000000" w:themeColor="text1"/>
                <w:kern w:val="0"/>
                <w:sz w:val="24"/>
                <w:szCs w:val="24"/>
              </w:rPr>
              <w:t>产品管理人</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ind w:firstLineChars="100" w:firstLine="240"/>
              <w:jc w:val="center"/>
              <w:rPr>
                <w:rFonts w:ascii="仿宋_GB2312" w:eastAsia="仿宋_GB2312" w:hAnsiTheme="minorEastAsia" w:cs="宋体"/>
                <w:color w:val="000000"/>
                <w:sz w:val="24"/>
                <w:szCs w:val="24"/>
              </w:rPr>
            </w:pPr>
            <w:r>
              <w:rPr>
                <w:rFonts w:ascii="仿宋_GB2312" w:eastAsia="仿宋_GB2312" w:hAnsiTheme="minorEastAsia" w:cs="宋体" w:hint="eastAsia"/>
                <w:color w:val="000000"/>
                <w:sz w:val="24"/>
                <w:szCs w:val="24"/>
              </w:rPr>
              <w:t>上海浦东发展银行</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Default="00E61C1A" w:rsidP="00B00579">
            <w:pPr>
              <w:adjustRightInd w:val="0"/>
              <w:snapToGrid w:val="0"/>
              <w:spacing w:line="360" w:lineRule="auto"/>
              <w:ind w:firstLine="480"/>
              <w:jc w:val="center"/>
              <w:rPr>
                <w:rFonts w:ascii="仿宋_GB2312" w:eastAsia="仿宋_GB2312" w:hAnsiTheme="minorEastAsia" w:cs="宋体"/>
                <w:color w:val="000000" w:themeColor="text1"/>
                <w:sz w:val="24"/>
                <w:szCs w:val="24"/>
              </w:rPr>
            </w:pPr>
            <w:r>
              <w:rPr>
                <w:rFonts w:ascii="仿宋_GB2312" w:eastAsia="仿宋_GB2312" w:hAnsiTheme="minorEastAsia" w:hint="eastAsia"/>
                <w:color w:val="000000" w:themeColor="text1"/>
                <w:kern w:val="0"/>
                <w:sz w:val="24"/>
                <w:szCs w:val="24"/>
              </w:rPr>
              <w:lastRenderedPageBreak/>
              <w:t>产品托管人</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Theme="minorEastAsia" w:cs="宋体" w:hint="eastAsia"/>
                <w:color w:val="000000"/>
                <w:sz w:val="24"/>
                <w:szCs w:val="24"/>
              </w:rPr>
              <w:t xml:space="preserve">  上海浦东发展银行</w:t>
            </w:r>
          </w:p>
        </w:tc>
      </w:tr>
    </w:tbl>
    <w:p w:rsidR="00E61C1A" w:rsidRDefault="00E61C1A" w:rsidP="00E61C1A">
      <w:pPr>
        <w:rPr>
          <w:rFonts w:ascii="仿宋_GB2312" w:eastAsia="仿宋_GB2312" w:hAnsi="Calibri"/>
          <w:sz w:val="24"/>
          <w:szCs w:val="24"/>
        </w:rPr>
      </w:pPr>
    </w:p>
    <w:p w:rsidR="004E272F" w:rsidRDefault="004E272F" w:rsidP="004E272F">
      <w:pPr>
        <w:snapToGrid w:val="0"/>
        <w:spacing w:line="360" w:lineRule="auto"/>
        <w:rPr>
          <w:rFonts w:ascii="仿宋_GB2312" w:eastAsia="仿宋_GB2312"/>
          <w:b/>
          <w:sz w:val="24"/>
          <w:szCs w:val="24"/>
        </w:rPr>
      </w:pPr>
      <w:r>
        <w:rPr>
          <w:rFonts w:ascii="仿宋_GB2312" w:eastAsia="仿宋_GB2312" w:hint="eastAsia"/>
          <w:b/>
          <w:sz w:val="24"/>
          <w:szCs w:val="24"/>
        </w:rPr>
        <w:t>3</w:t>
      </w:r>
      <w:r w:rsidRPr="004E272F">
        <w:rPr>
          <w:rFonts w:ascii="仿宋_GB2312" w:eastAsia="仿宋_GB2312"/>
          <w:b/>
          <w:sz w:val="24"/>
          <w:szCs w:val="24"/>
        </w:rPr>
        <w:t>.</w:t>
      </w:r>
      <w:r>
        <w:rPr>
          <w:rFonts w:ascii="仿宋_GB2312" w:eastAsia="仿宋_GB2312" w:hint="eastAsia"/>
          <w:b/>
          <w:sz w:val="24"/>
          <w:szCs w:val="24"/>
        </w:rPr>
        <w:t>产品净值表现</w:t>
      </w:r>
    </w:p>
    <w:p w:rsidR="004E272F" w:rsidRDefault="004E272F" w:rsidP="004E272F">
      <w:pPr>
        <w:snapToGrid w:val="0"/>
        <w:spacing w:line="360" w:lineRule="auto"/>
        <w:ind w:firstLine="482"/>
        <w:rPr>
          <w:rFonts w:ascii="仿宋_GB2312" w:eastAsia="仿宋_GB2312"/>
          <w:b/>
          <w:bCs/>
          <w:sz w:val="24"/>
          <w:szCs w:val="24"/>
        </w:rPr>
      </w:pPr>
      <w:r>
        <w:rPr>
          <w:rFonts w:ascii="仿宋_GB2312" w:eastAsia="仿宋_GB2312" w:hint="eastAsia"/>
          <w:b/>
          <w:bCs/>
          <w:sz w:val="24"/>
          <w:szCs w:val="24"/>
        </w:rPr>
        <w:t>3.1 净值表现</w:t>
      </w:r>
    </w:p>
    <w:p w:rsidR="004E272F" w:rsidRPr="00B9403A" w:rsidRDefault="004E272F" w:rsidP="004E272F">
      <w:pPr>
        <w:snapToGrid w:val="0"/>
        <w:spacing w:line="360" w:lineRule="auto"/>
        <w:ind w:left="5143" w:hanging="5143"/>
        <w:rPr>
          <w:rFonts w:ascii="仿宋_GB2312" w:eastAsia="仿宋_GB2312"/>
          <w:sz w:val="24"/>
          <w:szCs w:val="24"/>
        </w:rPr>
      </w:pPr>
      <w:r>
        <w:rPr>
          <w:sz w:val="24"/>
          <w:szCs w:val="24"/>
        </w:rPr>
        <w:t xml:space="preserve">                                                                               </w:t>
      </w:r>
      <w:r>
        <w:rPr>
          <w:sz w:val="24"/>
          <w:szCs w:val="24"/>
        </w:rPr>
        <w:t>单位：人民币</w:t>
      </w:r>
      <w:r>
        <w:rPr>
          <w:sz w:val="24"/>
          <w:szCs w:val="24"/>
        </w:rPr>
        <w:t>(CNY)</w:t>
      </w:r>
    </w:p>
    <w:tbl>
      <w:tblPr>
        <w:tblStyle w:val="ab"/>
        <w:tblW w:w="9072" w:type="dxa"/>
        <w:tblLayout w:type="fixed"/>
        <w:tblLook w:val="04A0" w:firstRow="1" w:lastRow="0" w:firstColumn="1" w:lastColumn="0" w:noHBand="0" w:noVBand="1"/>
      </w:tblPr>
      <w:tblGrid>
        <w:gridCol w:w="4361"/>
        <w:gridCol w:w="4711"/>
      </w:tblGrid>
      <w:tr w:rsidR="004E272F" w:rsidTr="00B00579">
        <w:tc>
          <w:tcPr>
            <w:tcW w:w="4361" w:type="dxa"/>
          </w:tcPr>
          <w:p w:rsidR="004E272F" w:rsidRDefault="004E272F" w:rsidP="004E272F">
            <w:pPr>
              <w:pStyle w:val="aa"/>
              <w:snapToGrid w:val="0"/>
              <w:spacing w:before="0" w:beforeAutospacing="0" w:after="0" w:afterAutospacing="0" w:line="360" w:lineRule="auto"/>
              <w:ind w:firstLineChars="200" w:firstLine="480"/>
              <w:jc w:val="center"/>
              <w:rPr>
                <w:rFonts w:ascii="仿宋_GB2312" w:eastAsia="仿宋_GB2312"/>
                <w:kern w:val="2"/>
              </w:rPr>
            </w:pPr>
            <w:r>
              <w:rPr>
                <w:rFonts w:ascii="仿宋_GB2312" w:eastAsia="仿宋_GB2312" w:hint="eastAsia"/>
                <w:kern w:val="2"/>
              </w:rPr>
              <w:t>产品净值表现</w:t>
            </w:r>
          </w:p>
        </w:tc>
        <w:tc>
          <w:tcPr>
            <w:tcW w:w="4711" w:type="dxa"/>
          </w:tcPr>
          <w:p w:rsidR="004E272F" w:rsidRDefault="004E272F" w:rsidP="00B00579">
            <w:pPr>
              <w:snapToGrid w:val="0"/>
              <w:spacing w:line="360" w:lineRule="auto"/>
              <w:ind w:firstLineChars="200" w:firstLine="480"/>
              <w:jc w:val="center"/>
              <w:rPr>
                <w:rFonts w:ascii="仿宋_GB2312" w:eastAsia="仿宋_GB2312" w:hAnsi="Calibri" w:cs="宋体"/>
                <w:color w:val="000000"/>
                <w:sz w:val="24"/>
                <w:szCs w:val="24"/>
              </w:rPr>
            </w:pPr>
            <w:r>
              <w:rPr>
                <w:rFonts w:ascii="仿宋_GB2312" w:eastAsia="仿宋_GB2312" w:hint="eastAsia"/>
                <w:color w:val="000000"/>
                <w:sz w:val="24"/>
                <w:szCs w:val="24"/>
              </w:rPr>
              <w:t>报告期（</w:t>
            </w:r>
            <w:r w:rsidR="00810ADE">
              <w:rPr>
                <w:rFonts w:ascii="仿宋_GB2312" w:eastAsia="仿宋_GB2312" w:hint="eastAsia"/>
                <w:color w:val="000000"/>
                <w:sz w:val="24"/>
                <w:szCs w:val="24"/>
              </w:rPr>
              <w:t>2021-</w:t>
            </w:r>
            <w:r w:rsidR="00810ADE">
              <w:rPr>
                <w:rFonts w:ascii="仿宋_GB2312" w:eastAsia="仿宋_GB2312"/>
                <w:color w:val="000000"/>
                <w:sz w:val="24"/>
                <w:szCs w:val="24"/>
              </w:rPr>
              <w:t>01</w:t>
            </w:r>
            <w:bookmarkStart w:id="0" w:name="_GoBack"/>
            <w:bookmarkEnd w:id="0"/>
            <w:r>
              <w:rPr>
                <w:rFonts w:ascii="仿宋_GB2312" w:eastAsia="仿宋_GB2312" w:hint="eastAsia"/>
                <w:color w:val="000000"/>
                <w:sz w:val="24"/>
                <w:szCs w:val="24"/>
              </w:rPr>
              <w:t>-01至2021-12-31）</w:t>
            </w:r>
          </w:p>
        </w:tc>
      </w:tr>
      <w:tr w:rsidR="004E272F" w:rsidTr="00B00579">
        <w:tc>
          <w:tcPr>
            <w:tcW w:w="4361" w:type="dxa"/>
          </w:tcPr>
          <w:p w:rsidR="004E272F" w:rsidRDefault="004E272F"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1.期末产品资产净值</w:t>
            </w:r>
          </w:p>
        </w:tc>
        <w:tc>
          <w:tcPr>
            <w:tcW w:w="4711" w:type="dxa"/>
          </w:tcPr>
          <w:p w:rsidR="004E272F" w:rsidRDefault="00367DBF" w:rsidP="00781652">
            <w:pPr>
              <w:snapToGrid w:val="0"/>
              <w:spacing w:line="360" w:lineRule="auto"/>
              <w:jc w:val="left"/>
              <w:rPr>
                <w:rFonts w:ascii="仿宋_GB2312" w:eastAsia="仿宋_GB2312" w:hAnsi="Calibri" w:cs="宋体"/>
                <w:color w:val="000000"/>
                <w:sz w:val="24"/>
                <w:szCs w:val="24"/>
              </w:rPr>
            </w:pPr>
            <w:r>
              <w:rPr>
                <w:rFonts w:ascii="仿宋_GB2312" w:eastAsia="仿宋_GB2312" w:hAnsi="Calibri" w:cs="宋体"/>
                <w:color w:val="000000"/>
                <w:sz w:val="24"/>
                <w:szCs w:val="24"/>
              </w:rPr>
              <w:t>2301202812 : 511,789,837.41</w:t>
            </w:r>
            <w:r>
              <w:rPr>
                <w:rFonts w:ascii="仿宋_GB2312" w:eastAsia="仿宋_GB2312" w:hAnsi="Calibri" w:cs="宋体"/>
                <w:color w:val="000000"/>
                <w:sz w:val="24"/>
                <w:szCs w:val="24"/>
              </w:rPr>
              <w:br/>
              <w:t>2301202813 : 18,427,479.70</w:t>
            </w:r>
            <w:r>
              <w:rPr>
                <w:rFonts w:ascii="仿宋_GB2312" w:eastAsia="仿宋_GB2312" w:hAnsi="Calibri" w:cs="宋体"/>
                <w:color w:val="000000"/>
                <w:sz w:val="24"/>
                <w:szCs w:val="24"/>
              </w:rPr>
              <w:br/>
              <w:t>2301202814 : 23,160,150.85</w:t>
            </w:r>
            <w:r>
              <w:rPr>
                <w:rFonts w:ascii="仿宋_GB2312" w:eastAsia="仿宋_GB2312" w:hAnsi="Calibri" w:cs="宋体"/>
                <w:color w:val="000000"/>
                <w:sz w:val="24"/>
                <w:szCs w:val="24"/>
              </w:rPr>
              <w:br/>
              <w:t>2301202815 : 92,769,972.77</w:t>
            </w:r>
          </w:p>
        </w:tc>
      </w:tr>
      <w:tr w:rsidR="004E272F" w:rsidTr="00B00579">
        <w:trPr>
          <w:trHeight w:val="158"/>
        </w:trPr>
        <w:tc>
          <w:tcPr>
            <w:tcW w:w="4361" w:type="dxa"/>
          </w:tcPr>
          <w:p w:rsidR="004E272F" w:rsidRDefault="004E272F"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2.期末产品份额净值</w:t>
            </w:r>
          </w:p>
        </w:tc>
        <w:tc>
          <w:tcPr>
            <w:tcW w:w="4711" w:type="dxa"/>
          </w:tcPr>
          <w:p w:rsidR="004E272F" w:rsidRDefault="00367DBF" w:rsidP="00781652">
            <w:pPr>
              <w:adjustRightInd w:val="0"/>
              <w:snapToGrid w:val="0"/>
              <w:spacing w:line="360" w:lineRule="auto"/>
              <w:jc w:val="left"/>
              <w:rPr>
                <w:rFonts w:ascii="仿宋_GB2312" w:eastAsia="仿宋_GB2312" w:hAnsiTheme="minorEastAsia"/>
                <w:color w:val="000000"/>
                <w:sz w:val="24"/>
                <w:szCs w:val="24"/>
              </w:rPr>
            </w:pPr>
            <w:r>
              <w:rPr>
                <w:rFonts w:ascii="仿宋_GB2312" w:eastAsia="仿宋_GB2312" w:hAnsi="Calibri" w:cs="宋体"/>
                <w:color w:val="000000"/>
                <w:sz w:val="24"/>
                <w:szCs w:val="24"/>
              </w:rPr>
              <w:t>2301202812 : 1.0609</w:t>
            </w:r>
            <w:r>
              <w:rPr>
                <w:rFonts w:ascii="仿宋_GB2312" w:eastAsia="仿宋_GB2312" w:hAnsi="Calibri" w:cs="宋体"/>
                <w:color w:val="000000"/>
                <w:sz w:val="24"/>
                <w:szCs w:val="24"/>
              </w:rPr>
              <w:br/>
              <w:t>2301202813 : 1.0616</w:t>
            </w:r>
            <w:r>
              <w:rPr>
                <w:rFonts w:ascii="仿宋_GB2312" w:eastAsia="仿宋_GB2312" w:hAnsi="Calibri" w:cs="宋体"/>
                <w:color w:val="000000"/>
                <w:sz w:val="24"/>
                <w:szCs w:val="24"/>
              </w:rPr>
              <w:br/>
              <w:t>2301202814 : 1.0617</w:t>
            </w:r>
            <w:r>
              <w:rPr>
                <w:rFonts w:ascii="仿宋_GB2312" w:eastAsia="仿宋_GB2312" w:hAnsi="Calibri" w:cs="宋体"/>
                <w:color w:val="000000"/>
                <w:sz w:val="24"/>
                <w:szCs w:val="24"/>
              </w:rPr>
              <w:br/>
              <w:t>2301202815 : 1.0624</w:t>
            </w:r>
          </w:p>
        </w:tc>
      </w:tr>
      <w:tr w:rsidR="004E272F" w:rsidTr="00B00579">
        <w:trPr>
          <w:trHeight w:val="158"/>
        </w:trPr>
        <w:tc>
          <w:tcPr>
            <w:tcW w:w="4361" w:type="dxa"/>
          </w:tcPr>
          <w:p w:rsidR="004E272F" w:rsidRDefault="004E272F"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3.期末产品份额累计净值</w:t>
            </w:r>
          </w:p>
        </w:tc>
        <w:tc>
          <w:tcPr>
            <w:tcW w:w="4711" w:type="dxa"/>
          </w:tcPr>
          <w:p w:rsidR="004E272F" w:rsidRDefault="00130728" w:rsidP="00781652">
            <w:pPr>
              <w:adjustRightInd w:val="0"/>
              <w:snapToGrid w:val="0"/>
              <w:spacing w:line="360" w:lineRule="auto"/>
              <w:jc w:val="left"/>
              <w:rPr>
                <w:rFonts w:ascii="仿宋_GB2312" w:eastAsia="仿宋_GB2312" w:hAnsiTheme="minorEastAsia"/>
                <w:color w:val="000000"/>
                <w:sz w:val="24"/>
                <w:szCs w:val="24"/>
              </w:rPr>
            </w:pPr>
            <w:r>
              <w:rPr>
                <w:rFonts w:ascii="仿宋_GB2312" w:eastAsia="仿宋_GB2312" w:hAnsi="Calibri" w:cs="宋体"/>
                <w:color w:val="000000"/>
                <w:sz w:val="24"/>
                <w:szCs w:val="24"/>
              </w:rPr>
              <w:t>2301202812 : 1.0609</w:t>
            </w:r>
            <w:r>
              <w:rPr>
                <w:rFonts w:ascii="仿宋_GB2312" w:eastAsia="仿宋_GB2312" w:hAnsi="Calibri" w:cs="宋体"/>
                <w:color w:val="000000"/>
                <w:sz w:val="24"/>
                <w:szCs w:val="24"/>
              </w:rPr>
              <w:br/>
              <w:t>2301202813 : 1.0616</w:t>
            </w:r>
            <w:r>
              <w:rPr>
                <w:rFonts w:ascii="仿宋_GB2312" w:eastAsia="仿宋_GB2312" w:hAnsi="Calibri" w:cs="宋体"/>
                <w:color w:val="000000"/>
                <w:sz w:val="24"/>
                <w:szCs w:val="24"/>
              </w:rPr>
              <w:br/>
              <w:t>2301202814 : 1.0617</w:t>
            </w:r>
            <w:r>
              <w:rPr>
                <w:rFonts w:ascii="仿宋_GB2312" w:eastAsia="仿宋_GB2312" w:hAnsi="Calibri" w:cs="宋体"/>
                <w:color w:val="000000"/>
                <w:sz w:val="24"/>
                <w:szCs w:val="24"/>
              </w:rPr>
              <w:br/>
              <w:t>2301202815 : 1.0624</w:t>
            </w:r>
          </w:p>
        </w:tc>
      </w:tr>
      <w:tr w:rsidR="004E272F" w:rsidTr="00B00579">
        <w:trPr>
          <w:trHeight w:val="158"/>
        </w:trPr>
        <w:tc>
          <w:tcPr>
            <w:tcW w:w="4361" w:type="dxa"/>
          </w:tcPr>
          <w:p w:rsidR="004E272F" w:rsidRDefault="00B2798E"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4</w:t>
            </w:r>
            <w:r w:rsidRPr="00B2798E">
              <w:rPr>
                <w:rFonts w:ascii="仿宋_GB2312" w:eastAsia="仿宋_GB2312"/>
                <w:kern w:val="2"/>
              </w:rPr>
              <w:t>.</w:t>
            </w:r>
            <w:r w:rsidR="004E272F">
              <w:rPr>
                <w:rFonts w:ascii="仿宋_GB2312" w:eastAsia="仿宋_GB2312" w:hint="eastAsia"/>
                <w:kern w:val="2"/>
              </w:rPr>
              <w:t>每万份收益</w:t>
            </w:r>
          </w:p>
        </w:tc>
        <w:tc>
          <w:tcPr>
            <w:tcW w:w="4711" w:type="dxa"/>
          </w:tcPr>
          <w:p w:rsidR="004E272F" w:rsidRDefault="00130728" w:rsidP="00781652">
            <w:pPr>
              <w:snapToGrid w:val="0"/>
              <w:spacing w:line="360" w:lineRule="auto"/>
              <w:jc w:val="left"/>
              <w:rPr>
                <w:rFonts w:ascii="仿宋_GB2312" w:eastAsia="仿宋_GB2312"/>
                <w:color w:val="000000"/>
                <w:sz w:val="24"/>
                <w:szCs w:val="24"/>
              </w:rPr>
            </w:pPr>
            <w:r>
              <w:rPr>
                <w:rFonts w:ascii="仿宋_GB2312" w:eastAsia="仿宋_GB2312" w:hAnsi="Calibri" w:cs="宋体"/>
                <w:color w:val="000000"/>
                <w:sz w:val="24"/>
                <w:szCs w:val="24"/>
              </w:rPr>
              <w:t>-</w:t>
            </w:r>
          </w:p>
        </w:tc>
      </w:tr>
    </w:tbl>
    <w:tbl>
      <w:tblPr>
        <w:tblW w:w="9072" w:type="dxa"/>
        <w:tblBorders>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361"/>
        <w:gridCol w:w="4711"/>
      </w:tblGrid>
      <w:tr w:rsidR="004E272F" w:rsidTr="00B00579">
        <w:trPr>
          <w:trHeight w:val="158"/>
        </w:trPr>
        <w:tc>
          <w:tcPr>
            <w:tcW w:w="4361" w:type="dxa"/>
            <w:tcMar>
              <w:top w:w="0" w:type="dxa"/>
              <w:left w:w="108" w:type="dxa"/>
              <w:bottom w:w="0" w:type="dxa"/>
              <w:right w:w="108" w:type="dxa"/>
            </w:tcMar>
          </w:tcPr>
          <w:p w:rsidR="004E272F" w:rsidRDefault="00B2798E"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5</w:t>
            </w:r>
            <w:r w:rsidRPr="00B2798E">
              <w:rPr>
                <w:rFonts w:ascii="仿宋_GB2312" w:eastAsia="仿宋_GB2312"/>
                <w:kern w:val="2"/>
              </w:rPr>
              <w:t>.</w:t>
            </w:r>
            <w:proofErr w:type="gramStart"/>
            <w:r w:rsidR="004E272F">
              <w:rPr>
                <w:rFonts w:ascii="仿宋_GB2312" w:eastAsia="仿宋_GB2312" w:hint="eastAsia"/>
                <w:kern w:val="2"/>
              </w:rPr>
              <w:t>七日年化收益率</w:t>
            </w:r>
            <w:proofErr w:type="gramEnd"/>
          </w:p>
        </w:tc>
        <w:tc>
          <w:tcPr>
            <w:tcW w:w="4711" w:type="dxa"/>
            <w:tcMar>
              <w:top w:w="0" w:type="dxa"/>
              <w:left w:w="108" w:type="dxa"/>
              <w:bottom w:w="0" w:type="dxa"/>
              <w:right w:w="108" w:type="dxa"/>
            </w:tcMar>
          </w:tcPr>
          <w:p w:rsidR="004E272F" w:rsidRDefault="00130728" w:rsidP="00781652">
            <w:pPr>
              <w:snapToGrid w:val="0"/>
              <w:spacing w:line="360" w:lineRule="auto"/>
              <w:jc w:val="left"/>
              <w:rPr>
                <w:rFonts w:ascii="仿宋_GB2312" w:eastAsia="仿宋_GB2312"/>
                <w:color w:val="000000"/>
                <w:sz w:val="24"/>
                <w:szCs w:val="24"/>
              </w:rPr>
            </w:pPr>
            <w:r>
              <w:rPr>
                <w:rFonts w:ascii="仿宋_GB2312" w:eastAsia="仿宋_GB2312" w:hAnsi="Calibri" w:cs="宋体"/>
                <w:color w:val="000000"/>
                <w:sz w:val="24"/>
                <w:szCs w:val="24"/>
              </w:rPr>
              <w:t>-</w:t>
            </w:r>
          </w:p>
        </w:tc>
      </w:tr>
    </w:tbl>
    <w:p w:rsidR="00564E1C" w:rsidRDefault="00564E1C" w:rsidP="00564E1C">
      <w:pPr>
        <w:snapToGrid w:val="0"/>
        <w:spacing w:line="360" w:lineRule="auto"/>
        <w:rPr>
          <w:rFonts w:ascii="仿宋_GB2312" w:eastAsia="仿宋_GB2312"/>
          <w:b/>
          <w:sz w:val="24"/>
          <w:szCs w:val="24"/>
        </w:rPr>
      </w:pPr>
      <w:r>
        <w:rPr>
          <w:rFonts w:ascii="仿宋_GB2312" w:eastAsia="仿宋_GB2312" w:hint="eastAsia"/>
          <w:b/>
          <w:sz w:val="24"/>
          <w:szCs w:val="24"/>
        </w:rPr>
        <w:t>4.投资组合报告</w:t>
      </w:r>
    </w:p>
    <w:p w:rsidR="00564E1C" w:rsidRDefault="00564E1C" w:rsidP="00564E1C">
      <w:pPr>
        <w:spacing w:line="360" w:lineRule="auto"/>
        <w:ind w:firstLine="482"/>
        <w:rPr>
          <w:rFonts w:ascii="仿宋_GB2312" w:eastAsia="仿宋_GB2312"/>
          <w:b/>
          <w:bCs/>
          <w:sz w:val="24"/>
          <w:szCs w:val="24"/>
        </w:rPr>
      </w:pPr>
      <w:r>
        <w:rPr>
          <w:rFonts w:ascii="仿宋_GB2312" w:eastAsia="仿宋_GB2312" w:hint="eastAsia"/>
          <w:b/>
          <w:bCs/>
          <w:sz w:val="24"/>
          <w:szCs w:val="24"/>
        </w:rPr>
        <w:t>4.1 报告期末产品资产组合情况</w:t>
      </w:r>
    </w:p>
    <w:p w:rsidR="00564E1C" w:rsidRPr="00FD1998" w:rsidRDefault="00564E1C" w:rsidP="00564E1C">
      <w:pPr>
        <w:rPr>
          <w:rFonts w:ascii="仿宋_GB2312" w:eastAsia="仿宋_GB2312" w:hAnsi="Calibri"/>
          <w:sz w:val="24"/>
          <w:szCs w:val="24"/>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81"/>
        <w:gridCol w:w="2620"/>
        <w:gridCol w:w="2694"/>
        <w:gridCol w:w="2477"/>
      </w:tblGrid>
      <w:tr w:rsidR="00564E1C" w:rsidTr="00B00579">
        <w:trPr>
          <w:trHeight w:val="415"/>
        </w:trPr>
        <w:tc>
          <w:tcPr>
            <w:tcW w:w="1281"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hint="eastAsia"/>
                <w:sz w:val="24"/>
                <w:szCs w:val="24"/>
              </w:rPr>
              <w:t>序号</w:t>
            </w:r>
          </w:p>
        </w:tc>
        <w:tc>
          <w:tcPr>
            <w:tcW w:w="2620"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sz w:val="24"/>
                <w:szCs w:val="24"/>
              </w:rPr>
              <w:t>项目</w:t>
            </w:r>
          </w:p>
        </w:tc>
        <w:tc>
          <w:tcPr>
            <w:tcW w:w="2694"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sz w:val="24"/>
                <w:szCs w:val="24"/>
              </w:rPr>
              <w:t>金额（元）</w:t>
            </w:r>
          </w:p>
        </w:tc>
        <w:tc>
          <w:tcPr>
            <w:tcW w:w="2477"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hint="eastAsia"/>
                <w:sz w:val="24"/>
                <w:szCs w:val="24"/>
              </w:rPr>
              <w:t>占产品资产净值比例</w:t>
            </w:r>
          </w:p>
        </w:tc>
      </w:tr>
      <w:tr w:rsidR="00564E1C" w:rsidRPr="00BE0BA1" w:rsidTr="00B00579">
        <w:trPr>
          <w:trHeight w:val="20"/>
        </w:trPr>
        <w:tc>
          <w:tcPr>
            <w:tcW w:w="1281"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1</w:t>
            </w:r>
          </w:p>
        </w:tc>
        <w:tc>
          <w:tcPr>
            <w:tcW w:w="2620"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银行存款</w:t>
            </w:r>
          </w:p>
        </w:tc>
        <w:tc>
          <w:tcPr>
            <w:tcW w:w="2694"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4,892,274.56</w:t>
            </w:r>
          </w:p>
        </w:tc>
        <w:tc>
          <w:tcPr>
            <w:tcW w:w="2477" w:type="dxa"/>
            <w:vAlign w:val="center"/>
          </w:tcPr>
          <w:p w:rsidR="00564E1C" w:rsidRPr="00BE0BA1"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0.76%</w:t>
            </w:r>
          </w:p>
        </w:tc>
      </w:tr>
      <w:tr w:rsidR="000F5033">
        <w:tc>
          <w:tcPr>
            <w:tcW w:w="1281" w:type="dxa"/>
            <w:vAlign w:val="center"/>
          </w:tcPr>
          <w:p w:rsidR="000F5033" w:rsidRDefault="0054073E">
            <w:pPr>
              <w:jc w:val="center"/>
            </w:pPr>
            <w:r>
              <w:rPr>
                <w:rFonts w:ascii="仿宋_GB2312" w:eastAsia="仿宋_GB2312" w:hAnsi="Calibri" w:cs="宋体"/>
                <w:color w:val="000000"/>
                <w:sz w:val="24"/>
              </w:rPr>
              <w:t>2</w:t>
            </w:r>
          </w:p>
        </w:tc>
        <w:tc>
          <w:tcPr>
            <w:tcW w:w="2620" w:type="dxa"/>
            <w:vAlign w:val="center"/>
          </w:tcPr>
          <w:p w:rsidR="000F5033" w:rsidRDefault="0054073E">
            <w:pPr>
              <w:jc w:val="center"/>
            </w:pPr>
            <w:r>
              <w:rPr>
                <w:rFonts w:ascii="仿宋_GB2312" w:eastAsia="仿宋_GB2312" w:hAnsi="Calibri" w:cs="宋体"/>
                <w:color w:val="000000"/>
                <w:sz w:val="24"/>
              </w:rPr>
              <w:t>债券投资</w:t>
            </w:r>
          </w:p>
        </w:tc>
        <w:tc>
          <w:tcPr>
            <w:tcW w:w="2694" w:type="dxa"/>
            <w:vAlign w:val="center"/>
          </w:tcPr>
          <w:p w:rsidR="000F5033" w:rsidRDefault="0054073E">
            <w:pPr>
              <w:jc w:val="center"/>
            </w:pPr>
            <w:r>
              <w:rPr>
                <w:rFonts w:ascii="仿宋_GB2312" w:eastAsia="仿宋_GB2312" w:hAnsi="Calibri" w:cs="宋体"/>
                <w:color w:val="000000"/>
                <w:sz w:val="24"/>
              </w:rPr>
              <w:t>633,054,500.00</w:t>
            </w:r>
          </w:p>
        </w:tc>
        <w:tc>
          <w:tcPr>
            <w:tcW w:w="2477" w:type="dxa"/>
            <w:vAlign w:val="center"/>
          </w:tcPr>
          <w:p w:rsidR="000F5033" w:rsidRDefault="0054073E">
            <w:pPr>
              <w:jc w:val="center"/>
            </w:pPr>
            <w:r>
              <w:rPr>
                <w:rFonts w:ascii="仿宋_GB2312" w:eastAsia="仿宋_GB2312" w:hAnsi="Calibri" w:cs="宋体"/>
                <w:color w:val="000000"/>
                <w:sz w:val="24"/>
              </w:rPr>
              <w:t>97.97%</w:t>
            </w:r>
          </w:p>
        </w:tc>
      </w:tr>
      <w:tr w:rsidR="000F5033">
        <w:tc>
          <w:tcPr>
            <w:tcW w:w="1281" w:type="dxa"/>
            <w:vAlign w:val="center"/>
          </w:tcPr>
          <w:p w:rsidR="000F5033" w:rsidRDefault="0054073E">
            <w:pPr>
              <w:jc w:val="center"/>
            </w:pPr>
            <w:r>
              <w:rPr>
                <w:rFonts w:ascii="仿宋_GB2312" w:eastAsia="仿宋_GB2312" w:hAnsi="Calibri" w:cs="宋体"/>
                <w:color w:val="000000"/>
                <w:sz w:val="24"/>
              </w:rPr>
              <w:t>3</w:t>
            </w:r>
          </w:p>
        </w:tc>
        <w:tc>
          <w:tcPr>
            <w:tcW w:w="2620" w:type="dxa"/>
            <w:vAlign w:val="center"/>
          </w:tcPr>
          <w:p w:rsidR="000F5033" w:rsidRDefault="0054073E">
            <w:pPr>
              <w:jc w:val="center"/>
            </w:pPr>
            <w:r>
              <w:rPr>
                <w:rFonts w:ascii="仿宋_GB2312" w:eastAsia="仿宋_GB2312" w:hAnsi="Calibri" w:cs="宋体"/>
                <w:color w:val="000000"/>
                <w:sz w:val="24"/>
              </w:rPr>
              <w:t>资产支持证券投资</w:t>
            </w:r>
          </w:p>
        </w:tc>
        <w:tc>
          <w:tcPr>
            <w:tcW w:w="2694" w:type="dxa"/>
            <w:vAlign w:val="center"/>
          </w:tcPr>
          <w:p w:rsidR="000F5033" w:rsidRDefault="0054073E">
            <w:pPr>
              <w:jc w:val="center"/>
            </w:pPr>
            <w:r>
              <w:rPr>
                <w:rFonts w:ascii="仿宋_GB2312" w:eastAsia="仿宋_GB2312" w:hAnsi="Calibri" w:cs="宋体"/>
                <w:color w:val="000000"/>
                <w:sz w:val="24"/>
              </w:rPr>
              <w:t>-</w:t>
            </w:r>
          </w:p>
        </w:tc>
        <w:tc>
          <w:tcPr>
            <w:tcW w:w="2477" w:type="dxa"/>
            <w:vAlign w:val="center"/>
          </w:tcPr>
          <w:p w:rsidR="000F5033" w:rsidRDefault="0054073E">
            <w:pPr>
              <w:jc w:val="center"/>
            </w:pPr>
            <w:r>
              <w:rPr>
                <w:rFonts w:ascii="仿宋_GB2312" w:eastAsia="仿宋_GB2312" w:hAnsi="Calibri" w:cs="宋体"/>
                <w:color w:val="000000"/>
                <w:sz w:val="24"/>
              </w:rPr>
              <w:t>-</w:t>
            </w:r>
          </w:p>
        </w:tc>
      </w:tr>
      <w:tr w:rsidR="000F5033">
        <w:tc>
          <w:tcPr>
            <w:tcW w:w="1281" w:type="dxa"/>
            <w:vAlign w:val="center"/>
          </w:tcPr>
          <w:p w:rsidR="000F5033" w:rsidRDefault="0054073E">
            <w:pPr>
              <w:jc w:val="center"/>
            </w:pPr>
            <w:r>
              <w:rPr>
                <w:rFonts w:ascii="仿宋_GB2312" w:eastAsia="仿宋_GB2312" w:hAnsi="Calibri" w:cs="宋体"/>
                <w:color w:val="000000"/>
                <w:sz w:val="24"/>
              </w:rPr>
              <w:t>4</w:t>
            </w:r>
          </w:p>
        </w:tc>
        <w:tc>
          <w:tcPr>
            <w:tcW w:w="2620" w:type="dxa"/>
            <w:vAlign w:val="center"/>
          </w:tcPr>
          <w:p w:rsidR="000F5033" w:rsidRDefault="0054073E">
            <w:pPr>
              <w:jc w:val="center"/>
            </w:pPr>
            <w:r>
              <w:rPr>
                <w:rFonts w:ascii="仿宋_GB2312" w:eastAsia="仿宋_GB2312" w:hAnsi="Calibri" w:cs="宋体"/>
                <w:color w:val="000000"/>
                <w:sz w:val="24"/>
              </w:rPr>
              <w:t>信托计划</w:t>
            </w:r>
          </w:p>
        </w:tc>
        <w:tc>
          <w:tcPr>
            <w:tcW w:w="2694" w:type="dxa"/>
            <w:vAlign w:val="center"/>
          </w:tcPr>
          <w:p w:rsidR="000F5033" w:rsidRDefault="0054073E">
            <w:pPr>
              <w:jc w:val="center"/>
            </w:pPr>
            <w:r>
              <w:rPr>
                <w:rFonts w:ascii="仿宋_GB2312" w:eastAsia="仿宋_GB2312" w:hAnsi="Calibri" w:cs="宋体"/>
                <w:color w:val="000000"/>
                <w:sz w:val="24"/>
              </w:rPr>
              <w:t>-</w:t>
            </w:r>
          </w:p>
        </w:tc>
        <w:tc>
          <w:tcPr>
            <w:tcW w:w="2477" w:type="dxa"/>
            <w:vAlign w:val="center"/>
          </w:tcPr>
          <w:p w:rsidR="000F5033" w:rsidRDefault="0054073E">
            <w:pPr>
              <w:jc w:val="center"/>
            </w:pPr>
            <w:r>
              <w:rPr>
                <w:rFonts w:ascii="仿宋_GB2312" w:eastAsia="仿宋_GB2312" w:hAnsi="Calibri" w:cs="宋体"/>
                <w:color w:val="000000"/>
                <w:sz w:val="24"/>
              </w:rPr>
              <w:t>-</w:t>
            </w:r>
          </w:p>
        </w:tc>
      </w:tr>
      <w:tr w:rsidR="000F5033">
        <w:tc>
          <w:tcPr>
            <w:tcW w:w="1281" w:type="dxa"/>
            <w:vAlign w:val="center"/>
          </w:tcPr>
          <w:p w:rsidR="000F5033" w:rsidRDefault="0054073E">
            <w:pPr>
              <w:jc w:val="center"/>
            </w:pPr>
            <w:r>
              <w:rPr>
                <w:rFonts w:ascii="仿宋_GB2312" w:eastAsia="仿宋_GB2312" w:hAnsi="Calibri" w:cs="宋体"/>
                <w:color w:val="000000"/>
                <w:sz w:val="24"/>
              </w:rPr>
              <w:t>5</w:t>
            </w:r>
          </w:p>
        </w:tc>
        <w:tc>
          <w:tcPr>
            <w:tcW w:w="2620" w:type="dxa"/>
            <w:vAlign w:val="center"/>
          </w:tcPr>
          <w:p w:rsidR="000F5033" w:rsidRDefault="0054073E">
            <w:pPr>
              <w:jc w:val="center"/>
            </w:pPr>
            <w:r>
              <w:rPr>
                <w:rFonts w:ascii="仿宋_GB2312" w:eastAsia="仿宋_GB2312" w:hAnsi="Calibri" w:cs="宋体"/>
                <w:color w:val="000000"/>
                <w:sz w:val="24"/>
              </w:rPr>
              <w:t>资产管理计划</w:t>
            </w:r>
          </w:p>
        </w:tc>
        <w:tc>
          <w:tcPr>
            <w:tcW w:w="2694" w:type="dxa"/>
            <w:vAlign w:val="center"/>
          </w:tcPr>
          <w:p w:rsidR="000F5033" w:rsidRDefault="0054073E">
            <w:pPr>
              <w:jc w:val="center"/>
            </w:pPr>
            <w:r>
              <w:rPr>
                <w:rFonts w:ascii="仿宋_GB2312" w:eastAsia="仿宋_GB2312" w:hAnsi="Calibri" w:cs="宋体"/>
                <w:color w:val="000000"/>
                <w:sz w:val="24"/>
              </w:rPr>
              <w:t>-</w:t>
            </w:r>
          </w:p>
        </w:tc>
        <w:tc>
          <w:tcPr>
            <w:tcW w:w="2477" w:type="dxa"/>
            <w:vAlign w:val="center"/>
          </w:tcPr>
          <w:p w:rsidR="000F5033" w:rsidRDefault="0054073E">
            <w:pPr>
              <w:jc w:val="center"/>
            </w:pPr>
            <w:r>
              <w:rPr>
                <w:rFonts w:ascii="仿宋_GB2312" w:eastAsia="仿宋_GB2312" w:hAnsi="Calibri" w:cs="宋体"/>
                <w:color w:val="000000"/>
                <w:sz w:val="24"/>
              </w:rPr>
              <w:t>-</w:t>
            </w:r>
          </w:p>
        </w:tc>
      </w:tr>
      <w:tr w:rsidR="000F5033">
        <w:tc>
          <w:tcPr>
            <w:tcW w:w="1281" w:type="dxa"/>
            <w:vAlign w:val="center"/>
          </w:tcPr>
          <w:p w:rsidR="000F5033" w:rsidRDefault="0054073E">
            <w:pPr>
              <w:jc w:val="center"/>
            </w:pPr>
            <w:r>
              <w:rPr>
                <w:rFonts w:ascii="仿宋_GB2312" w:eastAsia="仿宋_GB2312" w:hAnsi="Calibri" w:cs="宋体"/>
                <w:color w:val="000000"/>
                <w:sz w:val="24"/>
              </w:rPr>
              <w:t>6</w:t>
            </w:r>
          </w:p>
        </w:tc>
        <w:tc>
          <w:tcPr>
            <w:tcW w:w="2620" w:type="dxa"/>
            <w:vAlign w:val="center"/>
          </w:tcPr>
          <w:p w:rsidR="000F5033" w:rsidRDefault="0054073E">
            <w:pPr>
              <w:jc w:val="center"/>
            </w:pPr>
            <w:r>
              <w:rPr>
                <w:rFonts w:ascii="仿宋_GB2312" w:eastAsia="仿宋_GB2312" w:hAnsi="Calibri" w:cs="宋体"/>
                <w:color w:val="000000"/>
                <w:sz w:val="24"/>
              </w:rPr>
              <w:t>净值类资产管理计划</w:t>
            </w:r>
          </w:p>
        </w:tc>
        <w:tc>
          <w:tcPr>
            <w:tcW w:w="2694" w:type="dxa"/>
            <w:vAlign w:val="center"/>
          </w:tcPr>
          <w:p w:rsidR="000F5033" w:rsidRDefault="0054073E">
            <w:pPr>
              <w:jc w:val="center"/>
            </w:pPr>
            <w:r>
              <w:rPr>
                <w:rFonts w:ascii="仿宋_GB2312" w:eastAsia="仿宋_GB2312" w:hAnsi="Calibri" w:cs="宋体"/>
                <w:color w:val="000000"/>
                <w:sz w:val="24"/>
              </w:rPr>
              <w:t>-</w:t>
            </w:r>
          </w:p>
        </w:tc>
        <w:tc>
          <w:tcPr>
            <w:tcW w:w="2477" w:type="dxa"/>
            <w:vAlign w:val="center"/>
          </w:tcPr>
          <w:p w:rsidR="000F5033" w:rsidRDefault="0054073E">
            <w:pPr>
              <w:jc w:val="center"/>
            </w:pPr>
            <w:r>
              <w:rPr>
                <w:rFonts w:ascii="仿宋_GB2312" w:eastAsia="仿宋_GB2312" w:hAnsi="Calibri" w:cs="宋体"/>
                <w:color w:val="000000"/>
                <w:sz w:val="24"/>
              </w:rPr>
              <w:t>-</w:t>
            </w:r>
          </w:p>
        </w:tc>
      </w:tr>
      <w:tr w:rsidR="000F5033">
        <w:tc>
          <w:tcPr>
            <w:tcW w:w="1281" w:type="dxa"/>
            <w:vAlign w:val="center"/>
          </w:tcPr>
          <w:p w:rsidR="000F5033" w:rsidRDefault="0054073E">
            <w:pPr>
              <w:jc w:val="center"/>
            </w:pPr>
            <w:r>
              <w:rPr>
                <w:rFonts w:ascii="仿宋_GB2312" w:eastAsia="仿宋_GB2312" w:hAnsi="Calibri" w:cs="宋体"/>
                <w:color w:val="000000"/>
                <w:sz w:val="24"/>
              </w:rPr>
              <w:t>7</w:t>
            </w:r>
          </w:p>
        </w:tc>
        <w:tc>
          <w:tcPr>
            <w:tcW w:w="2620" w:type="dxa"/>
            <w:vAlign w:val="center"/>
          </w:tcPr>
          <w:p w:rsidR="000F5033" w:rsidRDefault="0054073E">
            <w:pPr>
              <w:jc w:val="center"/>
            </w:pPr>
            <w:r>
              <w:rPr>
                <w:rFonts w:ascii="仿宋_GB2312" w:eastAsia="仿宋_GB2312" w:hAnsi="Calibri" w:cs="宋体"/>
                <w:color w:val="000000"/>
                <w:sz w:val="24"/>
              </w:rPr>
              <w:t>资金拆出</w:t>
            </w:r>
          </w:p>
        </w:tc>
        <w:tc>
          <w:tcPr>
            <w:tcW w:w="2694" w:type="dxa"/>
            <w:vAlign w:val="center"/>
          </w:tcPr>
          <w:p w:rsidR="000F5033" w:rsidRDefault="0054073E">
            <w:pPr>
              <w:jc w:val="center"/>
            </w:pPr>
            <w:r>
              <w:rPr>
                <w:rFonts w:ascii="仿宋_GB2312" w:eastAsia="仿宋_GB2312" w:hAnsi="Calibri" w:cs="宋体"/>
                <w:color w:val="000000"/>
                <w:sz w:val="24"/>
              </w:rPr>
              <w:t>-</w:t>
            </w:r>
          </w:p>
        </w:tc>
        <w:tc>
          <w:tcPr>
            <w:tcW w:w="2477" w:type="dxa"/>
            <w:vAlign w:val="center"/>
          </w:tcPr>
          <w:p w:rsidR="000F5033" w:rsidRDefault="0054073E">
            <w:pPr>
              <w:jc w:val="center"/>
            </w:pPr>
            <w:r>
              <w:rPr>
                <w:rFonts w:ascii="仿宋_GB2312" w:eastAsia="仿宋_GB2312" w:hAnsi="Calibri" w:cs="宋体"/>
                <w:color w:val="000000"/>
                <w:sz w:val="24"/>
              </w:rPr>
              <w:t>-</w:t>
            </w:r>
          </w:p>
        </w:tc>
      </w:tr>
      <w:tr w:rsidR="000F5033">
        <w:tc>
          <w:tcPr>
            <w:tcW w:w="1281" w:type="dxa"/>
            <w:vAlign w:val="center"/>
          </w:tcPr>
          <w:p w:rsidR="000F5033" w:rsidRDefault="0054073E">
            <w:pPr>
              <w:jc w:val="center"/>
            </w:pPr>
            <w:r>
              <w:rPr>
                <w:rFonts w:ascii="仿宋_GB2312" w:eastAsia="仿宋_GB2312" w:hAnsi="Calibri" w:cs="宋体"/>
                <w:color w:val="000000"/>
                <w:sz w:val="24"/>
              </w:rPr>
              <w:t>8</w:t>
            </w:r>
          </w:p>
        </w:tc>
        <w:tc>
          <w:tcPr>
            <w:tcW w:w="2620" w:type="dxa"/>
            <w:vAlign w:val="center"/>
          </w:tcPr>
          <w:p w:rsidR="000F5033" w:rsidRDefault="0054073E">
            <w:pPr>
              <w:jc w:val="center"/>
            </w:pPr>
            <w:r>
              <w:rPr>
                <w:rFonts w:ascii="仿宋_GB2312" w:eastAsia="仿宋_GB2312" w:hAnsi="Calibri" w:cs="宋体"/>
                <w:color w:val="000000"/>
                <w:sz w:val="24"/>
              </w:rPr>
              <w:t>结算备付金</w:t>
            </w:r>
          </w:p>
        </w:tc>
        <w:tc>
          <w:tcPr>
            <w:tcW w:w="2694" w:type="dxa"/>
            <w:vAlign w:val="center"/>
          </w:tcPr>
          <w:p w:rsidR="000F5033" w:rsidRDefault="0054073E">
            <w:pPr>
              <w:jc w:val="center"/>
            </w:pPr>
            <w:r>
              <w:rPr>
                <w:rFonts w:ascii="仿宋_GB2312" w:eastAsia="仿宋_GB2312" w:hAnsi="Calibri" w:cs="宋体"/>
                <w:color w:val="000000"/>
                <w:sz w:val="24"/>
              </w:rPr>
              <w:t>-</w:t>
            </w:r>
          </w:p>
        </w:tc>
        <w:tc>
          <w:tcPr>
            <w:tcW w:w="2477" w:type="dxa"/>
            <w:vAlign w:val="center"/>
          </w:tcPr>
          <w:p w:rsidR="000F5033" w:rsidRDefault="0054073E">
            <w:pPr>
              <w:jc w:val="center"/>
            </w:pPr>
            <w:r>
              <w:rPr>
                <w:rFonts w:ascii="仿宋_GB2312" w:eastAsia="仿宋_GB2312" w:hAnsi="Calibri" w:cs="宋体"/>
                <w:color w:val="000000"/>
                <w:sz w:val="24"/>
              </w:rPr>
              <w:t>-</w:t>
            </w:r>
          </w:p>
        </w:tc>
      </w:tr>
      <w:tr w:rsidR="000F5033">
        <w:tc>
          <w:tcPr>
            <w:tcW w:w="1281" w:type="dxa"/>
            <w:vAlign w:val="center"/>
          </w:tcPr>
          <w:p w:rsidR="000F5033" w:rsidRDefault="0054073E">
            <w:pPr>
              <w:jc w:val="center"/>
            </w:pPr>
            <w:r>
              <w:rPr>
                <w:rFonts w:ascii="仿宋_GB2312" w:eastAsia="仿宋_GB2312" w:hAnsi="Calibri" w:cs="宋体"/>
                <w:color w:val="000000"/>
                <w:sz w:val="24"/>
              </w:rPr>
              <w:lastRenderedPageBreak/>
              <w:t>9</w:t>
            </w:r>
          </w:p>
        </w:tc>
        <w:tc>
          <w:tcPr>
            <w:tcW w:w="2620" w:type="dxa"/>
            <w:vAlign w:val="center"/>
          </w:tcPr>
          <w:p w:rsidR="000F5033" w:rsidRDefault="0054073E">
            <w:pPr>
              <w:jc w:val="center"/>
            </w:pPr>
            <w:r>
              <w:rPr>
                <w:rFonts w:ascii="仿宋_GB2312" w:eastAsia="仿宋_GB2312" w:hAnsi="Calibri" w:cs="宋体"/>
                <w:color w:val="000000"/>
                <w:sz w:val="24"/>
              </w:rPr>
              <w:t>买入返售金融资产</w:t>
            </w:r>
          </w:p>
        </w:tc>
        <w:tc>
          <w:tcPr>
            <w:tcW w:w="2694" w:type="dxa"/>
            <w:vAlign w:val="center"/>
          </w:tcPr>
          <w:p w:rsidR="000F5033" w:rsidRDefault="0054073E">
            <w:pPr>
              <w:jc w:val="center"/>
            </w:pPr>
            <w:r>
              <w:rPr>
                <w:rFonts w:ascii="仿宋_GB2312" w:eastAsia="仿宋_GB2312" w:hAnsi="Calibri" w:cs="宋体"/>
                <w:color w:val="000000"/>
                <w:sz w:val="24"/>
              </w:rPr>
              <w:t>-</w:t>
            </w:r>
          </w:p>
        </w:tc>
        <w:tc>
          <w:tcPr>
            <w:tcW w:w="2477" w:type="dxa"/>
            <w:vAlign w:val="center"/>
          </w:tcPr>
          <w:p w:rsidR="000F5033" w:rsidRDefault="0054073E">
            <w:pPr>
              <w:jc w:val="center"/>
            </w:pPr>
            <w:r>
              <w:rPr>
                <w:rFonts w:ascii="仿宋_GB2312" w:eastAsia="仿宋_GB2312" w:hAnsi="Calibri" w:cs="宋体"/>
                <w:color w:val="000000"/>
                <w:sz w:val="24"/>
              </w:rPr>
              <w:t>-</w:t>
            </w:r>
          </w:p>
        </w:tc>
      </w:tr>
      <w:tr w:rsidR="000F5033">
        <w:tc>
          <w:tcPr>
            <w:tcW w:w="1281" w:type="dxa"/>
            <w:vAlign w:val="center"/>
          </w:tcPr>
          <w:p w:rsidR="000F5033" w:rsidRDefault="0054073E">
            <w:pPr>
              <w:jc w:val="center"/>
            </w:pPr>
            <w:r>
              <w:rPr>
                <w:rFonts w:ascii="仿宋_GB2312" w:eastAsia="仿宋_GB2312" w:hAnsi="Calibri" w:cs="宋体"/>
                <w:color w:val="000000"/>
                <w:sz w:val="24"/>
              </w:rPr>
              <w:t>10</w:t>
            </w:r>
          </w:p>
        </w:tc>
        <w:tc>
          <w:tcPr>
            <w:tcW w:w="2620" w:type="dxa"/>
            <w:vAlign w:val="center"/>
          </w:tcPr>
          <w:p w:rsidR="000F5033" w:rsidRDefault="0054073E">
            <w:pPr>
              <w:jc w:val="center"/>
            </w:pPr>
            <w:r>
              <w:rPr>
                <w:rFonts w:ascii="仿宋_GB2312" w:eastAsia="仿宋_GB2312" w:hAnsi="Calibri" w:cs="宋体"/>
                <w:color w:val="000000"/>
                <w:sz w:val="24"/>
              </w:rPr>
              <w:t>其他资产</w:t>
            </w:r>
          </w:p>
        </w:tc>
        <w:tc>
          <w:tcPr>
            <w:tcW w:w="2694" w:type="dxa"/>
            <w:vAlign w:val="center"/>
          </w:tcPr>
          <w:p w:rsidR="000F5033" w:rsidRDefault="0054073E">
            <w:pPr>
              <w:jc w:val="center"/>
            </w:pPr>
            <w:r>
              <w:rPr>
                <w:rFonts w:ascii="仿宋_GB2312" w:eastAsia="仿宋_GB2312" w:hAnsi="Calibri" w:cs="宋体"/>
                <w:color w:val="000000"/>
                <w:sz w:val="24"/>
              </w:rPr>
              <w:t>0.00</w:t>
            </w:r>
          </w:p>
        </w:tc>
        <w:tc>
          <w:tcPr>
            <w:tcW w:w="2477" w:type="dxa"/>
            <w:vAlign w:val="center"/>
          </w:tcPr>
          <w:p w:rsidR="000F5033" w:rsidRDefault="0054073E">
            <w:pPr>
              <w:jc w:val="center"/>
            </w:pPr>
            <w:r>
              <w:rPr>
                <w:rFonts w:ascii="仿宋_GB2312" w:eastAsia="仿宋_GB2312" w:hAnsi="Calibri" w:cs="宋体"/>
                <w:color w:val="000000"/>
                <w:sz w:val="24"/>
              </w:rPr>
              <w:t>0.00%</w:t>
            </w:r>
          </w:p>
        </w:tc>
      </w:tr>
      <w:tr w:rsidR="000F5033">
        <w:tc>
          <w:tcPr>
            <w:tcW w:w="1281" w:type="dxa"/>
            <w:vAlign w:val="center"/>
          </w:tcPr>
          <w:p w:rsidR="000F5033" w:rsidRDefault="0054073E">
            <w:pPr>
              <w:jc w:val="center"/>
            </w:pPr>
            <w:r>
              <w:rPr>
                <w:rFonts w:ascii="仿宋_GB2312" w:eastAsia="仿宋_GB2312" w:hAnsi="Calibri" w:cs="宋体"/>
                <w:color w:val="000000"/>
                <w:sz w:val="24"/>
              </w:rPr>
              <w:t>11</w:t>
            </w:r>
          </w:p>
        </w:tc>
        <w:tc>
          <w:tcPr>
            <w:tcW w:w="2620" w:type="dxa"/>
            <w:vAlign w:val="center"/>
          </w:tcPr>
          <w:p w:rsidR="000F5033" w:rsidRDefault="0054073E">
            <w:pPr>
              <w:jc w:val="center"/>
            </w:pPr>
            <w:r>
              <w:rPr>
                <w:rFonts w:ascii="仿宋_GB2312" w:eastAsia="仿宋_GB2312" w:hAnsi="Calibri" w:cs="宋体"/>
                <w:color w:val="000000"/>
                <w:sz w:val="24"/>
              </w:rPr>
              <w:t>应收利息</w:t>
            </w:r>
          </w:p>
        </w:tc>
        <w:tc>
          <w:tcPr>
            <w:tcW w:w="2694" w:type="dxa"/>
            <w:vAlign w:val="center"/>
          </w:tcPr>
          <w:p w:rsidR="000F5033" w:rsidRDefault="0054073E">
            <w:pPr>
              <w:jc w:val="center"/>
            </w:pPr>
            <w:r>
              <w:rPr>
                <w:rFonts w:ascii="仿宋_GB2312" w:eastAsia="仿宋_GB2312" w:hAnsi="Calibri" w:cs="宋体"/>
                <w:color w:val="000000"/>
                <w:sz w:val="24"/>
              </w:rPr>
              <w:t>12,096,068.78</w:t>
            </w:r>
          </w:p>
        </w:tc>
        <w:tc>
          <w:tcPr>
            <w:tcW w:w="2477" w:type="dxa"/>
            <w:vAlign w:val="center"/>
          </w:tcPr>
          <w:p w:rsidR="000F5033" w:rsidRDefault="0054073E">
            <w:pPr>
              <w:jc w:val="center"/>
            </w:pPr>
            <w:r>
              <w:rPr>
                <w:rFonts w:ascii="仿宋_GB2312" w:eastAsia="仿宋_GB2312" w:hAnsi="Calibri" w:cs="宋体"/>
                <w:color w:val="000000"/>
                <w:sz w:val="24"/>
              </w:rPr>
              <w:t>1.87%</w:t>
            </w:r>
          </w:p>
        </w:tc>
      </w:tr>
      <w:tr w:rsidR="000F5033">
        <w:tc>
          <w:tcPr>
            <w:tcW w:w="1281" w:type="dxa"/>
            <w:vAlign w:val="center"/>
          </w:tcPr>
          <w:p w:rsidR="000F5033" w:rsidRDefault="000F5033">
            <w:pPr>
              <w:jc w:val="center"/>
            </w:pPr>
          </w:p>
        </w:tc>
        <w:tc>
          <w:tcPr>
            <w:tcW w:w="2620" w:type="dxa"/>
            <w:vAlign w:val="center"/>
          </w:tcPr>
          <w:p w:rsidR="000F5033" w:rsidRDefault="0054073E">
            <w:pPr>
              <w:jc w:val="center"/>
            </w:pPr>
            <w:r>
              <w:rPr>
                <w:rFonts w:ascii="仿宋_GB2312" w:eastAsia="仿宋_GB2312" w:hAnsi="Calibri" w:cs="宋体"/>
                <w:color w:val="000000"/>
                <w:sz w:val="24"/>
              </w:rPr>
              <w:t>合计</w:t>
            </w:r>
          </w:p>
        </w:tc>
        <w:tc>
          <w:tcPr>
            <w:tcW w:w="2694" w:type="dxa"/>
            <w:vAlign w:val="center"/>
          </w:tcPr>
          <w:p w:rsidR="000F5033" w:rsidRDefault="0054073E">
            <w:pPr>
              <w:jc w:val="center"/>
            </w:pPr>
            <w:r>
              <w:rPr>
                <w:rFonts w:ascii="仿宋_GB2312" w:eastAsia="仿宋_GB2312" w:hAnsi="Calibri" w:cs="宋体"/>
                <w:color w:val="000000"/>
                <w:sz w:val="24"/>
              </w:rPr>
              <w:t>650,042,843.34</w:t>
            </w:r>
          </w:p>
        </w:tc>
        <w:tc>
          <w:tcPr>
            <w:tcW w:w="2477" w:type="dxa"/>
            <w:vAlign w:val="center"/>
          </w:tcPr>
          <w:p w:rsidR="000F5033" w:rsidRDefault="0054073E">
            <w:pPr>
              <w:jc w:val="center"/>
            </w:pPr>
            <w:r>
              <w:rPr>
                <w:rFonts w:ascii="仿宋_GB2312" w:eastAsia="仿宋_GB2312" w:hAnsi="Calibri" w:cs="宋体"/>
                <w:color w:val="000000"/>
                <w:sz w:val="24"/>
              </w:rPr>
              <w:t>100.60%</w:t>
            </w:r>
          </w:p>
        </w:tc>
      </w:tr>
    </w:tbl>
    <w:p w:rsidR="00DE496A" w:rsidRDefault="00DE496A" w:rsidP="00DE496A">
      <w:pPr>
        <w:spacing w:line="360" w:lineRule="auto"/>
        <w:ind w:firstLine="482"/>
        <w:rPr>
          <w:rFonts w:ascii="仿宋_GB2312" w:eastAsia="仿宋_GB2312" w:hAnsi="Calibri"/>
          <w:sz w:val="24"/>
          <w:szCs w:val="24"/>
        </w:rPr>
      </w:pPr>
      <w:r w:rsidRPr="00756460">
        <w:rPr>
          <w:rFonts w:ascii="仿宋_GB2312" w:eastAsia="仿宋_GB2312" w:hint="eastAsia"/>
          <w:b/>
          <w:bCs/>
          <w:sz w:val="24"/>
          <w:szCs w:val="24"/>
        </w:rPr>
        <w:t>4.2 报告期内产品投资策略和组合流动性风险分析</w:t>
      </w:r>
    </w:p>
    <w:p w:rsidR="00DE496A" w:rsidRPr="00EF639D" w:rsidRDefault="00EF639D" w:rsidP="00DE496A">
      <w:pPr>
        <w:rPr>
          <w:rFonts w:ascii="仿宋_GB2312" w:eastAsia="仿宋_GB2312"/>
          <w:color w:val="000000"/>
          <w:sz w:val="24"/>
          <w:szCs w:val="24"/>
        </w:rPr>
      </w:pPr>
      <w:r w:rsidRPr="00E30895">
        <w:rPr>
          <w:rFonts w:ascii="仿宋_GB2312" w:eastAsia="仿宋_GB2312" w:hint="eastAsia"/>
          <w:color w:val="000000"/>
          <w:sz w:val="24"/>
          <w:szCs w:val="24"/>
        </w:rPr>
        <w:t>报告期内，十年期国债收益率季末收在2.78%，债券收益率整体呈下行趋势。本产品以配置中</w:t>
      </w:r>
      <w:proofErr w:type="gramStart"/>
      <w:r w:rsidRPr="00E30895">
        <w:rPr>
          <w:rFonts w:ascii="仿宋_GB2312" w:eastAsia="仿宋_GB2312" w:hint="eastAsia"/>
          <w:color w:val="000000"/>
          <w:sz w:val="24"/>
          <w:szCs w:val="24"/>
        </w:rPr>
        <w:t>短久期</w:t>
      </w:r>
      <w:proofErr w:type="gramEnd"/>
      <w:r w:rsidRPr="00E30895">
        <w:rPr>
          <w:rFonts w:ascii="仿宋_GB2312" w:eastAsia="仿宋_GB2312" w:hint="eastAsia"/>
          <w:color w:val="000000"/>
          <w:sz w:val="24"/>
          <w:szCs w:val="24"/>
        </w:rPr>
        <w:t>的高等级信用</w:t>
      </w:r>
      <w:proofErr w:type="gramStart"/>
      <w:r w:rsidRPr="00E30895">
        <w:rPr>
          <w:rFonts w:ascii="仿宋_GB2312" w:eastAsia="仿宋_GB2312" w:hint="eastAsia"/>
          <w:color w:val="000000"/>
          <w:sz w:val="24"/>
          <w:szCs w:val="24"/>
        </w:rPr>
        <w:t>债为主</w:t>
      </w:r>
      <w:proofErr w:type="gramEnd"/>
      <w:r w:rsidRPr="00E30895">
        <w:rPr>
          <w:rFonts w:ascii="仿宋_GB2312" w:eastAsia="仿宋_GB2312" w:hint="eastAsia"/>
          <w:color w:val="000000"/>
          <w:sz w:val="24"/>
          <w:szCs w:val="24"/>
        </w:rPr>
        <w:t>,通过分散化投资以及行内评审会流程精选个</w:t>
      </w:r>
      <w:proofErr w:type="gramStart"/>
      <w:r w:rsidRPr="00E30895">
        <w:rPr>
          <w:rFonts w:ascii="仿宋_GB2312" w:eastAsia="仿宋_GB2312" w:hint="eastAsia"/>
          <w:color w:val="000000"/>
          <w:sz w:val="24"/>
          <w:szCs w:val="24"/>
        </w:rPr>
        <w:t>券</w:t>
      </w:r>
      <w:proofErr w:type="gramEnd"/>
      <w:r w:rsidRPr="00E30895">
        <w:rPr>
          <w:rFonts w:ascii="仿宋_GB2312" w:eastAsia="仿宋_GB2312" w:hint="eastAsia"/>
          <w:color w:val="000000"/>
          <w:sz w:val="24"/>
          <w:szCs w:val="24"/>
        </w:rPr>
        <w:t>，构建具有较好流动性、</w:t>
      </w:r>
      <w:proofErr w:type="gramStart"/>
      <w:r w:rsidRPr="00E30895">
        <w:rPr>
          <w:rFonts w:ascii="仿宋_GB2312" w:eastAsia="仿宋_GB2312" w:hint="eastAsia"/>
          <w:color w:val="000000"/>
          <w:sz w:val="24"/>
          <w:szCs w:val="24"/>
        </w:rPr>
        <w:t>久期适中</w:t>
      </w:r>
      <w:proofErr w:type="gramEnd"/>
      <w:r w:rsidRPr="00E30895">
        <w:rPr>
          <w:rFonts w:ascii="仿宋_GB2312" w:eastAsia="仿宋_GB2312" w:hint="eastAsia"/>
          <w:color w:val="000000"/>
          <w:sz w:val="24"/>
          <w:szCs w:val="24"/>
        </w:rPr>
        <w:t>、信用风险可控的优质债券组合。本产品持仓以高评级信用债为主，杠杆率控制在合理水平，组合的流动性风险处于合理可控水平。</w:t>
      </w:r>
    </w:p>
    <w:p w:rsidR="00DE496A" w:rsidRDefault="00DE496A" w:rsidP="00DE496A">
      <w:pPr>
        <w:spacing w:line="360" w:lineRule="auto"/>
        <w:ind w:firstLineChars="200" w:firstLine="482"/>
        <w:rPr>
          <w:rFonts w:ascii="仿宋_GB2312" w:eastAsia="仿宋_GB2312" w:hAnsiTheme="minorEastAsia"/>
          <w:b/>
          <w:bCs/>
          <w:sz w:val="24"/>
          <w:szCs w:val="24"/>
        </w:rPr>
      </w:pPr>
      <w:r>
        <w:rPr>
          <w:rFonts w:ascii="仿宋_GB2312" w:eastAsia="仿宋_GB2312" w:hAnsiTheme="minorEastAsia"/>
          <w:b/>
          <w:bCs/>
          <w:sz w:val="24"/>
          <w:szCs w:val="24"/>
        </w:rPr>
        <w:t>4.3报告期末占比前十项资产明细</w:t>
      </w:r>
    </w:p>
    <w:tbl>
      <w:tblPr>
        <w:tblW w:w="907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1139"/>
        <w:gridCol w:w="2268"/>
        <w:gridCol w:w="2835"/>
        <w:gridCol w:w="2835"/>
      </w:tblGrid>
      <w:tr w:rsidR="00DE496A" w:rsidTr="00B00579">
        <w:trPr>
          <w:trHeight w:val="296"/>
        </w:trPr>
        <w:tc>
          <w:tcPr>
            <w:tcW w:w="1139" w:type="dxa"/>
            <w:vAlign w:val="center"/>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Theme="minorEastAsia" w:hint="eastAsia"/>
                <w:color w:val="000000"/>
                <w:sz w:val="24"/>
                <w:szCs w:val="24"/>
              </w:rPr>
              <w:t>序号</w:t>
            </w:r>
          </w:p>
        </w:tc>
        <w:tc>
          <w:tcPr>
            <w:tcW w:w="2268" w:type="dxa"/>
            <w:tcMar>
              <w:top w:w="15" w:type="dxa"/>
              <w:left w:w="15" w:type="dxa"/>
              <w:bottom w:w="0" w:type="dxa"/>
              <w:right w:w="15" w:type="dxa"/>
            </w:tcMar>
            <w:vAlign w:val="center"/>
          </w:tcPr>
          <w:p w:rsidR="00DE496A" w:rsidRDefault="00DE496A" w:rsidP="00B00579">
            <w:pPr>
              <w:pStyle w:val="xl33"/>
              <w:widowControl w:val="0"/>
              <w:pBdr>
                <w:left w:val="none" w:sz="0" w:space="0" w:color="auto"/>
                <w:bottom w:val="none" w:sz="0" w:space="0" w:color="auto"/>
                <w:right w:val="none" w:sz="0" w:space="0" w:color="auto"/>
              </w:pBdr>
              <w:adjustRightInd w:val="0"/>
              <w:snapToGrid w:val="0"/>
              <w:spacing w:before="0" w:beforeAutospacing="0" w:after="0" w:afterAutospacing="0" w:line="360" w:lineRule="auto"/>
              <w:rPr>
                <w:rFonts w:ascii="仿宋_GB2312" w:eastAsia="仿宋_GB2312" w:hAnsiTheme="minorEastAsia" w:cs="Times New Roman"/>
                <w:color w:val="000000"/>
                <w:kern w:val="2"/>
              </w:rPr>
            </w:pPr>
            <w:r>
              <w:rPr>
                <w:rFonts w:ascii="仿宋_GB2312" w:eastAsia="仿宋_GB2312" w:hAnsiTheme="minorEastAsia" w:cs="Times New Roman" w:hint="eastAsia"/>
                <w:color w:val="000000"/>
                <w:kern w:val="2"/>
              </w:rPr>
              <w:t>资产名称</w:t>
            </w:r>
          </w:p>
        </w:tc>
        <w:tc>
          <w:tcPr>
            <w:tcW w:w="2835" w:type="dxa"/>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Theme="minorEastAsia" w:hint="eastAsia"/>
                <w:color w:val="000000"/>
                <w:sz w:val="24"/>
                <w:szCs w:val="24"/>
              </w:rPr>
              <w:t>资产规模</w:t>
            </w:r>
          </w:p>
        </w:tc>
        <w:tc>
          <w:tcPr>
            <w:tcW w:w="2835" w:type="dxa"/>
            <w:tcMar>
              <w:top w:w="15" w:type="dxa"/>
              <w:left w:w="15" w:type="dxa"/>
              <w:bottom w:w="0" w:type="dxa"/>
              <w:right w:w="15" w:type="dxa"/>
            </w:tcMar>
            <w:vAlign w:val="center"/>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Theme="minorEastAsia" w:hint="eastAsia"/>
                <w:color w:val="000000"/>
                <w:sz w:val="24"/>
                <w:szCs w:val="24"/>
              </w:rPr>
              <w:t>占产品资产净值比例</w:t>
            </w:r>
          </w:p>
        </w:tc>
      </w:tr>
      <w:tr w:rsidR="00DE496A" w:rsidTr="00B00579">
        <w:trPr>
          <w:trHeight w:val="296"/>
        </w:trPr>
        <w:tc>
          <w:tcPr>
            <w:tcW w:w="1139" w:type="dxa"/>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Calibri" w:cs="宋体"/>
                <w:color w:val="000000"/>
                <w:sz w:val="24"/>
                <w:szCs w:val="24"/>
              </w:rPr>
              <w:t>1</w:t>
            </w:r>
          </w:p>
        </w:tc>
        <w:tc>
          <w:tcPr>
            <w:tcW w:w="2268" w:type="dxa"/>
            <w:tcMar>
              <w:top w:w="15" w:type="dxa"/>
              <w:left w:w="15" w:type="dxa"/>
              <w:bottom w:w="0" w:type="dxa"/>
              <w:right w:w="15" w:type="dxa"/>
            </w:tcMar>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Calibri" w:cs="宋体"/>
                <w:color w:val="000000"/>
                <w:sz w:val="24"/>
                <w:szCs w:val="24"/>
              </w:rPr>
              <w:t>17华夏银行二级01</w:t>
            </w:r>
          </w:p>
        </w:tc>
        <w:tc>
          <w:tcPr>
            <w:tcW w:w="2835" w:type="dxa"/>
          </w:tcPr>
          <w:p w:rsidR="00DE496A" w:rsidRPr="00D41D16"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Calibri" w:cs="宋体"/>
                <w:color w:val="000000"/>
                <w:sz w:val="24"/>
                <w:szCs w:val="24"/>
              </w:rPr>
              <w:t>60,510,000.00</w:t>
            </w:r>
          </w:p>
        </w:tc>
        <w:tc>
          <w:tcPr>
            <w:tcW w:w="2835" w:type="dxa"/>
            <w:tcMar>
              <w:top w:w="15" w:type="dxa"/>
              <w:left w:w="15" w:type="dxa"/>
              <w:bottom w:w="0" w:type="dxa"/>
              <w:right w:w="15" w:type="dxa"/>
            </w:tcMar>
          </w:tcPr>
          <w:p w:rsidR="00DE496A" w:rsidRPr="00D41D16"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Calibri" w:cs="宋体"/>
                <w:color w:val="000000"/>
                <w:sz w:val="24"/>
                <w:szCs w:val="24"/>
              </w:rPr>
              <w:t>9.36%</w:t>
            </w:r>
          </w:p>
        </w:tc>
      </w:tr>
      <w:tr w:rsidR="000F5033">
        <w:tc>
          <w:tcPr>
            <w:tcW w:w="1139" w:type="dxa"/>
          </w:tcPr>
          <w:p w:rsidR="000F5033" w:rsidRDefault="0054073E">
            <w:pPr>
              <w:jc w:val="center"/>
            </w:pPr>
            <w:r>
              <w:rPr>
                <w:rFonts w:ascii="仿宋_GB2312" w:eastAsia="仿宋_GB2312" w:hAnsi="Calibri" w:cs="宋体"/>
                <w:color w:val="000000"/>
                <w:sz w:val="24"/>
              </w:rPr>
              <w:t>2</w:t>
            </w:r>
          </w:p>
        </w:tc>
        <w:tc>
          <w:tcPr>
            <w:tcW w:w="2268" w:type="dxa"/>
            <w:tcMar>
              <w:top w:w="15" w:type="dxa"/>
              <w:left w:w="15" w:type="dxa"/>
              <w:bottom w:w="0" w:type="dxa"/>
              <w:right w:w="15" w:type="dxa"/>
            </w:tcMar>
          </w:tcPr>
          <w:p w:rsidR="000F5033" w:rsidRDefault="0054073E">
            <w:pPr>
              <w:jc w:val="center"/>
            </w:pPr>
            <w:r>
              <w:rPr>
                <w:rFonts w:ascii="仿宋_GB2312" w:eastAsia="仿宋_GB2312" w:hAnsi="Calibri" w:cs="宋体"/>
                <w:color w:val="000000"/>
                <w:sz w:val="24"/>
              </w:rPr>
              <w:t>19华润MTN007</w:t>
            </w:r>
          </w:p>
        </w:tc>
        <w:tc>
          <w:tcPr>
            <w:tcW w:w="2835" w:type="dxa"/>
          </w:tcPr>
          <w:p w:rsidR="000F5033" w:rsidRDefault="0054073E">
            <w:pPr>
              <w:jc w:val="center"/>
            </w:pPr>
            <w:r>
              <w:rPr>
                <w:rFonts w:ascii="仿宋_GB2312" w:eastAsia="仿宋_GB2312" w:hAnsi="Calibri" w:cs="宋体"/>
                <w:color w:val="000000"/>
                <w:sz w:val="24"/>
              </w:rPr>
              <w:t>50,395,000.00</w:t>
            </w:r>
          </w:p>
        </w:tc>
        <w:tc>
          <w:tcPr>
            <w:tcW w:w="2835" w:type="dxa"/>
            <w:tcMar>
              <w:top w:w="15" w:type="dxa"/>
              <w:left w:w="15" w:type="dxa"/>
              <w:bottom w:w="0" w:type="dxa"/>
              <w:right w:w="15" w:type="dxa"/>
            </w:tcMar>
          </w:tcPr>
          <w:p w:rsidR="000F5033" w:rsidRDefault="0054073E">
            <w:pPr>
              <w:jc w:val="center"/>
            </w:pPr>
            <w:r>
              <w:rPr>
                <w:rFonts w:ascii="仿宋_GB2312" w:eastAsia="仿宋_GB2312" w:hAnsi="Calibri" w:cs="宋体"/>
                <w:color w:val="000000"/>
                <w:sz w:val="24"/>
              </w:rPr>
              <w:t>7.80%</w:t>
            </w:r>
          </w:p>
        </w:tc>
      </w:tr>
      <w:tr w:rsidR="000F5033">
        <w:tc>
          <w:tcPr>
            <w:tcW w:w="1139" w:type="dxa"/>
          </w:tcPr>
          <w:p w:rsidR="000F5033" w:rsidRDefault="0054073E">
            <w:pPr>
              <w:jc w:val="center"/>
            </w:pPr>
            <w:r>
              <w:rPr>
                <w:rFonts w:ascii="仿宋_GB2312" w:eastAsia="仿宋_GB2312" w:hAnsi="Calibri" w:cs="宋体"/>
                <w:color w:val="000000"/>
                <w:sz w:val="24"/>
              </w:rPr>
              <w:t>3</w:t>
            </w:r>
          </w:p>
        </w:tc>
        <w:tc>
          <w:tcPr>
            <w:tcW w:w="2268" w:type="dxa"/>
            <w:tcMar>
              <w:top w:w="15" w:type="dxa"/>
              <w:left w:w="15" w:type="dxa"/>
              <w:bottom w:w="0" w:type="dxa"/>
              <w:right w:w="15" w:type="dxa"/>
            </w:tcMar>
          </w:tcPr>
          <w:p w:rsidR="000F5033" w:rsidRDefault="0054073E">
            <w:pPr>
              <w:jc w:val="center"/>
            </w:pPr>
            <w:r>
              <w:rPr>
                <w:rFonts w:ascii="仿宋_GB2312" w:eastAsia="仿宋_GB2312" w:hAnsi="Calibri" w:cs="宋体"/>
                <w:color w:val="000000"/>
                <w:sz w:val="24"/>
              </w:rPr>
              <w:t>21河钢集CP001</w:t>
            </w:r>
          </w:p>
        </w:tc>
        <w:tc>
          <w:tcPr>
            <w:tcW w:w="2835" w:type="dxa"/>
          </w:tcPr>
          <w:p w:rsidR="000F5033" w:rsidRDefault="0054073E">
            <w:pPr>
              <w:jc w:val="center"/>
            </w:pPr>
            <w:r>
              <w:rPr>
                <w:rFonts w:ascii="仿宋_GB2312" w:eastAsia="仿宋_GB2312" w:hAnsi="Calibri" w:cs="宋体"/>
                <w:color w:val="000000"/>
                <w:sz w:val="24"/>
              </w:rPr>
              <w:t>50,135,000.00</w:t>
            </w:r>
          </w:p>
        </w:tc>
        <w:tc>
          <w:tcPr>
            <w:tcW w:w="2835" w:type="dxa"/>
            <w:tcMar>
              <w:top w:w="15" w:type="dxa"/>
              <w:left w:w="15" w:type="dxa"/>
              <w:bottom w:w="0" w:type="dxa"/>
              <w:right w:w="15" w:type="dxa"/>
            </w:tcMar>
          </w:tcPr>
          <w:p w:rsidR="000F5033" w:rsidRDefault="0054073E">
            <w:pPr>
              <w:jc w:val="center"/>
            </w:pPr>
            <w:r>
              <w:rPr>
                <w:rFonts w:ascii="仿宋_GB2312" w:eastAsia="仿宋_GB2312" w:hAnsi="Calibri" w:cs="宋体"/>
                <w:color w:val="000000"/>
                <w:sz w:val="24"/>
              </w:rPr>
              <w:t>7.76%</w:t>
            </w:r>
          </w:p>
        </w:tc>
      </w:tr>
      <w:tr w:rsidR="000F5033">
        <w:tc>
          <w:tcPr>
            <w:tcW w:w="1139" w:type="dxa"/>
          </w:tcPr>
          <w:p w:rsidR="000F5033" w:rsidRDefault="0054073E">
            <w:pPr>
              <w:jc w:val="center"/>
            </w:pPr>
            <w:r>
              <w:rPr>
                <w:rFonts w:ascii="仿宋_GB2312" w:eastAsia="仿宋_GB2312" w:hAnsi="Calibri" w:cs="宋体"/>
                <w:color w:val="000000"/>
                <w:sz w:val="24"/>
              </w:rPr>
              <w:t>4</w:t>
            </w:r>
          </w:p>
        </w:tc>
        <w:tc>
          <w:tcPr>
            <w:tcW w:w="2268" w:type="dxa"/>
            <w:tcMar>
              <w:top w:w="15" w:type="dxa"/>
              <w:left w:w="15" w:type="dxa"/>
              <w:bottom w:w="0" w:type="dxa"/>
              <w:right w:w="15" w:type="dxa"/>
            </w:tcMar>
          </w:tcPr>
          <w:p w:rsidR="000F5033" w:rsidRDefault="0054073E">
            <w:pPr>
              <w:jc w:val="center"/>
            </w:pPr>
            <w:r>
              <w:rPr>
                <w:rFonts w:ascii="仿宋_GB2312" w:eastAsia="仿宋_GB2312" w:hAnsi="Calibri" w:cs="宋体"/>
                <w:color w:val="000000"/>
                <w:sz w:val="24"/>
              </w:rPr>
              <w:t>17工商银行二级02</w:t>
            </w:r>
          </w:p>
        </w:tc>
        <w:tc>
          <w:tcPr>
            <w:tcW w:w="2835" w:type="dxa"/>
          </w:tcPr>
          <w:p w:rsidR="000F5033" w:rsidRDefault="0054073E">
            <w:pPr>
              <w:jc w:val="center"/>
            </w:pPr>
            <w:r>
              <w:rPr>
                <w:rFonts w:ascii="仿宋_GB2312" w:eastAsia="仿宋_GB2312" w:hAnsi="Calibri" w:cs="宋体"/>
                <w:color w:val="000000"/>
                <w:sz w:val="24"/>
              </w:rPr>
              <w:t>40,568,000.00</w:t>
            </w:r>
          </w:p>
        </w:tc>
        <w:tc>
          <w:tcPr>
            <w:tcW w:w="2835" w:type="dxa"/>
            <w:tcMar>
              <w:top w:w="15" w:type="dxa"/>
              <w:left w:w="15" w:type="dxa"/>
              <w:bottom w:w="0" w:type="dxa"/>
              <w:right w:w="15" w:type="dxa"/>
            </w:tcMar>
          </w:tcPr>
          <w:p w:rsidR="000F5033" w:rsidRDefault="0054073E">
            <w:pPr>
              <w:jc w:val="center"/>
            </w:pPr>
            <w:r>
              <w:rPr>
                <w:rFonts w:ascii="仿宋_GB2312" w:eastAsia="仿宋_GB2312" w:hAnsi="Calibri" w:cs="宋体"/>
                <w:color w:val="000000"/>
                <w:sz w:val="24"/>
              </w:rPr>
              <w:t>6.28%</w:t>
            </w:r>
          </w:p>
        </w:tc>
      </w:tr>
      <w:tr w:rsidR="000F5033">
        <w:tc>
          <w:tcPr>
            <w:tcW w:w="1139" w:type="dxa"/>
          </w:tcPr>
          <w:p w:rsidR="000F5033" w:rsidRDefault="0054073E">
            <w:pPr>
              <w:jc w:val="center"/>
            </w:pPr>
            <w:r>
              <w:rPr>
                <w:rFonts w:ascii="仿宋_GB2312" w:eastAsia="仿宋_GB2312" w:hAnsi="Calibri" w:cs="宋体"/>
                <w:color w:val="000000"/>
                <w:sz w:val="24"/>
              </w:rPr>
              <w:t>5</w:t>
            </w:r>
          </w:p>
        </w:tc>
        <w:tc>
          <w:tcPr>
            <w:tcW w:w="2268" w:type="dxa"/>
            <w:tcMar>
              <w:top w:w="15" w:type="dxa"/>
              <w:left w:w="15" w:type="dxa"/>
              <w:bottom w:w="0" w:type="dxa"/>
              <w:right w:w="15" w:type="dxa"/>
            </w:tcMar>
          </w:tcPr>
          <w:p w:rsidR="000F5033" w:rsidRDefault="0054073E">
            <w:pPr>
              <w:jc w:val="center"/>
            </w:pPr>
            <w:r>
              <w:rPr>
                <w:rFonts w:ascii="仿宋_GB2312" w:eastAsia="仿宋_GB2312" w:hAnsi="Calibri" w:cs="宋体"/>
                <w:color w:val="000000"/>
                <w:sz w:val="24"/>
              </w:rPr>
              <w:t>19葛洲坝MTN001</w:t>
            </w:r>
          </w:p>
        </w:tc>
        <w:tc>
          <w:tcPr>
            <w:tcW w:w="2835" w:type="dxa"/>
          </w:tcPr>
          <w:p w:rsidR="000F5033" w:rsidRDefault="0054073E">
            <w:pPr>
              <w:jc w:val="center"/>
            </w:pPr>
            <w:r>
              <w:rPr>
                <w:rFonts w:ascii="仿宋_GB2312" w:eastAsia="仿宋_GB2312" w:hAnsi="Calibri" w:cs="宋体"/>
                <w:color w:val="000000"/>
                <w:sz w:val="24"/>
              </w:rPr>
              <w:t>40,460,000.00</w:t>
            </w:r>
          </w:p>
        </w:tc>
        <w:tc>
          <w:tcPr>
            <w:tcW w:w="2835" w:type="dxa"/>
            <w:tcMar>
              <w:top w:w="15" w:type="dxa"/>
              <w:left w:w="15" w:type="dxa"/>
              <w:bottom w:w="0" w:type="dxa"/>
              <w:right w:w="15" w:type="dxa"/>
            </w:tcMar>
          </w:tcPr>
          <w:p w:rsidR="000F5033" w:rsidRDefault="0054073E">
            <w:pPr>
              <w:jc w:val="center"/>
            </w:pPr>
            <w:r>
              <w:rPr>
                <w:rFonts w:ascii="仿宋_GB2312" w:eastAsia="仿宋_GB2312" w:hAnsi="Calibri" w:cs="宋体"/>
                <w:color w:val="000000"/>
                <w:sz w:val="24"/>
              </w:rPr>
              <w:t>6.26%</w:t>
            </w:r>
          </w:p>
        </w:tc>
      </w:tr>
      <w:tr w:rsidR="000F5033">
        <w:tc>
          <w:tcPr>
            <w:tcW w:w="1139" w:type="dxa"/>
          </w:tcPr>
          <w:p w:rsidR="000F5033" w:rsidRDefault="0054073E">
            <w:pPr>
              <w:jc w:val="center"/>
            </w:pPr>
            <w:r>
              <w:rPr>
                <w:rFonts w:ascii="仿宋_GB2312" w:eastAsia="仿宋_GB2312" w:hAnsi="Calibri" w:cs="宋体"/>
                <w:color w:val="000000"/>
                <w:sz w:val="24"/>
              </w:rPr>
              <w:t>6</w:t>
            </w:r>
          </w:p>
        </w:tc>
        <w:tc>
          <w:tcPr>
            <w:tcW w:w="2268" w:type="dxa"/>
            <w:tcMar>
              <w:top w:w="15" w:type="dxa"/>
              <w:left w:w="15" w:type="dxa"/>
              <w:bottom w:w="0" w:type="dxa"/>
              <w:right w:w="15" w:type="dxa"/>
            </w:tcMar>
          </w:tcPr>
          <w:p w:rsidR="000F5033" w:rsidRDefault="0054073E">
            <w:pPr>
              <w:jc w:val="center"/>
            </w:pPr>
            <w:r>
              <w:rPr>
                <w:rFonts w:ascii="仿宋_GB2312" w:eastAsia="仿宋_GB2312" w:hAnsi="Calibri" w:cs="宋体"/>
                <w:color w:val="000000"/>
                <w:sz w:val="24"/>
              </w:rPr>
              <w:t>19余杭创新PPN003</w:t>
            </w:r>
          </w:p>
        </w:tc>
        <w:tc>
          <w:tcPr>
            <w:tcW w:w="2835" w:type="dxa"/>
          </w:tcPr>
          <w:p w:rsidR="000F5033" w:rsidRDefault="0054073E">
            <w:pPr>
              <w:jc w:val="center"/>
            </w:pPr>
            <w:r>
              <w:rPr>
                <w:rFonts w:ascii="仿宋_GB2312" w:eastAsia="仿宋_GB2312" w:hAnsi="Calibri" w:cs="宋体"/>
                <w:color w:val="000000"/>
                <w:sz w:val="24"/>
              </w:rPr>
              <w:t>40,352,000.00</w:t>
            </w:r>
          </w:p>
        </w:tc>
        <w:tc>
          <w:tcPr>
            <w:tcW w:w="2835" w:type="dxa"/>
            <w:tcMar>
              <w:top w:w="15" w:type="dxa"/>
              <w:left w:w="15" w:type="dxa"/>
              <w:bottom w:w="0" w:type="dxa"/>
              <w:right w:w="15" w:type="dxa"/>
            </w:tcMar>
          </w:tcPr>
          <w:p w:rsidR="000F5033" w:rsidRDefault="0054073E">
            <w:pPr>
              <w:jc w:val="center"/>
            </w:pPr>
            <w:r>
              <w:rPr>
                <w:rFonts w:ascii="仿宋_GB2312" w:eastAsia="仿宋_GB2312" w:hAnsi="Calibri" w:cs="宋体"/>
                <w:color w:val="000000"/>
                <w:sz w:val="24"/>
              </w:rPr>
              <w:t>6.25%</w:t>
            </w:r>
          </w:p>
        </w:tc>
      </w:tr>
      <w:tr w:rsidR="000F5033">
        <w:tc>
          <w:tcPr>
            <w:tcW w:w="1139" w:type="dxa"/>
          </w:tcPr>
          <w:p w:rsidR="000F5033" w:rsidRDefault="0054073E">
            <w:pPr>
              <w:jc w:val="center"/>
            </w:pPr>
            <w:r>
              <w:rPr>
                <w:rFonts w:ascii="仿宋_GB2312" w:eastAsia="仿宋_GB2312" w:hAnsi="Calibri" w:cs="宋体"/>
                <w:color w:val="000000"/>
                <w:sz w:val="24"/>
              </w:rPr>
              <w:t>7</w:t>
            </w:r>
          </w:p>
        </w:tc>
        <w:tc>
          <w:tcPr>
            <w:tcW w:w="2268" w:type="dxa"/>
            <w:tcMar>
              <w:top w:w="15" w:type="dxa"/>
              <w:left w:w="15" w:type="dxa"/>
              <w:bottom w:w="0" w:type="dxa"/>
              <w:right w:w="15" w:type="dxa"/>
            </w:tcMar>
          </w:tcPr>
          <w:p w:rsidR="000F5033" w:rsidRDefault="0054073E">
            <w:pPr>
              <w:jc w:val="center"/>
            </w:pPr>
            <w:r>
              <w:rPr>
                <w:rFonts w:ascii="仿宋_GB2312" w:eastAsia="仿宋_GB2312" w:hAnsi="Calibri" w:cs="宋体"/>
                <w:color w:val="000000"/>
                <w:sz w:val="24"/>
              </w:rPr>
              <w:t>19阳煤PPN008</w:t>
            </w:r>
          </w:p>
        </w:tc>
        <w:tc>
          <w:tcPr>
            <w:tcW w:w="2835" w:type="dxa"/>
          </w:tcPr>
          <w:p w:rsidR="000F5033" w:rsidRDefault="0054073E">
            <w:pPr>
              <w:jc w:val="center"/>
            </w:pPr>
            <w:r>
              <w:rPr>
                <w:rFonts w:ascii="仿宋_GB2312" w:eastAsia="仿宋_GB2312" w:hAnsi="Calibri" w:cs="宋体"/>
                <w:color w:val="000000"/>
                <w:sz w:val="24"/>
              </w:rPr>
              <w:t>40,320,000.00</w:t>
            </w:r>
          </w:p>
        </w:tc>
        <w:tc>
          <w:tcPr>
            <w:tcW w:w="2835" w:type="dxa"/>
            <w:tcMar>
              <w:top w:w="15" w:type="dxa"/>
              <w:left w:w="15" w:type="dxa"/>
              <w:bottom w:w="0" w:type="dxa"/>
              <w:right w:w="15" w:type="dxa"/>
            </w:tcMar>
          </w:tcPr>
          <w:p w:rsidR="000F5033" w:rsidRDefault="0054073E">
            <w:pPr>
              <w:jc w:val="center"/>
            </w:pPr>
            <w:r>
              <w:rPr>
                <w:rFonts w:ascii="仿宋_GB2312" w:eastAsia="仿宋_GB2312" w:hAnsi="Calibri" w:cs="宋体"/>
                <w:color w:val="000000"/>
                <w:sz w:val="24"/>
              </w:rPr>
              <w:t>6.24%</w:t>
            </w:r>
          </w:p>
        </w:tc>
      </w:tr>
      <w:tr w:rsidR="000F5033">
        <w:tc>
          <w:tcPr>
            <w:tcW w:w="1139" w:type="dxa"/>
          </w:tcPr>
          <w:p w:rsidR="000F5033" w:rsidRDefault="0054073E">
            <w:pPr>
              <w:jc w:val="center"/>
            </w:pPr>
            <w:r>
              <w:rPr>
                <w:rFonts w:ascii="仿宋_GB2312" w:eastAsia="仿宋_GB2312" w:hAnsi="Calibri" w:cs="宋体"/>
                <w:color w:val="000000"/>
                <w:sz w:val="24"/>
              </w:rPr>
              <w:t>8</w:t>
            </w:r>
          </w:p>
        </w:tc>
        <w:tc>
          <w:tcPr>
            <w:tcW w:w="2268" w:type="dxa"/>
            <w:tcMar>
              <w:top w:w="15" w:type="dxa"/>
              <w:left w:w="15" w:type="dxa"/>
              <w:bottom w:w="0" w:type="dxa"/>
              <w:right w:w="15" w:type="dxa"/>
            </w:tcMar>
          </w:tcPr>
          <w:p w:rsidR="000F5033" w:rsidRDefault="0054073E">
            <w:pPr>
              <w:jc w:val="center"/>
            </w:pPr>
            <w:r>
              <w:rPr>
                <w:rFonts w:ascii="仿宋_GB2312" w:eastAsia="仿宋_GB2312" w:hAnsi="Calibri" w:cs="宋体"/>
                <w:color w:val="000000"/>
                <w:sz w:val="24"/>
              </w:rPr>
              <w:t>20华能MTN001</w:t>
            </w:r>
          </w:p>
        </w:tc>
        <w:tc>
          <w:tcPr>
            <w:tcW w:w="2835" w:type="dxa"/>
          </w:tcPr>
          <w:p w:rsidR="000F5033" w:rsidRDefault="0054073E">
            <w:pPr>
              <w:jc w:val="center"/>
            </w:pPr>
            <w:r>
              <w:rPr>
                <w:rFonts w:ascii="仿宋_GB2312" w:eastAsia="仿宋_GB2312" w:hAnsi="Calibri" w:cs="宋体"/>
                <w:color w:val="000000"/>
                <w:sz w:val="24"/>
              </w:rPr>
              <w:t>40,116,000.00</w:t>
            </w:r>
          </w:p>
        </w:tc>
        <w:tc>
          <w:tcPr>
            <w:tcW w:w="2835" w:type="dxa"/>
            <w:tcMar>
              <w:top w:w="15" w:type="dxa"/>
              <w:left w:w="15" w:type="dxa"/>
              <w:bottom w:w="0" w:type="dxa"/>
              <w:right w:w="15" w:type="dxa"/>
            </w:tcMar>
          </w:tcPr>
          <w:p w:rsidR="000F5033" w:rsidRDefault="0054073E">
            <w:pPr>
              <w:jc w:val="center"/>
            </w:pPr>
            <w:r>
              <w:rPr>
                <w:rFonts w:ascii="仿宋_GB2312" w:eastAsia="仿宋_GB2312" w:hAnsi="Calibri" w:cs="宋体"/>
                <w:color w:val="000000"/>
                <w:sz w:val="24"/>
              </w:rPr>
              <w:t>6.21%</w:t>
            </w:r>
          </w:p>
        </w:tc>
      </w:tr>
      <w:tr w:rsidR="000F5033">
        <w:tc>
          <w:tcPr>
            <w:tcW w:w="1139" w:type="dxa"/>
          </w:tcPr>
          <w:p w:rsidR="000F5033" w:rsidRDefault="0054073E">
            <w:pPr>
              <w:jc w:val="center"/>
            </w:pPr>
            <w:r>
              <w:rPr>
                <w:rFonts w:ascii="仿宋_GB2312" w:eastAsia="仿宋_GB2312" w:hAnsi="Calibri" w:cs="宋体"/>
                <w:color w:val="000000"/>
                <w:sz w:val="24"/>
              </w:rPr>
              <w:t>9</w:t>
            </w:r>
          </w:p>
        </w:tc>
        <w:tc>
          <w:tcPr>
            <w:tcW w:w="2268" w:type="dxa"/>
            <w:tcMar>
              <w:top w:w="15" w:type="dxa"/>
              <w:left w:w="15" w:type="dxa"/>
              <w:bottom w:w="0" w:type="dxa"/>
              <w:right w:w="15" w:type="dxa"/>
            </w:tcMar>
          </w:tcPr>
          <w:p w:rsidR="000F5033" w:rsidRDefault="0054073E">
            <w:pPr>
              <w:jc w:val="center"/>
            </w:pPr>
            <w:r>
              <w:rPr>
                <w:rFonts w:ascii="仿宋_GB2312" w:eastAsia="仿宋_GB2312" w:hAnsi="Calibri" w:cs="宋体"/>
                <w:color w:val="000000"/>
                <w:sz w:val="24"/>
              </w:rPr>
              <w:t>21格盟SCP004</w:t>
            </w:r>
          </w:p>
        </w:tc>
        <w:tc>
          <w:tcPr>
            <w:tcW w:w="2835" w:type="dxa"/>
          </w:tcPr>
          <w:p w:rsidR="000F5033" w:rsidRDefault="0054073E">
            <w:pPr>
              <w:jc w:val="center"/>
            </w:pPr>
            <w:r>
              <w:rPr>
                <w:rFonts w:ascii="仿宋_GB2312" w:eastAsia="仿宋_GB2312" w:hAnsi="Calibri" w:cs="宋体"/>
                <w:color w:val="000000"/>
                <w:sz w:val="24"/>
              </w:rPr>
              <w:t>40,028,000.00</w:t>
            </w:r>
          </w:p>
        </w:tc>
        <w:tc>
          <w:tcPr>
            <w:tcW w:w="2835" w:type="dxa"/>
            <w:tcMar>
              <w:top w:w="15" w:type="dxa"/>
              <w:left w:w="15" w:type="dxa"/>
              <w:bottom w:w="0" w:type="dxa"/>
              <w:right w:w="15" w:type="dxa"/>
            </w:tcMar>
          </w:tcPr>
          <w:p w:rsidR="000F5033" w:rsidRDefault="0054073E">
            <w:pPr>
              <w:jc w:val="center"/>
            </w:pPr>
            <w:r>
              <w:rPr>
                <w:rFonts w:ascii="仿宋_GB2312" w:eastAsia="仿宋_GB2312" w:hAnsi="Calibri" w:cs="宋体"/>
                <w:color w:val="000000"/>
                <w:sz w:val="24"/>
              </w:rPr>
              <w:t>6.19%</w:t>
            </w:r>
          </w:p>
        </w:tc>
      </w:tr>
      <w:tr w:rsidR="000F5033">
        <w:tc>
          <w:tcPr>
            <w:tcW w:w="1139" w:type="dxa"/>
          </w:tcPr>
          <w:p w:rsidR="000F5033" w:rsidRDefault="0054073E">
            <w:pPr>
              <w:jc w:val="center"/>
            </w:pPr>
            <w:r>
              <w:rPr>
                <w:rFonts w:ascii="仿宋_GB2312" w:eastAsia="仿宋_GB2312" w:hAnsi="Calibri" w:cs="宋体"/>
                <w:color w:val="000000"/>
                <w:sz w:val="24"/>
              </w:rPr>
              <w:t>10</w:t>
            </w:r>
          </w:p>
        </w:tc>
        <w:tc>
          <w:tcPr>
            <w:tcW w:w="2268" w:type="dxa"/>
            <w:tcMar>
              <w:top w:w="15" w:type="dxa"/>
              <w:left w:w="15" w:type="dxa"/>
              <w:bottom w:w="0" w:type="dxa"/>
              <w:right w:w="15" w:type="dxa"/>
            </w:tcMar>
          </w:tcPr>
          <w:p w:rsidR="000F5033" w:rsidRDefault="0054073E">
            <w:pPr>
              <w:jc w:val="center"/>
            </w:pPr>
            <w:r>
              <w:rPr>
                <w:rFonts w:ascii="仿宋_GB2312" w:eastAsia="仿宋_GB2312" w:hAnsi="Calibri" w:cs="宋体"/>
                <w:color w:val="000000"/>
                <w:sz w:val="24"/>
              </w:rPr>
              <w:t>21进出04</w:t>
            </w:r>
          </w:p>
        </w:tc>
        <w:tc>
          <w:tcPr>
            <w:tcW w:w="2835" w:type="dxa"/>
          </w:tcPr>
          <w:p w:rsidR="000F5033" w:rsidRDefault="0054073E">
            <w:pPr>
              <w:jc w:val="center"/>
            </w:pPr>
            <w:r>
              <w:rPr>
                <w:rFonts w:ascii="仿宋_GB2312" w:eastAsia="仿宋_GB2312" w:hAnsi="Calibri" w:cs="宋体"/>
                <w:color w:val="000000"/>
                <w:sz w:val="24"/>
              </w:rPr>
              <w:t>40,012,000.00</w:t>
            </w:r>
          </w:p>
        </w:tc>
        <w:tc>
          <w:tcPr>
            <w:tcW w:w="2835" w:type="dxa"/>
            <w:tcMar>
              <w:top w:w="15" w:type="dxa"/>
              <w:left w:w="15" w:type="dxa"/>
              <w:bottom w:w="0" w:type="dxa"/>
              <w:right w:w="15" w:type="dxa"/>
            </w:tcMar>
          </w:tcPr>
          <w:p w:rsidR="000F5033" w:rsidRDefault="0054073E">
            <w:pPr>
              <w:jc w:val="center"/>
            </w:pPr>
            <w:r>
              <w:rPr>
                <w:rFonts w:ascii="仿宋_GB2312" w:eastAsia="仿宋_GB2312" w:hAnsi="Calibri" w:cs="宋体"/>
                <w:color w:val="000000"/>
                <w:sz w:val="24"/>
              </w:rPr>
              <w:t>6.19%</w:t>
            </w:r>
          </w:p>
        </w:tc>
      </w:tr>
    </w:tbl>
    <w:p w:rsidR="00DE496A" w:rsidRPr="00DD633B" w:rsidRDefault="00DE496A" w:rsidP="00DE496A">
      <w:pPr>
        <w:rPr>
          <w:rFonts w:ascii="仿宋_GB2312" w:eastAsia="仿宋_GB2312" w:hAnsi="Calibri"/>
          <w:sz w:val="24"/>
          <w:szCs w:val="24"/>
        </w:rPr>
      </w:pPr>
    </w:p>
    <w:p w:rsidR="00DE496A" w:rsidRDefault="00DE496A" w:rsidP="00DE496A">
      <w:pPr>
        <w:adjustRightInd w:val="0"/>
        <w:snapToGrid w:val="0"/>
        <w:spacing w:line="360" w:lineRule="auto"/>
        <w:ind w:firstLineChars="200" w:firstLine="482"/>
        <w:rPr>
          <w:rFonts w:ascii="仿宋_GB2312" w:eastAsia="仿宋_GB2312" w:hAnsiTheme="minorEastAsia"/>
          <w:b/>
          <w:bCs/>
          <w:sz w:val="24"/>
          <w:szCs w:val="24"/>
        </w:rPr>
      </w:pPr>
      <w:r>
        <w:rPr>
          <w:rFonts w:ascii="仿宋_GB2312" w:eastAsia="仿宋_GB2312"/>
          <w:b/>
          <w:bCs/>
          <w:sz w:val="24"/>
          <w:szCs w:val="24"/>
        </w:rPr>
        <w:t xml:space="preserve"> </w:t>
      </w:r>
      <w:r>
        <w:rPr>
          <w:rFonts w:ascii="仿宋_GB2312" w:eastAsia="仿宋_GB2312" w:hAnsiTheme="minorEastAsia"/>
          <w:b/>
          <w:bCs/>
          <w:sz w:val="24"/>
          <w:szCs w:val="24"/>
        </w:rPr>
        <w:t>4.4报告期末非标准化债权</w:t>
      </w:r>
      <w:r>
        <w:rPr>
          <w:rStyle w:val="a9"/>
          <w:rFonts w:ascii="仿宋_GB2312" w:eastAsia="仿宋_GB2312" w:hAnsiTheme="minorEastAsia"/>
          <w:b/>
          <w:bCs/>
          <w:sz w:val="24"/>
          <w:szCs w:val="24"/>
        </w:rPr>
        <w:footnoteReference w:id="2"/>
      </w:r>
      <w:r>
        <w:rPr>
          <w:rFonts w:ascii="仿宋_GB2312" w:eastAsia="仿宋_GB2312" w:hAnsiTheme="minorEastAsia" w:hint="eastAsia"/>
          <w:b/>
          <w:bCs/>
          <w:sz w:val="24"/>
          <w:szCs w:val="24"/>
        </w:rPr>
        <w:t>投资明细（选填）</w:t>
      </w: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1134"/>
        <w:gridCol w:w="1312"/>
        <w:gridCol w:w="1382"/>
        <w:gridCol w:w="1419"/>
        <w:gridCol w:w="2972"/>
      </w:tblGrid>
      <w:tr w:rsidR="00DE496A" w:rsidTr="00B00579">
        <w:tc>
          <w:tcPr>
            <w:tcW w:w="852" w:type="dxa"/>
            <w:vAlign w:val="center"/>
          </w:tcPr>
          <w:p w:rsidR="00DE496A" w:rsidRDefault="00DE496A"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hint="eastAsia"/>
                <w:bCs/>
                <w:sz w:val="24"/>
                <w:szCs w:val="24"/>
              </w:rPr>
              <w:t>序号</w:t>
            </w:r>
          </w:p>
        </w:tc>
        <w:tc>
          <w:tcPr>
            <w:tcW w:w="1134" w:type="dxa"/>
            <w:vAlign w:val="center"/>
          </w:tcPr>
          <w:p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融资客户</w:t>
            </w:r>
          </w:p>
        </w:tc>
        <w:tc>
          <w:tcPr>
            <w:tcW w:w="1312" w:type="dxa"/>
            <w:vAlign w:val="center"/>
          </w:tcPr>
          <w:p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资产名称</w:t>
            </w:r>
          </w:p>
        </w:tc>
        <w:tc>
          <w:tcPr>
            <w:tcW w:w="1382" w:type="dxa"/>
            <w:vAlign w:val="center"/>
          </w:tcPr>
          <w:p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剩余融资期限</w:t>
            </w:r>
          </w:p>
        </w:tc>
        <w:tc>
          <w:tcPr>
            <w:tcW w:w="1419" w:type="dxa"/>
            <w:vAlign w:val="center"/>
          </w:tcPr>
          <w:p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交易结构</w:t>
            </w:r>
          </w:p>
        </w:tc>
        <w:tc>
          <w:tcPr>
            <w:tcW w:w="2972" w:type="dxa"/>
            <w:vAlign w:val="center"/>
          </w:tcPr>
          <w:p w:rsidR="00DE496A" w:rsidRDefault="00DE496A"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hint="eastAsia"/>
                <w:bCs/>
                <w:sz w:val="24"/>
                <w:szCs w:val="24"/>
              </w:rPr>
              <w:t>占产品资产净值比例</w:t>
            </w:r>
          </w:p>
        </w:tc>
      </w:tr>
      <w:tr w:rsidR="00D601E1" w:rsidTr="00B00579">
        <w:tc>
          <w:tcPr>
            <w:tcW w:w="852" w:type="dxa"/>
            <w:vAlign w:val="center"/>
          </w:tcPr>
          <w:p w:rsidR="00D601E1" w:rsidRDefault="00D601E1" w:rsidP="00023644">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134" w:type="dxa"/>
            <w:vAlign w:val="center"/>
          </w:tcPr>
          <w:p w:rsidR="00D601E1" w:rsidRDefault="00D601E1"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312" w:type="dxa"/>
            <w:vAlign w:val="center"/>
          </w:tcPr>
          <w:p w:rsidR="00D601E1" w:rsidRDefault="00D601E1"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382" w:type="dxa"/>
            <w:vAlign w:val="center"/>
          </w:tcPr>
          <w:p w:rsidR="00D601E1" w:rsidRPr="00E1579D" w:rsidRDefault="00D601E1"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419" w:type="dxa"/>
            <w:vAlign w:val="center"/>
          </w:tcPr>
          <w:p w:rsidR="00D601E1" w:rsidRDefault="00023644"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bCs/>
                <w:sz w:val="24"/>
                <w:szCs w:val="24"/>
              </w:rPr>
              <w:t>-</w:t>
            </w:r>
          </w:p>
        </w:tc>
        <w:tc>
          <w:tcPr>
            <w:tcW w:w="2972" w:type="dxa"/>
            <w:vAlign w:val="center"/>
          </w:tcPr>
          <w:p w:rsidR="00D601E1" w:rsidRDefault="00023644"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bCs/>
                <w:sz w:val="24"/>
                <w:szCs w:val="24"/>
              </w:rPr>
              <w:t>-</w:t>
            </w:r>
          </w:p>
        </w:tc>
      </w:tr>
    </w:tbl>
    <w:p w:rsidR="00DE496A" w:rsidRDefault="00DE496A" w:rsidP="00DE496A">
      <w:pPr>
        <w:adjustRightInd w:val="0"/>
        <w:snapToGrid w:val="0"/>
        <w:spacing w:line="360" w:lineRule="auto"/>
        <w:rPr>
          <w:rFonts w:ascii="仿宋_GB2312" w:eastAsia="仿宋_GB2312" w:hAnsiTheme="minorEastAsia"/>
          <w:bCs/>
          <w:sz w:val="24"/>
          <w:szCs w:val="24"/>
        </w:rPr>
      </w:pPr>
      <w:r>
        <w:rPr>
          <w:rFonts w:ascii="仿宋_GB2312" w:eastAsia="仿宋_GB2312" w:hAnsiTheme="minorEastAsia" w:hint="eastAsia"/>
          <w:bCs/>
          <w:sz w:val="24"/>
          <w:szCs w:val="24"/>
        </w:rPr>
        <w:t>注：</w:t>
      </w:r>
      <w:r>
        <w:rPr>
          <w:rFonts w:ascii="仿宋_GB2312" w:eastAsia="仿宋_GB2312" w:hAnsiTheme="minorEastAsia"/>
          <w:bCs/>
          <w:sz w:val="24"/>
          <w:szCs w:val="24"/>
        </w:rPr>
        <w:t>1.截至期末，上述非标准化债权均按照合同约定按时分配收益；</w:t>
      </w:r>
    </w:p>
    <w:p w:rsidR="00FC64B6" w:rsidRDefault="00DE496A" w:rsidP="0041011E">
      <w:pPr>
        <w:snapToGrid w:val="0"/>
        <w:spacing w:line="360" w:lineRule="auto"/>
        <w:ind w:firstLine="480"/>
        <w:rPr>
          <w:rFonts w:ascii="仿宋_GB2312" w:eastAsia="仿宋_GB2312" w:hAnsiTheme="minorEastAsia"/>
          <w:bCs/>
          <w:sz w:val="24"/>
          <w:szCs w:val="24"/>
        </w:rPr>
      </w:pPr>
      <w:r>
        <w:rPr>
          <w:rFonts w:ascii="仿宋_GB2312" w:eastAsia="仿宋_GB2312" w:hAnsiTheme="minorEastAsia"/>
          <w:bCs/>
          <w:sz w:val="24"/>
          <w:szCs w:val="24"/>
        </w:rPr>
        <w:t>2.截至期末，上述非标准化债权未出现无法履行本金及收益兑付的实际情况。</w:t>
      </w:r>
    </w:p>
    <w:p w:rsidR="009F0B98" w:rsidRDefault="009F0B98" w:rsidP="009F0B98">
      <w:pPr>
        <w:snapToGrid w:val="0"/>
        <w:spacing w:line="360" w:lineRule="auto"/>
        <w:rPr>
          <w:rFonts w:ascii="仿宋_GB2312" w:eastAsia="仿宋_GB2312"/>
          <w:b/>
          <w:sz w:val="24"/>
          <w:szCs w:val="24"/>
        </w:rPr>
      </w:pPr>
      <w:r w:rsidRPr="006E00B8">
        <w:rPr>
          <w:rFonts w:ascii="仿宋_GB2312" w:eastAsia="仿宋_GB2312" w:hint="eastAsia"/>
          <w:b/>
          <w:sz w:val="24"/>
          <w:szCs w:val="24"/>
        </w:rPr>
        <w:t>5</w:t>
      </w:r>
      <w:r w:rsidRPr="006E00B8">
        <w:rPr>
          <w:rFonts w:ascii="仿宋_GB2312" w:eastAsia="仿宋_GB2312"/>
          <w:b/>
          <w:sz w:val="24"/>
          <w:szCs w:val="24"/>
        </w:rPr>
        <w:t> </w:t>
      </w:r>
      <w:r w:rsidRPr="006E00B8">
        <w:rPr>
          <w:rFonts w:ascii="仿宋_GB2312" w:eastAsia="仿宋_GB2312" w:hint="eastAsia"/>
          <w:b/>
          <w:sz w:val="24"/>
          <w:szCs w:val="24"/>
        </w:rPr>
        <w:t>.关联交易（如有）</w:t>
      </w:r>
    </w:p>
    <w:tbl>
      <w:tblPr>
        <w:tblStyle w:val="ab"/>
        <w:tblW w:w="9180" w:type="dxa"/>
        <w:tblLook w:val="04A0" w:firstRow="1" w:lastRow="0" w:firstColumn="1" w:lastColumn="0" w:noHBand="0" w:noVBand="1"/>
      </w:tblPr>
      <w:tblGrid>
        <w:gridCol w:w="1101"/>
        <w:gridCol w:w="1694"/>
        <w:gridCol w:w="857"/>
        <w:gridCol w:w="1134"/>
        <w:gridCol w:w="1276"/>
        <w:gridCol w:w="3118"/>
      </w:tblGrid>
      <w:tr w:rsidR="009F0B98" w:rsidTr="009F0B98">
        <w:tc>
          <w:tcPr>
            <w:tcW w:w="1101"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left"/>
              <w:rPr>
                <w:rFonts w:ascii="仿宋_GB2312" w:eastAsia="仿宋_GB2312" w:hAnsiTheme="minorEastAsia"/>
                <w:kern w:val="2"/>
                <w:sz w:val="24"/>
                <w:szCs w:val="24"/>
              </w:rPr>
            </w:pPr>
            <w:r>
              <w:rPr>
                <w:rFonts w:ascii="仿宋_GB2312" w:eastAsia="仿宋_GB2312" w:hAnsiTheme="minorEastAsia" w:hint="eastAsia"/>
                <w:sz w:val="24"/>
                <w:szCs w:val="24"/>
              </w:rPr>
              <w:t>序号</w:t>
            </w:r>
          </w:p>
        </w:tc>
        <w:tc>
          <w:tcPr>
            <w:tcW w:w="1694"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关联证券名称</w:t>
            </w:r>
          </w:p>
        </w:tc>
        <w:tc>
          <w:tcPr>
            <w:tcW w:w="857"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规模</w:t>
            </w:r>
          </w:p>
        </w:tc>
        <w:tc>
          <w:tcPr>
            <w:tcW w:w="1134"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占比</w:t>
            </w:r>
          </w:p>
        </w:tc>
        <w:tc>
          <w:tcPr>
            <w:tcW w:w="1276"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关联方名称</w:t>
            </w:r>
          </w:p>
        </w:tc>
        <w:tc>
          <w:tcPr>
            <w:tcW w:w="3118"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关联方与本理财产品关联关系</w:t>
            </w:r>
          </w:p>
        </w:tc>
      </w:tr>
      <w:tr w:rsidR="008579C9" w:rsidTr="009F0B98">
        <w:tc>
          <w:tcPr>
            <w:tcW w:w="1101" w:type="dxa"/>
            <w:tcBorders>
              <w:top w:val="single" w:sz="4" w:space="0" w:color="auto"/>
              <w:left w:val="single" w:sz="4" w:space="0" w:color="auto"/>
              <w:bottom w:val="single" w:sz="4" w:space="0" w:color="auto"/>
              <w:right w:val="single" w:sz="4" w:space="0" w:color="auto"/>
            </w:tcBorders>
            <w:hideMark/>
          </w:tcPr>
          <w:p w:rsidR="008579C9" w:rsidRDefault="008579C9">
            <w:pPr>
              <w:kinsoku w:val="0"/>
              <w:overflowPunct w:val="0"/>
              <w:autoSpaceDE w:val="0"/>
              <w:autoSpaceDN w:val="0"/>
              <w:spacing w:line="300" w:lineRule="auto"/>
              <w:jc w:val="left"/>
              <w:rPr>
                <w:rFonts w:ascii="仿宋_GB2312" w:eastAsia="仿宋_GB2312" w:hAnsiTheme="minorEastAsia"/>
                <w:color w:val="000000" w:themeColor="text1"/>
                <w:kern w:val="2"/>
                <w:sz w:val="24"/>
                <w:szCs w:val="24"/>
              </w:rPr>
            </w:pPr>
            <w:r>
              <w:rPr>
                <w:rFonts w:ascii="仿宋_GB2312" w:eastAsia="仿宋_GB2312" w:hAnsiTheme="minorEastAsia" w:hint="eastAsia"/>
                <w:color w:val="000000" w:themeColor="text1"/>
                <w:sz w:val="24"/>
                <w:szCs w:val="24"/>
              </w:rPr>
              <w:t>1</w:t>
            </w:r>
          </w:p>
        </w:tc>
        <w:tc>
          <w:tcPr>
            <w:tcW w:w="169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857"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3118"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r>
      <w:tr w:rsidR="008579C9" w:rsidTr="009F0B98">
        <w:tc>
          <w:tcPr>
            <w:tcW w:w="1101" w:type="dxa"/>
            <w:tcBorders>
              <w:top w:val="single" w:sz="4" w:space="0" w:color="auto"/>
              <w:left w:val="single" w:sz="4" w:space="0" w:color="auto"/>
              <w:bottom w:val="single" w:sz="4" w:space="0" w:color="auto"/>
              <w:right w:val="single" w:sz="4" w:space="0" w:color="auto"/>
            </w:tcBorders>
            <w:hideMark/>
          </w:tcPr>
          <w:p w:rsidR="008579C9" w:rsidRDefault="008579C9">
            <w:pPr>
              <w:kinsoku w:val="0"/>
              <w:overflowPunct w:val="0"/>
              <w:autoSpaceDE w:val="0"/>
              <w:autoSpaceDN w:val="0"/>
              <w:spacing w:line="300" w:lineRule="auto"/>
              <w:jc w:val="left"/>
              <w:rPr>
                <w:rFonts w:ascii="仿宋_GB2312" w:eastAsia="仿宋_GB2312" w:hAnsiTheme="minorEastAsia"/>
                <w:color w:val="000000" w:themeColor="text1"/>
                <w:kern w:val="2"/>
                <w:sz w:val="24"/>
                <w:szCs w:val="24"/>
              </w:rPr>
            </w:pPr>
            <w:r>
              <w:rPr>
                <w:rFonts w:ascii="仿宋_GB2312" w:eastAsia="仿宋_GB2312" w:hAnsiTheme="minorEastAsia" w:hint="eastAsia"/>
                <w:color w:val="000000" w:themeColor="text1"/>
                <w:sz w:val="24"/>
                <w:szCs w:val="24"/>
              </w:rPr>
              <w:lastRenderedPageBreak/>
              <w:t>2</w:t>
            </w:r>
          </w:p>
        </w:tc>
        <w:tc>
          <w:tcPr>
            <w:tcW w:w="169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857"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3118"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r>
      <w:tr w:rsidR="008579C9" w:rsidTr="009F0B98">
        <w:tc>
          <w:tcPr>
            <w:tcW w:w="1101" w:type="dxa"/>
            <w:tcBorders>
              <w:top w:val="single" w:sz="4" w:space="0" w:color="auto"/>
              <w:left w:val="single" w:sz="4" w:space="0" w:color="auto"/>
              <w:bottom w:val="single" w:sz="4" w:space="0" w:color="auto"/>
              <w:right w:val="single" w:sz="4" w:space="0" w:color="auto"/>
            </w:tcBorders>
            <w:hideMark/>
          </w:tcPr>
          <w:p w:rsidR="008579C9" w:rsidRDefault="008579C9">
            <w:pPr>
              <w:kinsoku w:val="0"/>
              <w:overflowPunct w:val="0"/>
              <w:autoSpaceDE w:val="0"/>
              <w:autoSpaceDN w:val="0"/>
              <w:spacing w:line="300" w:lineRule="auto"/>
              <w:jc w:val="left"/>
              <w:rPr>
                <w:rFonts w:ascii="仿宋_GB2312" w:eastAsia="仿宋_GB2312" w:hAnsiTheme="minorEastAsia"/>
                <w:color w:val="000000" w:themeColor="text1"/>
                <w:kern w:val="2"/>
                <w:sz w:val="24"/>
                <w:szCs w:val="24"/>
              </w:rPr>
            </w:pPr>
            <w:r>
              <w:rPr>
                <w:rFonts w:ascii="仿宋_GB2312" w:eastAsia="仿宋_GB2312" w:hAnsiTheme="minorEastAsia" w:hint="eastAsia"/>
                <w:color w:val="000000" w:themeColor="text1"/>
                <w:sz w:val="24"/>
                <w:szCs w:val="24"/>
              </w:rPr>
              <w:t>……</w:t>
            </w:r>
          </w:p>
        </w:tc>
        <w:tc>
          <w:tcPr>
            <w:tcW w:w="169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857"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3118"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r>
    </w:tbl>
    <w:p w:rsidR="009F0B98" w:rsidRDefault="009F0B98" w:rsidP="009F0B98">
      <w:pPr>
        <w:snapToGrid w:val="0"/>
        <w:spacing w:line="360" w:lineRule="auto"/>
        <w:rPr>
          <w:rFonts w:ascii="仿宋_GB2312" w:eastAsia="仿宋_GB2312"/>
          <w:b/>
          <w:sz w:val="24"/>
          <w:szCs w:val="24"/>
          <w:highlight w:val="yellow"/>
        </w:rPr>
      </w:pPr>
    </w:p>
    <w:p w:rsidR="009F0B98" w:rsidRDefault="009F0B98" w:rsidP="009F0B98">
      <w:pPr>
        <w:snapToGrid w:val="0"/>
        <w:spacing w:line="360" w:lineRule="auto"/>
        <w:rPr>
          <w:rFonts w:ascii="仿宋_GB2312" w:eastAsia="仿宋_GB2312"/>
          <w:b/>
          <w:sz w:val="24"/>
          <w:szCs w:val="24"/>
        </w:rPr>
      </w:pPr>
      <w:r w:rsidRPr="006E00B8">
        <w:rPr>
          <w:rFonts w:ascii="仿宋_GB2312" w:eastAsia="仿宋_GB2312" w:hint="eastAsia"/>
          <w:b/>
          <w:sz w:val="24"/>
          <w:szCs w:val="24"/>
        </w:rPr>
        <w:t>6</w:t>
      </w:r>
      <w:r w:rsidRPr="006E00B8">
        <w:rPr>
          <w:rFonts w:ascii="仿宋_GB2312" w:eastAsia="仿宋_GB2312"/>
          <w:b/>
          <w:sz w:val="24"/>
          <w:szCs w:val="24"/>
        </w:rPr>
        <w:t> </w:t>
      </w:r>
      <w:r w:rsidRPr="006E00B8">
        <w:rPr>
          <w:rFonts w:ascii="仿宋_GB2312" w:eastAsia="仿宋_GB2312" w:hint="eastAsia"/>
          <w:b/>
          <w:sz w:val="24"/>
          <w:szCs w:val="24"/>
        </w:rPr>
        <w:t>.影响投资者决策的其他重要信息</w:t>
      </w:r>
    </w:p>
    <w:p w:rsidR="009F0B98" w:rsidRDefault="009F0B98" w:rsidP="009F0B98">
      <w:pPr>
        <w:rPr>
          <w:rFonts w:ascii="仿宋_GB2312" w:eastAsia="仿宋_GB2312"/>
          <w:sz w:val="24"/>
          <w:szCs w:val="24"/>
        </w:rPr>
      </w:pPr>
      <w:r>
        <w:rPr>
          <w:rFonts w:ascii="仿宋_GB2312" w:eastAsia="仿宋_GB2312" w:hint="eastAsia"/>
          <w:sz w:val="24"/>
          <w:szCs w:val="24"/>
        </w:rPr>
        <w:t>无。</w:t>
      </w:r>
    </w:p>
    <w:p w:rsidR="009F0B98" w:rsidRDefault="009F0B98" w:rsidP="009F0B98">
      <w:pPr>
        <w:snapToGrid w:val="0"/>
        <w:spacing w:line="360" w:lineRule="auto"/>
        <w:rPr>
          <w:rFonts w:ascii="仿宋_GB2312" w:eastAsia="仿宋_GB2312"/>
          <w:b/>
          <w:sz w:val="24"/>
          <w:szCs w:val="24"/>
        </w:rPr>
      </w:pPr>
      <w:r>
        <w:rPr>
          <w:rFonts w:ascii="仿宋_GB2312" w:eastAsia="仿宋_GB2312" w:hint="eastAsia"/>
          <w:b/>
          <w:sz w:val="24"/>
          <w:szCs w:val="24"/>
        </w:rPr>
        <w:t>7.托管机构报告</w:t>
      </w:r>
    </w:p>
    <w:p w:rsidR="009F0B98" w:rsidRDefault="009F0B98" w:rsidP="009F0B98">
      <w:pPr>
        <w:snapToGrid w:val="0"/>
        <w:spacing w:line="360" w:lineRule="auto"/>
        <w:ind w:firstLine="360"/>
        <w:rPr>
          <w:rFonts w:ascii="仿宋_GB2312" w:eastAsia="仿宋_GB2312"/>
          <w:color w:val="000000"/>
          <w:sz w:val="24"/>
          <w:szCs w:val="24"/>
        </w:rPr>
      </w:pPr>
      <w:r>
        <w:rPr>
          <w:rFonts w:ascii="仿宋_GB2312" w:eastAsia="仿宋_GB2312" w:hint="eastAsia"/>
          <w:color w:val="000000"/>
          <w:sz w:val="24"/>
          <w:szCs w:val="24"/>
        </w:rPr>
        <w:t>本报告期内，上海浦东发展银行股份有限公司（以下简称“本托管人”）在对本产品托管过程中，严格遵守《关于规范金融机构资产管理业务的指导意见》（银发〔2018〕106号）、《商业银行理财业务监督管理办法》（银保监会令〔2018〕6号）及其他有关法律法规、产品合同、托管协议的规定，不存在损害产品份额持有人利益的行为，完全尽职尽责地履行了托管人应尽的义务。</w:t>
      </w:r>
    </w:p>
    <w:p w:rsidR="009F0B98" w:rsidRDefault="009F0B98" w:rsidP="009F0B98">
      <w:pPr>
        <w:snapToGrid w:val="0"/>
        <w:spacing w:line="360" w:lineRule="auto"/>
        <w:ind w:firstLine="360"/>
        <w:rPr>
          <w:rFonts w:ascii="仿宋_GB2312" w:eastAsia="仿宋_GB2312"/>
          <w:color w:val="000000"/>
          <w:sz w:val="24"/>
          <w:szCs w:val="24"/>
        </w:rPr>
      </w:pPr>
      <w:r>
        <w:rPr>
          <w:rFonts w:ascii="仿宋_GB2312" w:eastAsia="仿宋_GB2312" w:hint="eastAsia"/>
          <w:color w:val="000000"/>
          <w:sz w:val="24"/>
          <w:szCs w:val="24"/>
        </w:rPr>
        <w:t>本报告期内，本托管人依照《关于规范金融机构资产管理业务的指导意见》（银发〔2018〕106号）、《商业银行理财业务监督管理办法》（银保监会令〔2018〕6号）及其他有关法律法规、产品合同、托管协议的规定，对本产品的投资运作进行了监督，对本报告中的财务指标、净值表现、投资组合报告等内容进行了认真的复核，未发现产品管理人存在损害产品份额持有人利益的行为。</w:t>
      </w:r>
    </w:p>
    <w:p w:rsidR="009F0B98" w:rsidRDefault="009F0B98" w:rsidP="009F0B98">
      <w:pPr>
        <w:snapToGrid w:val="0"/>
        <w:spacing w:line="360" w:lineRule="auto"/>
        <w:ind w:firstLine="360"/>
        <w:rPr>
          <w:rFonts w:ascii="仿宋_GB2312" w:eastAsia="仿宋_GB2312"/>
          <w:color w:val="000000"/>
          <w:sz w:val="24"/>
          <w:szCs w:val="24"/>
        </w:rPr>
      </w:pPr>
      <w:r>
        <w:rPr>
          <w:rFonts w:ascii="仿宋_GB2312" w:eastAsia="仿宋_GB2312" w:hint="eastAsia"/>
          <w:color w:val="000000"/>
          <w:sz w:val="24"/>
          <w:szCs w:val="24"/>
        </w:rPr>
        <w:t>本报告期内，由上海浦东发展银行编制的本托管人复核的本报告中的财务指标、净值表现、投资组合报告等内容真实、准确、完整。</w:t>
      </w:r>
    </w:p>
    <w:p w:rsidR="009F0B98" w:rsidRDefault="009F0B98" w:rsidP="009F0B98">
      <w:pPr>
        <w:rPr>
          <w:rFonts w:ascii="仿宋_GB2312" w:eastAsia="仿宋_GB2312"/>
          <w:sz w:val="24"/>
          <w:szCs w:val="24"/>
        </w:rPr>
      </w:pPr>
    </w:p>
    <w:p w:rsidR="009F0B98" w:rsidRDefault="009F0B98" w:rsidP="009F0B98">
      <w:pPr>
        <w:snapToGrid w:val="0"/>
        <w:spacing w:line="360" w:lineRule="auto"/>
        <w:rPr>
          <w:rFonts w:ascii="仿宋_GB2312" w:eastAsia="仿宋_GB2312"/>
          <w:b/>
          <w:sz w:val="24"/>
          <w:szCs w:val="24"/>
        </w:rPr>
      </w:pPr>
      <w:r>
        <w:rPr>
          <w:rFonts w:ascii="仿宋_GB2312" w:eastAsia="仿宋_GB2312" w:hint="eastAsia"/>
          <w:b/>
          <w:sz w:val="24"/>
          <w:szCs w:val="24"/>
        </w:rPr>
        <w:t>8.备查文件</w:t>
      </w:r>
    </w:p>
    <w:p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b/>
          <w:bCs/>
          <w:color w:val="000000"/>
          <w:sz w:val="24"/>
          <w:szCs w:val="24"/>
        </w:rPr>
        <w:t>8.1 备查文件目录</w:t>
      </w:r>
    </w:p>
    <w:p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产品说明书</w:t>
      </w:r>
    </w:p>
    <w:p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销售协议</w:t>
      </w:r>
    </w:p>
    <w:p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风险揭示书</w:t>
      </w:r>
    </w:p>
    <w:p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投资者权益须知</w:t>
      </w:r>
    </w:p>
    <w:p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b/>
          <w:bCs/>
          <w:color w:val="000000"/>
          <w:sz w:val="24"/>
          <w:szCs w:val="24"/>
        </w:rPr>
        <w:t>8.2 存放地点</w:t>
      </w:r>
    </w:p>
    <w:p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color w:val="000000"/>
          <w:sz w:val="24"/>
          <w:szCs w:val="24"/>
        </w:rPr>
        <w:t>上海市北京东路689号东银大厦</w:t>
      </w:r>
    </w:p>
    <w:p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b/>
          <w:bCs/>
          <w:color w:val="000000"/>
          <w:sz w:val="24"/>
          <w:szCs w:val="24"/>
        </w:rPr>
        <w:t>8.3 查阅方式</w:t>
      </w:r>
    </w:p>
    <w:p w:rsidR="0041011E" w:rsidRPr="0041011E" w:rsidRDefault="009F0B98" w:rsidP="009F0B98">
      <w:pPr>
        <w:snapToGrid w:val="0"/>
        <w:spacing w:line="360" w:lineRule="auto"/>
        <w:ind w:firstLine="480"/>
        <w:rPr>
          <w:rFonts w:ascii="仿宋_GB2312" w:eastAsia="仿宋_GB2312"/>
          <w:b/>
          <w:bCs/>
          <w:sz w:val="24"/>
          <w:szCs w:val="24"/>
        </w:rPr>
      </w:pPr>
      <w:r>
        <w:rPr>
          <w:rFonts w:ascii="仿宋_GB2312" w:eastAsia="仿宋_GB2312" w:hint="eastAsia"/>
          <w:color w:val="000000"/>
          <w:sz w:val="24"/>
          <w:szCs w:val="24"/>
        </w:rPr>
        <w:t>浦发银行官方网站：</w:t>
      </w:r>
      <w:hyperlink r:id="rId6" w:history="1">
        <w:r>
          <w:rPr>
            <w:rStyle w:val="ac"/>
            <w:rFonts w:ascii="仿宋_GB2312" w:eastAsia="仿宋_GB2312" w:hint="eastAsia"/>
            <w:sz w:val="24"/>
            <w:szCs w:val="24"/>
          </w:rPr>
          <w:t>http://www.spdb.com.cn/</w:t>
        </w:r>
      </w:hyperlink>
    </w:p>
    <w:sectPr w:rsidR="0041011E" w:rsidRPr="0041011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480" w:rsidRDefault="00DE3480" w:rsidP="00E61C1A">
      <w:r>
        <w:separator/>
      </w:r>
    </w:p>
  </w:endnote>
  <w:endnote w:type="continuationSeparator" w:id="0">
    <w:p w:rsidR="00DE3480" w:rsidRDefault="00DE3480" w:rsidP="00E61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仿宋简体">
    <w:altName w:val="等线"/>
    <w:charset w:val="86"/>
    <w:family w:val="auto"/>
    <w:pitch w:val="default"/>
    <w:sig w:usb0="00000000" w:usb1="00000000" w:usb2="00000000" w:usb3="00000000" w:csb0="00040000" w:csb1="00000000"/>
  </w:font>
  <w:font w:name="Arial Unicode MS">
    <w:panose1 w:val="020B0604020202020204"/>
    <w:charset w:val="86"/>
    <w:family w:val="swiss"/>
    <w:pitch w:val="variable"/>
    <w:sig w:usb0="F7FFAFFF" w:usb1="E9DFFFFF" w:usb2="0000003F" w:usb3="00000000" w:csb0="003F01FF"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480" w:rsidRDefault="00DE3480" w:rsidP="00E61C1A">
      <w:r>
        <w:separator/>
      </w:r>
    </w:p>
  </w:footnote>
  <w:footnote w:type="continuationSeparator" w:id="0">
    <w:p w:rsidR="00DE3480" w:rsidRDefault="00DE3480" w:rsidP="00E61C1A">
      <w:r>
        <w:continuationSeparator/>
      </w:r>
    </w:p>
  </w:footnote>
  <w:footnote w:id="1">
    <w:p w:rsidR="00E61C1A" w:rsidRDefault="00E61C1A" w:rsidP="00E61C1A">
      <w:pPr>
        <w:pStyle w:val="a7"/>
      </w:pPr>
      <w:r>
        <w:rPr>
          <w:rStyle w:val="a9"/>
        </w:rPr>
        <w:footnoteRef/>
      </w:r>
      <w:r>
        <w:rPr>
          <w:rFonts w:hint="eastAsia"/>
          <w:sz w:val="15"/>
          <w:szCs w:val="15"/>
        </w:rPr>
        <w:t>产品登记编码指本产品在全国银行理财信息登记系统获取的登记编码。</w:t>
      </w:r>
    </w:p>
  </w:footnote>
  <w:footnote w:id="2">
    <w:p w:rsidR="00DE496A" w:rsidRDefault="00DE496A" w:rsidP="00DE496A">
      <w:pPr>
        <w:pStyle w:val="a7"/>
        <w:rPr>
          <w:sz w:val="15"/>
          <w:szCs w:val="15"/>
        </w:rPr>
      </w:pPr>
      <w:r>
        <w:rPr>
          <w:rStyle w:val="a9"/>
        </w:rPr>
        <w:footnoteRef/>
      </w:r>
      <w:r>
        <w:rPr>
          <w:rFonts w:hint="eastAsia"/>
        </w:rPr>
        <w:t xml:space="preserve"> </w:t>
      </w:r>
      <w:r>
        <w:rPr>
          <w:rFonts w:hint="eastAsia"/>
          <w:sz w:val="15"/>
          <w:szCs w:val="15"/>
        </w:rPr>
        <w:t>本报告所称非标准化债权资产，指根据《关于规范金融机构资产管理业务的指导意见》（银发〔</w:t>
      </w:r>
      <w:r>
        <w:rPr>
          <w:rFonts w:hint="eastAsia"/>
          <w:sz w:val="15"/>
          <w:szCs w:val="15"/>
        </w:rPr>
        <w:t>2018</w:t>
      </w:r>
      <w:r>
        <w:rPr>
          <w:rFonts w:hint="eastAsia"/>
          <w:sz w:val="15"/>
          <w:szCs w:val="15"/>
        </w:rPr>
        <w:t>〕</w:t>
      </w:r>
      <w:r>
        <w:rPr>
          <w:rFonts w:hint="eastAsia"/>
          <w:sz w:val="15"/>
          <w:szCs w:val="15"/>
        </w:rPr>
        <w:t>106</w:t>
      </w:r>
      <w:r>
        <w:rPr>
          <w:rFonts w:hint="eastAsia"/>
          <w:sz w:val="15"/>
          <w:szCs w:val="15"/>
        </w:rPr>
        <w:t>号）规定，标准化债权类资产之外的债权类资产。</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262"/>
    <w:rsid w:val="00023644"/>
    <w:rsid w:val="00077F23"/>
    <w:rsid w:val="000F5033"/>
    <w:rsid w:val="00130728"/>
    <w:rsid w:val="001814DB"/>
    <w:rsid w:val="00211495"/>
    <w:rsid w:val="00213ECF"/>
    <w:rsid w:val="00274D37"/>
    <w:rsid w:val="00367DBF"/>
    <w:rsid w:val="00380BE2"/>
    <w:rsid w:val="003F480F"/>
    <w:rsid w:val="00400A77"/>
    <w:rsid w:val="0041011E"/>
    <w:rsid w:val="0041666B"/>
    <w:rsid w:val="0042245C"/>
    <w:rsid w:val="00442040"/>
    <w:rsid w:val="0048092C"/>
    <w:rsid w:val="004E272F"/>
    <w:rsid w:val="0054073E"/>
    <w:rsid w:val="00564E1C"/>
    <w:rsid w:val="0058623B"/>
    <w:rsid w:val="005B0E63"/>
    <w:rsid w:val="006304A5"/>
    <w:rsid w:val="006E00B8"/>
    <w:rsid w:val="007167B6"/>
    <w:rsid w:val="00781652"/>
    <w:rsid w:val="007D042E"/>
    <w:rsid w:val="007E2254"/>
    <w:rsid w:val="00810ADE"/>
    <w:rsid w:val="008579C9"/>
    <w:rsid w:val="008D4921"/>
    <w:rsid w:val="009027FB"/>
    <w:rsid w:val="0093653B"/>
    <w:rsid w:val="00973891"/>
    <w:rsid w:val="009B6B6E"/>
    <w:rsid w:val="009F0B98"/>
    <w:rsid w:val="00A7331C"/>
    <w:rsid w:val="00A768E1"/>
    <w:rsid w:val="00B2798E"/>
    <w:rsid w:val="00B9403A"/>
    <w:rsid w:val="00BB17CD"/>
    <w:rsid w:val="00C2222B"/>
    <w:rsid w:val="00CA6A9F"/>
    <w:rsid w:val="00D170C5"/>
    <w:rsid w:val="00D37F3B"/>
    <w:rsid w:val="00D601E1"/>
    <w:rsid w:val="00DC25F6"/>
    <w:rsid w:val="00DD0D5E"/>
    <w:rsid w:val="00DE1F30"/>
    <w:rsid w:val="00DE3480"/>
    <w:rsid w:val="00DE496A"/>
    <w:rsid w:val="00E61C1A"/>
    <w:rsid w:val="00E63347"/>
    <w:rsid w:val="00EF639D"/>
    <w:rsid w:val="00F864D2"/>
    <w:rsid w:val="00FB1262"/>
    <w:rsid w:val="00FB4D10"/>
    <w:rsid w:val="00FC64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59D8CE"/>
  <w15:docId w15:val="{FF4C49B9-916F-4DBE-A71B-96ACDB5FA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1C1A"/>
    <w:pPr>
      <w:widowControl w:val="0"/>
      <w:jc w:val="both"/>
    </w:pPr>
    <w:rPr>
      <w:rFonts w:ascii="Times New Roman" w:eastAsia="方正仿宋简体"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1C1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E61C1A"/>
    <w:rPr>
      <w:sz w:val="18"/>
      <w:szCs w:val="18"/>
    </w:rPr>
  </w:style>
  <w:style w:type="paragraph" w:styleId="a5">
    <w:name w:val="footer"/>
    <w:basedOn w:val="a"/>
    <w:link w:val="a6"/>
    <w:uiPriority w:val="99"/>
    <w:unhideWhenUsed/>
    <w:rsid w:val="00E61C1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E61C1A"/>
    <w:rPr>
      <w:sz w:val="18"/>
      <w:szCs w:val="18"/>
    </w:rPr>
  </w:style>
  <w:style w:type="paragraph" w:styleId="a7">
    <w:name w:val="footnote text"/>
    <w:basedOn w:val="a"/>
    <w:link w:val="a8"/>
    <w:uiPriority w:val="99"/>
    <w:semiHidden/>
    <w:qFormat/>
    <w:rsid w:val="00E61C1A"/>
    <w:pPr>
      <w:snapToGrid w:val="0"/>
      <w:jc w:val="left"/>
    </w:pPr>
    <w:rPr>
      <w:rFonts w:eastAsia="宋体"/>
      <w:sz w:val="18"/>
      <w:szCs w:val="18"/>
    </w:rPr>
  </w:style>
  <w:style w:type="character" w:customStyle="1" w:styleId="a8">
    <w:name w:val="脚注文本 字符"/>
    <w:basedOn w:val="a0"/>
    <w:link w:val="a7"/>
    <w:uiPriority w:val="99"/>
    <w:semiHidden/>
    <w:rsid w:val="00E61C1A"/>
    <w:rPr>
      <w:rFonts w:ascii="Times New Roman" w:eastAsia="宋体" w:hAnsi="Times New Roman" w:cs="Times New Roman"/>
      <w:sz w:val="18"/>
      <w:szCs w:val="18"/>
    </w:rPr>
  </w:style>
  <w:style w:type="character" w:styleId="a9">
    <w:name w:val="footnote reference"/>
    <w:uiPriority w:val="99"/>
    <w:semiHidden/>
    <w:qFormat/>
    <w:rsid w:val="00E61C1A"/>
    <w:rPr>
      <w:vertAlign w:val="superscript"/>
    </w:rPr>
  </w:style>
  <w:style w:type="paragraph" w:styleId="aa">
    <w:name w:val="Normal (Web)"/>
    <w:basedOn w:val="a"/>
    <w:uiPriority w:val="99"/>
    <w:qFormat/>
    <w:rsid w:val="004E272F"/>
    <w:pPr>
      <w:widowControl/>
      <w:spacing w:before="100" w:beforeAutospacing="1" w:after="100" w:afterAutospacing="1"/>
      <w:jc w:val="left"/>
    </w:pPr>
    <w:rPr>
      <w:rFonts w:ascii="宋体" w:eastAsia="宋体" w:hAnsi="宋体"/>
      <w:kern w:val="0"/>
      <w:sz w:val="24"/>
      <w:szCs w:val="24"/>
    </w:rPr>
  </w:style>
  <w:style w:type="table" w:styleId="ab">
    <w:name w:val="Table Grid"/>
    <w:basedOn w:val="a1"/>
    <w:uiPriority w:val="59"/>
    <w:rsid w:val="004E272F"/>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3">
    <w:name w:val="xl33"/>
    <w:basedOn w:val="a"/>
    <w:uiPriority w:val="99"/>
    <w:qFormat/>
    <w:rsid w:val="00DE496A"/>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character" w:styleId="ac">
    <w:name w:val="Hyperlink"/>
    <w:basedOn w:val="a0"/>
    <w:uiPriority w:val="99"/>
    <w:semiHidden/>
    <w:unhideWhenUsed/>
    <w:rsid w:val="004101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9522124">
      <w:bodyDiv w:val="1"/>
      <w:marLeft w:val="0"/>
      <w:marRight w:val="0"/>
      <w:marTop w:val="0"/>
      <w:marBottom w:val="0"/>
      <w:divBdr>
        <w:top w:val="none" w:sz="0" w:space="0" w:color="auto"/>
        <w:left w:val="none" w:sz="0" w:space="0" w:color="auto"/>
        <w:bottom w:val="none" w:sz="0" w:space="0" w:color="auto"/>
        <w:right w:val="none" w:sz="0" w:space="0" w:color="auto"/>
      </w:divBdr>
    </w:div>
    <w:div w:id="2134933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pdb.com.c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1302</TotalTime>
  <Pages>4</Pages>
  <Words>411</Words>
  <Characters>2344</Characters>
  <Application>Microsoft Office Word</Application>
  <DocSecurity>0</DocSecurity>
  <Lines>19</Lines>
  <Paragraphs>5</Paragraphs>
  <ScaleCrop>false</ScaleCrop>
  <Company/>
  <LinksUpToDate>false</LinksUpToDate>
  <CharactersWithSpaces>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DEVVDI02</dc:creator>
  <cp:lastModifiedBy>徐瑞娜</cp:lastModifiedBy>
  <cp:revision>50</cp:revision>
  <dcterms:created xsi:type="dcterms:W3CDTF">2019-08-06T07:15:00Z</dcterms:created>
  <dcterms:modified xsi:type="dcterms:W3CDTF">2022-01-29T02:56:00Z</dcterms:modified>
</cp:coreProperties>
</file>