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C1A" w:rsidRDefault="00E61C1A" w:rsidP="00E61C1A">
      <w:pPr>
        <w:snapToGrid w:val="0"/>
        <w:spacing w:line="360" w:lineRule="auto"/>
        <w:jc w:val="center"/>
        <w:rPr>
          <w:rFonts w:ascii="仿宋_GB2312" w:eastAsia="仿宋_GB2312"/>
          <w:b/>
          <w:bCs/>
          <w:sz w:val="24"/>
          <w:szCs w:val="24"/>
          <w:vertAlign w:val="superscript"/>
        </w:rPr>
      </w:pPr>
      <w:r>
        <w:rPr>
          <w:rFonts w:ascii="仿宋_GB2312" w:eastAsia="仿宋_GB2312" w:hint="eastAsia"/>
          <w:b/>
          <w:bCs/>
          <w:color w:val="000000"/>
          <w:sz w:val="24"/>
          <w:szCs w:val="24"/>
        </w:rPr>
        <w:t>公募理财产品定期</w:t>
      </w:r>
      <w:r>
        <w:rPr>
          <w:rFonts w:ascii="仿宋_GB2312" w:eastAsia="仿宋_GB2312" w:hint="eastAsia"/>
          <w:b/>
          <w:bCs/>
          <w:sz w:val="24"/>
          <w:szCs w:val="24"/>
        </w:rPr>
        <w:t>报告</w:t>
      </w:r>
    </w:p>
    <w:p w:rsidR="00E61C1A" w:rsidRDefault="00E61C1A" w:rsidP="00E61C1A">
      <w:pPr>
        <w:snapToGrid w:val="0"/>
        <w:spacing w:line="360" w:lineRule="auto"/>
        <w:rPr>
          <w:rFonts w:ascii="仿宋_GB2312" w:eastAsia="仿宋_GB2312"/>
          <w:b/>
          <w:bCs/>
          <w:sz w:val="24"/>
          <w:szCs w:val="24"/>
          <w:vertAlign w:val="superscript"/>
        </w:rPr>
      </w:pPr>
      <w:r>
        <w:rPr>
          <w:rFonts w:ascii="仿宋_GB2312" w:eastAsia="仿宋_GB2312" w:hint="eastAsia"/>
          <w:b/>
          <w:sz w:val="24"/>
          <w:szCs w:val="24"/>
        </w:rPr>
        <w:t>1</w:t>
      </w:r>
      <w:r>
        <w:rPr>
          <w:rFonts w:hint="eastAsia"/>
          <w:b/>
          <w:sz w:val="24"/>
          <w:szCs w:val="24"/>
        </w:rPr>
        <w:t> </w:t>
      </w:r>
      <w:r>
        <w:rPr>
          <w:rFonts w:ascii="仿宋_GB2312" w:eastAsia="仿宋_GB2312" w:hint="eastAsia"/>
          <w:b/>
          <w:sz w:val="24"/>
          <w:szCs w:val="24"/>
        </w:rPr>
        <w:t>.重要提示</w:t>
      </w:r>
    </w:p>
    <w:tbl>
      <w:tblPr>
        <w:tblW w:w="9072" w:type="dxa"/>
        <w:tblBorders>
          <w:top w:val="single" w:sz="4"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9072"/>
      </w:tblGrid>
      <w:tr w:rsidR="00E61C1A" w:rsidTr="00B00579">
        <w:trPr>
          <w:trHeight w:val="2514"/>
        </w:trPr>
        <w:tc>
          <w:tcPr>
            <w:tcW w:w="9072" w:type="dxa"/>
            <w:tcMar>
              <w:top w:w="0" w:type="dxa"/>
              <w:left w:w="108" w:type="dxa"/>
              <w:bottom w:w="0" w:type="dxa"/>
              <w:right w:w="108" w:type="dxa"/>
            </w:tcMar>
          </w:tcPr>
          <w:p w:rsidR="00F864D2"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产品管理人保证本报告所载资料不存在虚假记载、误导性陈述或重大遗漏，并对其内容的真实性、准确性和完整性负责。</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产品托管人上海浦东发展银行根据本产品合同规定，复核了本报告中的财务指标、净值表现、投资组合报告等内容，保证复核内容不存在虚假记载、误导性陈述或者重大遗漏。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产品管理人承诺以诚实信用、勤勉尽责的原则管理和运用产品资产，但不保证产品一定盈利。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产品的过往业绩并不代表其未来表现。投资有风险，投资者在做出投资决策前应仔细阅读本产品的销售文件。</w:t>
            </w:r>
          </w:p>
          <w:p w:rsidR="00E61C1A"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本报告中财务资料未经审计。</w:t>
            </w:r>
          </w:p>
        </w:tc>
      </w:tr>
    </w:tbl>
    <w:p w:rsidR="00E61C1A" w:rsidRDefault="00E61C1A" w:rsidP="00E61C1A">
      <w:pPr>
        <w:snapToGrid w:val="0"/>
        <w:spacing w:line="360" w:lineRule="auto"/>
        <w:rPr>
          <w:rFonts w:ascii="仿宋_GB2312" w:eastAsia="仿宋_GB2312"/>
          <w:b/>
          <w:sz w:val="24"/>
          <w:szCs w:val="24"/>
        </w:rPr>
      </w:pPr>
      <w:r>
        <w:rPr>
          <w:rFonts w:ascii="仿宋_GB2312" w:eastAsia="仿宋_GB2312" w:hint="eastAsia"/>
          <w:b/>
          <w:sz w:val="24"/>
          <w:szCs w:val="24"/>
        </w:rPr>
        <w:t>2.</w:t>
      </w:r>
      <w:r>
        <w:rPr>
          <w:rFonts w:ascii="仿宋_GB2312" w:eastAsia="仿宋_GB2312" w:hint="eastAsia"/>
          <w:b/>
          <w:sz w:val="24"/>
          <w:szCs w:val="24"/>
        </w:rPr>
        <w:t> </w:t>
      </w:r>
      <w:r>
        <w:rPr>
          <w:rFonts w:ascii="仿宋_GB2312" w:eastAsia="仿宋_GB2312" w:hint="eastAsia"/>
          <w:b/>
          <w:sz w:val="24"/>
          <w:szCs w:val="24"/>
        </w:rPr>
        <w:t>产品概况</w:t>
      </w:r>
    </w:p>
    <w:tbl>
      <w:tblPr>
        <w:tblW w:w="907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9"/>
        <w:gridCol w:w="4853"/>
      </w:tblGrid>
      <w:tr w:rsidR="00E61C1A" w:rsidTr="00B00579">
        <w:tc>
          <w:tcPr>
            <w:tcW w:w="4219" w:type="dxa"/>
            <w:tcMar>
              <w:top w:w="0" w:type="dxa"/>
              <w:left w:w="108" w:type="dxa"/>
              <w:bottom w:w="0" w:type="dxa"/>
              <w:right w:w="108" w:type="dxa"/>
            </w:tcMar>
            <w:vAlign w:val="center"/>
          </w:tcPr>
          <w:p w:rsidR="00E61C1A" w:rsidRDefault="00E61C1A" w:rsidP="00B00579">
            <w:pPr>
              <w:snapToGrid w:val="0"/>
              <w:spacing w:line="360" w:lineRule="auto"/>
              <w:ind w:firstLine="480"/>
              <w:jc w:val="center"/>
              <w:rPr>
                <w:rFonts w:ascii="仿宋_GB2312" w:eastAsia="仿宋_GB2312" w:hAnsi="Calibri" w:cs="宋体"/>
                <w:color w:val="FF0000"/>
                <w:sz w:val="24"/>
                <w:szCs w:val="24"/>
              </w:rPr>
            </w:pPr>
            <w:r w:rsidRPr="009106D5">
              <w:rPr>
                <w:rFonts w:ascii="仿宋_GB2312" w:eastAsia="仿宋_GB2312" w:hAnsiTheme="minorEastAsia" w:hint="eastAsia"/>
                <w:kern w:val="0"/>
                <w:sz w:val="24"/>
                <w:szCs w:val="24"/>
              </w:rPr>
              <w:t>产品名称</w:t>
            </w:r>
          </w:p>
        </w:tc>
        <w:tc>
          <w:tcPr>
            <w:tcW w:w="4853" w:type="dxa"/>
            <w:tcMar>
              <w:top w:w="0" w:type="dxa"/>
              <w:left w:w="108" w:type="dxa"/>
              <w:bottom w:w="0" w:type="dxa"/>
              <w:right w:w="108" w:type="dxa"/>
            </w:tcMar>
            <w:vAlign w:val="center"/>
          </w:tcPr>
          <w:p w:rsidR="00E61C1A" w:rsidRDefault="001814DB" w:rsidP="00B00579">
            <w:pPr>
              <w:snapToGrid w:val="0"/>
              <w:spacing w:line="360" w:lineRule="auto"/>
              <w:jc w:val="center"/>
              <w:rPr>
                <w:rFonts w:ascii="仿宋_GB2312" w:eastAsia="仿宋_GB2312" w:hAnsi="Calibri" w:cs="宋体"/>
                <w:color w:val="000000"/>
                <w:sz w:val="24"/>
                <w:szCs w:val="24"/>
              </w:rPr>
            </w:pPr>
            <w:r>
              <w:rPr>
                <w:rFonts w:ascii="仿宋_GB2312" w:eastAsia="仿宋_GB2312" w:hAnsi="Calibri" w:cs="宋体"/>
                <w:color w:val="000000"/>
                <w:sz w:val="24"/>
                <w:szCs w:val="24"/>
              </w:rPr>
              <w:t>浦发银行鑫盈利系列1年定开7号理财产品</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产品代码</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olor w:val="000000"/>
                <w:kern w:val="0"/>
                <w:sz w:val="24"/>
                <w:szCs w:val="24"/>
              </w:rPr>
            </w:pPr>
            <w:r>
              <w:rPr>
                <w:rFonts w:ascii="仿宋_GB2312" w:eastAsia="仿宋_GB2312" w:hAnsi="Calibri" w:cs="宋体"/>
                <w:color w:val="000000"/>
                <w:sz w:val="24"/>
                <w:szCs w:val="24"/>
              </w:rPr>
              <w:t>2301202507(销售代码:2301202820/2301202821/2301202822/2301202823/2301212313)</w:t>
            </w:r>
          </w:p>
        </w:tc>
      </w:tr>
      <w:tr w:rsidR="00E61C1A" w:rsidTr="00B00579">
        <w:tblPrEx>
          <w:tblBorders>
            <w:top w:val="none" w:sz="0"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产品登记编码</w:t>
            </w:r>
            <w:r w:rsidRPr="009106D5">
              <w:rPr>
                <w:rStyle w:val="a9"/>
                <w:rFonts w:ascii="仿宋_GB2312" w:eastAsia="仿宋_GB2312" w:hAnsiTheme="minorEastAsia"/>
                <w:kern w:val="0"/>
                <w:sz w:val="24"/>
                <w:szCs w:val="24"/>
              </w:rPr>
              <w:footnoteReference w:id="1"/>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C1031020000007</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产品类型</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固定收益类</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产品成立日</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2020-06-18</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报告期末产品份额总额</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346,565,436.86</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报告期末产品杠杆水平</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100.26%</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业绩比较基准</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2301202820 : 3.60%-4.10%</w:t>
            </w:r>
            <w:r>
              <w:rPr>
                <w:rFonts w:ascii="仿宋_GB2312" w:eastAsia="仿宋_GB2312" w:hAnsi="Calibri" w:cs="宋体"/>
                <w:color w:val="000000"/>
                <w:sz w:val="24"/>
                <w:szCs w:val="24"/>
              </w:rPr>
              <w:br/>
              <w:t>2301202821 : 3.63%-4.13%</w:t>
            </w:r>
            <w:r>
              <w:rPr>
                <w:rFonts w:ascii="仿宋_GB2312" w:eastAsia="仿宋_GB2312" w:hAnsi="Calibri" w:cs="宋体"/>
                <w:color w:val="000000"/>
                <w:sz w:val="24"/>
                <w:szCs w:val="24"/>
              </w:rPr>
              <w:br/>
              <w:t>2301202822 : 3.65%-4.15%</w:t>
            </w:r>
            <w:r>
              <w:rPr>
                <w:rFonts w:ascii="仿宋_GB2312" w:eastAsia="仿宋_GB2312" w:hAnsi="Calibri" w:cs="宋体"/>
                <w:color w:val="000000"/>
                <w:sz w:val="24"/>
                <w:szCs w:val="24"/>
              </w:rPr>
              <w:br/>
              <w:t>2301202823 : 3.40%-4.40%</w:t>
            </w:r>
            <w:r>
              <w:rPr>
                <w:rFonts w:ascii="仿宋_GB2312" w:eastAsia="仿宋_GB2312" w:hAnsi="Calibri" w:cs="宋体"/>
                <w:color w:val="000000"/>
                <w:sz w:val="24"/>
                <w:szCs w:val="24"/>
              </w:rPr>
              <w:br/>
              <w:t>2301212313 : 3.65%-4.15%</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风险等级</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较低风险</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lastRenderedPageBreak/>
              <w:t>产品管理人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ind w:firstLineChars="100" w:firstLine="240"/>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上海浦东发展银行</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t>产品托管人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 xml:space="preserve">  上海浦东发展银行</w:t>
            </w:r>
          </w:p>
        </w:tc>
      </w:tr>
    </w:tbl>
    <w:p w:rsidR="00E61C1A" w:rsidRDefault="00E61C1A" w:rsidP="00E61C1A">
      <w:pPr>
        <w:rPr>
          <w:rFonts w:ascii="仿宋_GB2312" w:eastAsia="仿宋_GB2312" w:hAnsi="Calibri"/>
          <w:sz w:val="24"/>
          <w:szCs w:val="24"/>
        </w:rPr>
      </w:pPr>
    </w:p>
    <w:p w:rsidR="004E272F" w:rsidRDefault="004E272F" w:rsidP="004E272F">
      <w:pPr>
        <w:snapToGrid w:val="0"/>
        <w:spacing w:line="360" w:lineRule="auto"/>
        <w:rPr>
          <w:rFonts w:ascii="仿宋_GB2312" w:eastAsia="仿宋_GB2312"/>
          <w:b/>
          <w:sz w:val="24"/>
          <w:szCs w:val="24"/>
        </w:rPr>
      </w:pPr>
      <w:r>
        <w:rPr>
          <w:rFonts w:ascii="仿宋_GB2312" w:eastAsia="仿宋_GB2312" w:hint="eastAsia"/>
          <w:b/>
          <w:sz w:val="24"/>
          <w:szCs w:val="24"/>
        </w:rPr>
        <w:t>3</w:t>
      </w:r>
      <w:r w:rsidRPr="004E272F">
        <w:rPr>
          <w:rFonts w:ascii="仿宋_GB2312" w:eastAsia="仿宋_GB2312"/>
          <w:b/>
          <w:sz w:val="24"/>
          <w:szCs w:val="24"/>
        </w:rPr>
        <w:t>.</w:t>
      </w:r>
      <w:r>
        <w:rPr>
          <w:rFonts w:ascii="仿宋_GB2312" w:eastAsia="仿宋_GB2312" w:hint="eastAsia"/>
          <w:b/>
          <w:sz w:val="24"/>
          <w:szCs w:val="24"/>
        </w:rPr>
        <w:t>产品净值表现</w:t>
      </w:r>
    </w:p>
    <w:p w:rsidR="004E272F" w:rsidRDefault="004E272F" w:rsidP="004E272F">
      <w:pPr>
        <w:snapToGrid w:val="0"/>
        <w:spacing w:line="360" w:lineRule="auto"/>
        <w:ind w:firstLine="482"/>
        <w:rPr>
          <w:rFonts w:ascii="仿宋_GB2312" w:eastAsia="仿宋_GB2312"/>
          <w:b/>
          <w:bCs/>
          <w:sz w:val="24"/>
          <w:szCs w:val="24"/>
        </w:rPr>
      </w:pPr>
      <w:r>
        <w:rPr>
          <w:rFonts w:ascii="仿宋_GB2312" w:eastAsia="仿宋_GB2312" w:hint="eastAsia"/>
          <w:b/>
          <w:bCs/>
          <w:sz w:val="24"/>
          <w:szCs w:val="24"/>
        </w:rPr>
        <w:t>3.1 净值表现</w:t>
      </w:r>
    </w:p>
    <w:p w:rsidR="004E272F" w:rsidRPr="00B9403A" w:rsidRDefault="004E272F" w:rsidP="004E272F">
      <w:pPr>
        <w:snapToGrid w:val="0"/>
        <w:spacing w:line="360" w:lineRule="auto"/>
        <w:ind w:left="5143" w:hanging="5143"/>
        <w:rPr>
          <w:rFonts w:ascii="仿宋_GB2312" w:eastAsia="仿宋_GB2312"/>
          <w:sz w:val="24"/>
          <w:szCs w:val="24"/>
        </w:rPr>
      </w:pPr>
      <w:r>
        <w:rPr>
          <w:sz w:val="24"/>
          <w:szCs w:val="24"/>
        </w:rPr>
        <w:t xml:space="preserve">                                                                               </w:t>
      </w:r>
      <w:r>
        <w:rPr>
          <w:sz w:val="24"/>
          <w:szCs w:val="24"/>
        </w:rPr>
        <w:t>单位：人民币</w:t>
      </w:r>
      <w:r>
        <w:rPr>
          <w:sz w:val="24"/>
          <w:szCs w:val="24"/>
        </w:rPr>
        <w:t>(CNY)</w:t>
      </w:r>
    </w:p>
    <w:tbl>
      <w:tblPr>
        <w:tblStyle w:val="ab"/>
        <w:tblW w:w="9072" w:type="dxa"/>
        <w:tblLayout w:type="fixed"/>
        <w:tblLook w:val="04A0" w:firstRow="1" w:lastRow="0" w:firstColumn="1" w:lastColumn="0" w:noHBand="0" w:noVBand="1"/>
      </w:tblPr>
      <w:tblGrid>
        <w:gridCol w:w="4361"/>
        <w:gridCol w:w="4711"/>
      </w:tblGrid>
      <w:tr w:rsidR="004E272F" w:rsidTr="00B00579">
        <w:tc>
          <w:tcPr>
            <w:tcW w:w="4361" w:type="dxa"/>
          </w:tcPr>
          <w:p w:rsidR="004E272F" w:rsidRDefault="004E272F" w:rsidP="004E272F">
            <w:pPr>
              <w:pStyle w:val="aa"/>
              <w:snapToGrid w:val="0"/>
              <w:spacing w:before="0" w:beforeAutospacing="0" w:after="0" w:afterAutospacing="0" w:line="360" w:lineRule="auto"/>
              <w:ind w:firstLineChars="200" w:firstLine="480"/>
              <w:jc w:val="center"/>
              <w:rPr>
                <w:rFonts w:ascii="仿宋_GB2312" w:eastAsia="仿宋_GB2312"/>
                <w:kern w:val="2"/>
              </w:rPr>
            </w:pPr>
            <w:r>
              <w:rPr>
                <w:rFonts w:ascii="仿宋_GB2312" w:eastAsia="仿宋_GB2312" w:hint="eastAsia"/>
                <w:kern w:val="2"/>
              </w:rPr>
              <w:t>产品净值表现</w:t>
            </w:r>
          </w:p>
        </w:tc>
        <w:tc>
          <w:tcPr>
            <w:tcW w:w="4711" w:type="dxa"/>
          </w:tcPr>
          <w:p w:rsidR="004E272F" w:rsidRDefault="004E272F" w:rsidP="00B00579">
            <w:pPr>
              <w:snapToGrid w:val="0"/>
              <w:spacing w:line="360" w:lineRule="auto"/>
              <w:ind w:firstLineChars="200" w:firstLine="480"/>
              <w:jc w:val="center"/>
              <w:rPr>
                <w:rFonts w:ascii="仿宋_GB2312" w:eastAsia="仿宋_GB2312" w:hAnsi="Calibri" w:cs="宋体"/>
                <w:color w:val="000000"/>
                <w:sz w:val="24"/>
                <w:szCs w:val="24"/>
              </w:rPr>
            </w:pPr>
            <w:r>
              <w:rPr>
                <w:rFonts w:ascii="仿宋_GB2312" w:eastAsia="仿宋_GB2312" w:hint="eastAsia"/>
                <w:color w:val="000000"/>
                <w:sz w:val="24"/>
                <w:szCs w:val="24"/>
              </w:rPr>
              <w:t>报告期（</w:t>
            </w:r>
            <w:r w:rsidR="00BA2F6B">
              <w:rPr>
                <w:rFonts w:ascii="仿宋_GB2312" w:eastAsia="仿宋_GB2312" w:hint="eastAsia"/>
                <w:color w:val="000000"/>
                <w:sz w:val="24"/>
                <w:szCs w:val="24"/>
              </w:rPr>
              <w:t>2021-</w:t>
            </w:r>
            <w:r w:rsidR="00BA2F6B">
              <w:rPr>
                <w:rFonts w:ascii="仿宋_GB2312" w:eastAsia="仿宋_GB2312"/>
                <w:color w:val="000000"/>
                <w:sz w:val="24"/>
                <w:szCs w:val="24"/>
              </w:rPr>
              <w:t>01</w:t>
            </w:r>
            <w:r>
              <w:rPr>
                <w:rFonts w:ascii="仿宋_GB2312" w:eastAsia="仿宋_GB2312" w:hint="eastAsia"/>
                <w:color w:val="000000"/>
                <w:sz w:val="24"/>
                <w:szCs w:val="24"/>
              </w:rPr>
              <w:t>-01至2021-12-31）</w:t>
            </w:r>
          </w:p>
        </w:tc>
      </w:tr>
      <w:tr w:rsidR="004E272F" w:rsidTr="00B00579">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1.期末产品资产净值</w:t>
            </w:r>
          </w:p>
        </w:tc>
        <w:tc>
          <w:tcPr>
            <w:tcW w:w="4711" w:type="dxa"/>
          </w:tcPr>
          <w:p w:rsidR="004E272F" w:rsidRDefault="00367DBF" w:rsidP="00781652">
            <w:pPr>
              <w:snapToGrid w:val="0"/>
              <w:spacing w:line="360" w:lineRule="auto"/>
              <w:jc w:val="left"/>
              <w:rPr>
                <w:rFonts w:ascii="仿宋_GB2312" w:eastAsia="仿宋_GB2312" w:hAnsi="Calibri" w:cs="宋体"/>
                <w:color w:val="000000"/>
                <w:sz w:val="24"/>
                <w:szCs w:val="24"/>
              </w:rPr>
            </w:pPr>
            <w:r>
              <w:rPr>
                <w:rFonts w:ascii="仿宋_GB2312" w:eastAsia="仿宋_GB2312" w:hAnsi="Calibri" w:cs="宋体"/>
                <w:color w:val="000000"/>
                <w:sz w:val="24"/>
                <w:szCs w:val="24"/>
              </w:rPr>
              <w:t>2301202820 : 43,418,858.69</w:t>
            </w:r>
            <w:r>
              <w:rPr>
                <w:rFonts w:ascii="仿宋_GB2312" w:eastAsia="仿宋_GB2312" w:hAnsi="Calibri" w:cs="宋体"/>
                <w:color w:val="000000"/>
                <w:sz w:val="24"/>
                <w:szCs w:val="24"/>
              </w:rPr>
              <w:br/>
              <w:t>2301202821 : 32,797,463.63</w:t>
            </w:r>
            <w:r>
              <w:rPr>
                <w:rFonts w:ascii="仿宋_GB2312" w:eastAsia="仿宋_GB2312" w:hAnsi="Calibri" w:cs="宋体"/>
                <w:color w:val="000000"/>
                <w:sz w:val="24"/>
                <w:szCs w:val="24"/>
              </w:rPr>
              <w:br/>
              <w:t>2301202822 : 205,424,734.61</w:t>
            </w:r>
            <w:r>
              <w:rPr>
                <w:rFonts w:ascii="仿宋_GB2312" w:eastAsia="仿宋_GB2312" w:hAnsi="Calibri" w:cs="宋体"/>
                <w:color w:val="000000"/>
                <w:sz w:val="24"/>
                <w:szCs w:val="24"/>
              </w:rPr>
              <w:br/>
              <w:t>2301212313 : 81,733,710.31</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2.期末产品份额净值</w:t>
            </w:r>
          </w:p>
        </w:tc>
        <w:tc>
          <w:tcPr>
            <w:tcW w:w="4711" w:type="dxa"/>
          </w:tcPr>
          <w:p w:rsidR="004E272F" w:rsidRDefault="00367DBF"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2301202820 : 1.0559</w:t>
            </w:r>
            <w:r>
              <w:rPr>
                <w:rFonts w:ascii="仿宋_GB2312" w:eastAsia="仿宋_GB2312" w:hAnsi="Calibri" w:cs="宋体"/>
                <w:color w:val="000000"/>
                <w:sz w:val="24"/>
                <w:szCs w:val="24"/>
              </w:rPr>
              <w:br/>
              <w:t>2301202821 : 1.0564</w:t>
            </w:r>
            <w:r>
              <w:rPr>
                <w:rFonts w:ascii="仿宋_GB2312" w:eastAsia="仿宋_GB2312" w:hAnsi="Calibri" w:cs="宋体"/>
                <w:color w:val="000000"/>
                <w:sz w:val="24"/>
                <w:szCs w:val="24"/>
              </w:rPr>
              <w:br/>
              <w:t>2301202822 : 1.0567</w:t>
            </w:r>
            <w:r>
              <w:rPr>
                <w:rFonts w:ascii="仿宋_GB2312" w:eastAsia="仿宋_GB2312" w:hAnsi="Calibri" w:cs="宋体"/>
                <w:color w:val="000000"/>
                <w:sz w:val="24"/>
                <w:szCs w:val="24"/>
              </w:rPr>
              <w:br/>
              <w:t>2301212313 : 1.0217</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3.期末产品份额累计净值</w:t>
            </w:r>
          </w:p>
        </w:tc>
        <w:tc>
          <w:tcPr>
            <w:tcW w:w="4711" w:type="dxa"/>
          </w:tcPr>
          <w:p w:rsidR="004E272F" w:rsidRDefault="00130728"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2301202820 : 1.0559</w:t>
            </w:r>
            <w:r>
              <w:rPr>
                <w:rFonts w:ascii="仿宋_GB2312" w:eastAsia="仿宋_GB2312" w:hAnsi="Calibri" w:cs="宋体"/>
                <w:color w:val="000000"/>
                <w:sz w:val="24"/>
                <w:szCs w:val="24"/>
              </w:rPr>
              <w:br/>
              <w:t>2301202821 : 1.0564</w:t>
            </w:r>
            <w:r>
              <w:rPr>
                <w:rFonts w:ascii="仿宋_GB2312" w:eastAsia="仿宋_GB2312" w:hAnsi="Calibri" w:cs="宋体"/>
                <w:color w:val="000000"/>
                <w:sz w:val="24"/>
                <w:szCs w:val="24"/>
              </w:rPr>
              <w:br/>
              <w:t>2301202822 : 1.0567</w:t>
            </w:r>
            <w:r>
              <w:rPr>
                <w:rFonts w:ascii="仿宋_GB2312" w:eastAsia="仿宋_GB2312" w:hAnsi="Calibri" w:cs="宋体"/>
                <w:color w:val="000000"/>
                <w:sz w:val="24"/>
                <w:szCs w:val="24"/>
              </w:rPr>
              <w:br/>
              <w:t>2301212313 : 1.0217</w:t>
            </w:r>
          </w:p>
        </w:tc>
      </w:tr>
      <w:tr w:rsidR="004E272F" w:rsidTr="00B00579">
        <w:trPr>
          <w:trHeight w:val="158"/>
        </w:trPr>
        <w:tc>
          <w:tcPr>
            <w:tcW w:w="4361" w:type="dxa"/>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4</w:t>
            </w:r>
            <w:r w:rsidRPr="00B2798E">
              <w:rPr>
                <w:rFonts w:ascii="仿宋_GB2312" w:eastAsia="仿宋_GB2312"/>
                <w:kern w:val="2"/>
              </w:rPr>
              <w:t>.</w:t>
            </w:r>
            <w:r w:rsidR="004E272F">
              <w:rPr>
                <w:rFonts w:ascii="仿宋_GB2312" w:eastAsia="仿宋_GB2312" w:hint="eastAsia"/>
                <w:kern w:val="2"/>
              </w:rPr>
              <w:t>每万份收益</w:t>
            </w:r>
          </w:p>
        </w:tc>
        <w:tc>
          <w:tcPr>
            <w:tcW w:w="4711" w:type="dxa"/>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tbl>
      <w:tblPr>
        <w:tblW w:w="90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61"/>
        <w:gridCol w:w="4711"/>
      </w:tblGrid>
      <w:tr w:rsidR="004E272F" w:rsidTr="00B00579">
        <w:trPr>
          <w:trHeight w:val="158"/>
        </w:trPr>
        <w:tc>
          <w:tcPr>
            <w:tcW w:w="4361" w:type="dxa"/>
            <w:tcMar>
              <w:top w:w="0" w:type="dxa"/>
              <w:left w:w="108" w:type="dxa"/>
              <w:bottom w:w="0" w:type="dxa"/>
              <w:right w:w="108" w:type="dxa"/>
            </w:tcMar>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5</w:t>
            </w:r>
            <w:r w:rsidRPr="00B2798E">
              <w:rPr>
                <w:rFonts w:ascii="仿宋_GB2312" w:eastAsia="仿宋_GB2312"/>
                <w:kern w:val="2"/>
              </w:rPr>
              <w:t>.</w:t>
            </w:r>
            <w:proofErr w:type="gramStart"/>
            <w:r w:rsidR="004E272F">
              <w:rPr>
                <w:rFonts w:ascii="仿宋_GB2312" w:eastAsia="仿宋_GB2312" w:hint="eastAsia"/>
                <w:kern w:val="2"/>
              </w:rPr>
              <w:t>七日年化收益率</w:t>
            </w:r>
            <w:proofErr w:type="gramEnd"/>
          </w:p>
        </w:tc>
        <w:tc>
          <w:tcPr>
            <w:tcW w:w="4711" w:type="dxa"/>
            <w:tcMar>
              <w:top w:w="0" w:type="dxa"/>
              <w:left w:w="108" w:type="dxa"/>
              <w:bottom w:w="0" w:type="dxa"/>
              <w:right w:w="108" w:type="dxa"/>
            </w:tcMar>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p w:rsidR="00564E1C" w:rsidRDefault="00564E1C" w:rsidP="00564E1C">
      <w:pPr>
        <w:snapToGrid w:val="0"/>
        <w:spacing w:line="360" w:lineRule="auto"/>
        <w:rPr>
          <w:rFonts w:ascii="仿宋_GB2312" w:eastAsia="仿宋_GB2312"/>
          <w:b/>
          <w:sz w:val="24"/>
          <w:szCs w:val="24"/>
        </w:rPr>
      </w:pPr>
      <w:r>
        <w:rPr>
          <w:rFonts w:ascii="仿宋_GB2312" w:eastAsia="仿宋_GB2312" w:hint="eastAsia"/>
          <w:b/>
          <w:sz w:val="24"/>
          <w:szCs w:val="24"/>
        </w:rPr>
        <w:t>4.投资组合报告</w:t>
      </w:r>
    </w:p>
    <w:p w:rsidR="00564E1C" w:rsidRDefault="00564E1C" w:rsidP="00564E1C">
      <w:pPr>
        <w:spacing w:line="360" w:lineRule="auto"/>
        <w:ind w:firstLine="482"/>
        <w:rPr>
          <w:rFonts w:ascii="仿宋_GB2312" w:eastAsia="仿宋_GB2312"/>
          <w:b/>
          <w:bCs/>
          <w:sz w:val="24"/>
          <w:szCs w:val="24"/>
        </w:rPr>
      </w:pPr>
      <w:r>
        <w:rPr>
          <w:rFonts w:ascii="仿宋_GB2312" w:eastAsia="仿宋_GB2312" w:hint="eastAsia"/>
          <w:b/>
          <w:bCs/>
          <w:sz w:val="24"/>
          <w:szCs w:val="24"/>
        </w:rPr>
        <w:t>4.1 报告期末产品资产组合情况</w:t>
      </w:r>
    </w:p>
    <w:p w:rsidR="00564E1C" w:rsidRPr="00FD1998" w:rsidRDefault="00564E1C" w:rsidP="00564E1C">
      <w:pPr>
        <w:rPr>
          <w:rFonts w:ascii="仿宋_GB2312" w:eastAsia="仿宋_GB2312" w:hAnsi="Calibri"/>
          <w:sz w:val="24"/>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1"/>
        <w:gridCol w:w="2620"/>
        <w:gridCol w:w="2694"/>
        <w:gridCol w:w="2477"/>
      </w:tblGrid>
      <w:tr w:rsidR="00564E1C" w:rsidTr="00B00579">
        <w:trPr>
          <w:trHeight w:val="415"/>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序号</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项目</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金额（元）</w:t>
            </w:r>
          </w:p>
        </w:tc>
        <w:tc>
          <w:tcPr>
            <w:tcW w:w="2477"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占产品资产净值比例</w:t>
            </w:r>
          </w:p>
        </w:tc>
      </w:tr>
      <w:tr w:rsidR="00564E1C" w:rsidRPr="00BE0BA1" w:rsidTr="00B00579">
        <w:trPr>
          <w:trHeight w:val="20"/>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1</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银行存款</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2,176,599.93</w:t>
            </w:r>
          </w:p>
        </w:tc>
        <w:tc>
          <w:tcPr>
            <w:tcW w:w="2477" w:type="dxa"/>
            <w:vAlign w:val="center"/>
          </w:tcPr>
          <w:p w:rsidR="00564E1C" w:rsidRPr="00BE0BA1"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0.60%</w:t>
            </w:r>
          </w:p>
        </w:tc>
      </w:tr>
      <w:tr w:rsidR="00804CB1">
        <w:tc>
          <w:tcPr>
            <w:tcW w:w="1281" w:type="dxa"/>
            <w:vAlign w:val="center"/>
          </w:tcPr>
          <w:p w:rsidR="00804CB1" w:rsidRDefault="00BD02FE">
            <w:pPr>
              <w:jc w:val="center"/>
            </w:pPr>
            <w:r>
              <w:rPr>
                <w:rFonts w:ascii="仿宋_GB2312" w:eastAsia="仿宋_GB2312" w:hAnsi="Calibri" w:cs="宋体"/>
                <w:color w:val="000000"/>
                <w:sz w:val="24"/>
              </w:rPr>
              <w:t>2</w:t>
            </w:r>
          </w:p>
        </w:tc>
        <w:tc>
          <w:tcPr>
            <w:tcW w:w="2620" w:type="dxa"/>
            <w:vAlign w:val="center"/>
          </w:tcPr>
          <w:p w:rsidR="00804CB1" w:rsidRDefault="00BD02FE">
            <w:pPr>
              <w:jc w:val="center"/>
            </w:pPr>
            <w:r>
              <w:rPr>
                <w:rFonts w:ascii="仿宋_GB2312" w:eastAsia="仿宋_GB2312" w:hAnsi="Calibri" w:cs="宋体"/>
                <w:color w:val="000000"/>
                <w:sz w:val="24"/>
              </w:rPr>
              <w:t>债券投资</w:t>
            </w:r>
          </w:p>
        </w:tc>
        <w:tc>
          <w:tcPr>
            <w:tcW w:w="2694" w:type="dxa"/>
            <w:vAlign w:val="center"/>
          </w:tcPr>
          <w:p w:rsidR="00804CB1" w:rsidRDefault="00BD02FE">
            <w:pPr>
              <w:jc w:val="center"/>
            </w:pPr>
            <w:r>
              <w:rPr>
                <w:rFonts w:ascii="仿宋_GB2312" w:eastAsia="仿宋_GB2312" w:hAnsi="Calibri" w:cs="宋体"/>
                <w:color w:val="000000"/>
                <w:sz w:val="24"/>
              </w:rPr>
              <w:t>331,620,000.00</w:t>
            </w:r>
          </w:p>
        </w:tc>
        <w:tc>
          <w:tcPr>
            <w:tcW w:w="2477" w:type="dxa"/>
            <w:vAlign w:val="center"/>
          </w:tcPr>
          <w:p w:rsidR="00804CB1" w:rsidRDefault="00BD02FE">
            <w:pPr>
              <w:jc w:val="center"/>
            </w:pPr>
            <w:r>
              <w:rPr>
                <w:rFonts w:ascii="仿宋_GB2312" w:eastAsia="仿宋_GB2312" w:hAnsi="Calibri" w:cs="宋体"/>
                <w:color w:val="000000"/>
                <w:sz w:val="24"/>
              </w:rPr>
              <w:t>91.26%</w:t>
            </w:r>
          </w:p>
        </w:tc>
      </w:tr>
      <w:tr w:rsidR="00804CB1">
        <w:tc>
          <w:tcPr>
            <w:tcW w:w="1281" w:type="dxa"/>
            <w:vAlign w:val="center"/>
          </w:tcPr>
          <w:p w:rsidR="00804CB1" w:rsidRDefault="00BD02FE">
            <w:pPr>
              <w:jc w:val="center"/>
            </w:pPr>
            <w:r>
              <w:rPr>
                <w:rFonts w:ascii="仿宋_GB2312" w:eastAsia="仿宋_GB2312" w:hAnsi="Calibri" w:cs="宋体"/>
                <w:color w:val="000000"/>
                <w:sz w:val="24"/>
              </w:rPr>
              <w:t>3</w:t>
            </w:r>
          </w:p>
        </w:tc>
        <w:tc>
          <w:tcPr>
            <w:tcW w:w="2620" w:type="dxa"/>
            <w:vAlign w:val="center"/>
          </w:tcPr>
          <w:p w:rsidR="00804CB1" w:rsidRDefault="00BD02FE">
            <w:pPr>
              <w:jc w:val="center"/>
            </w:pPr>
            <w:r>
              <w:rPr>
                <w:rFonts w:ascii="仿宋_GB2312" w:eastAsia="仿宋_GB2312" w:hAnsi="Calibri" w:cs="宋体"/>
                <w:color w:val="000000"/>
                <w:sz w:val="24"/>
              </w:rPr>
              <w:t>资产支持证券投资</w:t>
            </w:r>
          </w:p>
        </w:tc>
        <w:tc>
          <w:tcPr>
            <w:tcW w:w="2694" w:type="dxa"/>
            <w:vAlign w:val="center"/>
          </w:tcPr>
          <w:p w:rsidR="00804CB1" w:rsidRDefault="00BD02FE">
            <w:pPr>
              <w:jc w:val="center"/>
            </w:pPr>
            <w:r>
              <w:rPr>
                <w:rFonts w:ascii="仿宋_GB2312" w:eastAsia="仿宋_GB2312" w:hAnsi="Calibri" w:cs="宋体"/>
                <w:color w:val="000000"/>
                <w:sz w:val="24"/>
              </w:rPr>
              <w:t>23,856,000.00</w:t>
            </w:r>
          </w:p>
        </w:tc>
        <w:tc>
          <w:tcPr>
            <w:tcW w:w="2477" w:type="dxa"/>
            <w:vAlign w:val="center"/>
          </w:tcPr>
          <w:p w:rsidR="00804CB1" w:rsidRDefault="00BD02FE">
            <w:pPr>
              <w:jc w:val="center"/>
            </w:pPr>
            <w:r>
              <w:rPr>
                <w:rFonts w:ascii="仿宋_GB2312" w:eastAsia="仿宋_GB2312" w:hAnsi="Calibri" w:cs="宋体"/>
                <w:color w:val="000000"/>
                <w:sz w:val="24"/>
              </w:rPr>
              <w:t>6.57%</w:t>
            </w:r>
          </w:p>
        </w:tc>
      </w:tr>
      <w:tr w:rsidR="00804CB1">
        <w:tc>
          <w:tcPr>
            <w:tcW w:w="1281" w:type="dxa"/>
            <w:vAlign w:val="center"/>
          </w:tcPr>
          <w:p w:rsidR="00804CB1" w:rsidRDefault="00BD02FE">
            <w:pPr>
              <w:jc w:val="center"/>
            </w:pPr>
            <w:r>
              <w:rPr>
                <w:rFonts w:ascii="仿宋_GB2312" w:eastAsia="仿宋_GB2312" w:hAnsi="Calibri" w:cs="宋体"/>
                <w:color w:val="000000"/>
                <w:sz w:val="24"/>
              </w:rPr>
              <w:t>4</w:t>
            </w:r>
          </w:p>
        </w:tc>
        <w:tc>
          <w:tcPr>
            <w:tcW w:w="2620" w:type="dxa"/>
            <w:vAlign w:val="center"/>
          </w:tcPr>
          <w:p w:rsidR="00804CB1" w:rsidRDefault="00BD02FE">
            <w:pPr>
              <w:jc w:val="center"/>
            </w:pPr>
            <w:r>
              <w:rPr>
                <w:rFonts w:ascii="仿宋_GB2312" w:eastAsia="仿宋_GB2312" w:hAnsi="Calibri" w:cs="宋体"/>
                <w:color w:val="000000"/>
                <w:sz w:val="24"/>
              </w:rPr>
              <w:t>信托计划</w:t>
            </w:r>
          </w:p>
        </w:tc>
        <w:tc>
          <w:tcPr>
            <w:tcW w:w="2694" w:type="dxa"/>
            <w:vAlign w:val="center"/>
          </w:tcPr>
          <w:p w:rsidR="00804CB1" w:rsidRDefault="00BD02FE">
            <w:pPr>
              <w:jc w:val="center"/>
            </w:pPr>
            <w:r>
              <w:rPr>
                <w:rFonts w:ascii="仿宋_GB2312" w:eastAsia="仿宋_GB2312" w:hAnsi="Calibri" w:cs="宋体"/>
                <w:color w:val="000000"/>
                <w:sz w:val="24"/>
              </w:rPr>
              <w:t>-</w:t>
            </w:r>
          </w:p>
        </w:tc>
        <w:tc>
          <w:tcPr>
            <w:tcW w:w="2477" w:type="dxa"/>
            <w:vAlign w:val="center"/>
          </w:tcPr>
          <w:p w:rsidR="00804CB1" w:rsidRDefault="00BD02FE">
            <w:pPr>
              <w:jc w:val="center"/>
            </w:pPr>
            <w:r>
              <w:rPr>
                <w:rFonts w:ascii="仿宋_GB2312" w:eastAsia="仿宋_GB2312" w:hAnsi="Calibri" w:cs="宋体"/>
                <w:color w:val="000000"/>
                <w:sz w:val="24"/>
              </w:rPr>
              <w:t>-</w:t>
            </w:r>
          </w:p>
        </w:tc>
      </w:tr>
      <w:tr w:rsidR="00804CB1">
        <w:tc>
          <w:tcPr>
            <w:tcW w:w="1281" w:type="dxa"/>
            <w:vAlign w:val="center"/>
          </w:tcPr>
          <w:p w:rsidR="00804CB1" w:rsidRDefault="00BD02FE">
            <w:pPr>
              <w:jc w:val="center"/>
            </w:pPr>
            <w:r>
              <w:rPr>
                <w:rFonts w:ascii="仿宋_GB2312" w:eastAsia="仿宋_GB2312" w:hAnsi="Calibri" w:cs="宋体"/>
                <w:color w:val="000000"/>
                <w:sz w:val="24"/>
              </w:rPr>
              <w:t>5</w:t>
            </w:r>
          </w:p>
        </w:tc>
        <w:tc>
          <w:tcPr>
            <w:tcW w:w="2620" w:type="dxa"/>
            <w:vAlign w:val="center"/>
          </w:tcPr>
          <w:p w:rsidR="00804CB1" w:rsidRDefault="00BD02FE">
            <w:pPr>
              <w:jc w:val="center"/>
            </w:pPr>
            <w:r>
              <w:rPr>
                <w:rFonts w:ascii="仿宋_GB2312" w:eastAsia="仿宋_GB2312" w:hAnsi="Calibri" w:cs="宋体"/>
                <w:color w:val="000000"/>
                <w:sz w:val="24"/>
              </w:rPr>
              <w:t>资产管理计划</w:t>
            </w:r>
          </w:p>
        </w:tc>
        <w:tc>
          <w:tcPr>
            <w:tcW w:w="2694" w:type="dxa"/>
            <w:vAlign w:val="center"/>
          </w:tcPr>
          <w:p w:rsidR="00804CB1" w:rsidRDefault="00BD02FE">
            <w:pPr>
              <w:jc w:val="center"/>
            </w:pPr>
            <w:r>
              <w:rPr>
                <w:rFonts w:ascii="仿宋_GB2312" w:eastAsia="仿宋_GB2312" w:hAnsi="Calibri" w:cs="宋体"/>
                <w:color w:val="000000"/>
                <w:sz w:val="24"/>
              </w:rPr>
              <w:t>-</w:t>
            </w:r>
          </w:p>
        </w:tc>
        <w:tc>
          <w:tcPr>
            <w:tcW w:w="2477" w:type="dxa"/>
            <w:vAlign w:val="center"/>
          </w:tcPr>
          <w:p w:rsidR="00804CB1" w:rsidRDefault="00BD02FE">
            <w:pPr>
              <w:jc w:val="center"/>
            </w:pPr>
            <w:r>
              <w:rPr>
                <w:rFonts w:ascii="仿宋_GB2312" w:eastAsia="仿宋_GB2312" w:hAnsi="Calibri" w:cs="宋体"/>
                <w:color w:val="000000"/>
                <w:sz w:val="24"/>
              </w:rPr>
              <w:t>-</w:t>
            </w:r>
          </w:p>
        </w:tc>
      </w:tr>
      <w:tr w:rsidR="00804CB1">
        <w:tc>
          <w:tcPr>
            <w:tcW w:w="1281" w:type="dxa"/>
            <w:vAlign w:val="center"/>
          </w:tcPr>
          <w:p w:rsidR="00804CB1" w:rsidRDefault="00BD02FE">
            <w:pPr>
              <w:jc w:val="center"/>
            </w:pPr>
            <w:r>
              <w:rPr>
                <w:rFonts w:ascii="仿宋_GB2312" w:eastAsia="仿宋_GB2312" w:hAnsi="Calibri" w:cs="宋体"/>
                <w:color w:val="000000"/>
                <w:sz w:val="24"/>
              </w:rPr>
              <w:t>6</w:t>
            </w:r>
          </w:p>
        </w:tc>
        <w:tc>
          <w:tcPr>
            <w:tcW w:w="2620" w:type="dxa"/>
            <w:vAlign w:val="center"/>
          </w:tcPr>
          <w:p w:rsidR="00804CB1" w:rsidRDefault="00BD02FE">
            <w:pPr>
              <w:jc w:val="center"/>
            </w:pPr>
            <w:r>
              <w:rPr>
                <w:rFonts w:ascii="仿宋_GB2312" w:eastAsia="仿宋_GB2312" w:hAnsi="Calibri" w:cs="宋体"/>
                <w:color w:val="000000"/>
                <w:sz w:val="24"/>
              </w:rPr>
              <w:t>净值类资产管理计划</w:t>
            </w:r>
          </w:p>
        </w:tc>
        <w:tc>
          <w:tcPr>
            <w:tcW w:w="2694" w:type="dxa"/>
            <w:vAlign w:val="center"/>
          </w:tcPr>
          <w:p w:rsidR="00804CB1" w:rsidRDefault="00BD02FE">
            <w:pPr>
              <w:jc w:val="center"/>
            </w:pPr>
            <w:r>
              <w:rPr>
                <w:rFonts w:ascii="仿宋_GB2312" w:eastAsia="仿宋_GB2312" w:hAnsi="Calibri" w:cs="宋体"/>
                <w:color w:val="000000"/>
                <w:sz w:val="24"/>
              </w:rPr>
              <w:t>-</w:t>
            </w:r>
          </w:p>
        </w:tc>
        <w:tc>
          <w:tcPr>
            <w:tcW w:w="2477" w:type="dxa"/>
            <w:vAlign w:val="center"/>
          </w:tcPr>
          <w:p w:rsidR="00804CB1" w:rsidRDefault="00BD02FE">
            <w:pPr>
              <w:jc w:val="center"/>
            </w:pPr>
            <w:r>
              <w:rPr>
                <w:rFonts w:ascii="仿宋_GB2312" w:eastAsia="仿宋_GB2312" w:hAnsi="Calibri" w:cs="宋体"/>
                <w:color w:val="000000"/>
                <w:sz w:val="24"/>
              </w:rPr>
              <w:t>-</w:t>
            </w:r>
          </w:p>
        </w:tc>
      </w:tr>
      <w:tr w:rsidR="00804CB1">
        <w:tc>
          <w:tcPr>
            <w:tcW w:w="1281" w:type="dxa"/>
            <w:vAlign w:val="center"/>
          </w:tcPr>
          <w:p w:rsidR="00804CB1" w:rsidRDefault="00BD02FE">
            <w:pPr>
              <w:jc w:val="center"/>
            </w:pPr>
            <w:r>
              <w:rPr>
                <w:rFonts w:ascii="仿宋_GB2312" w:eastAsia="仿宋_GB2312" w:hAnsi="Calibri" w:cs="宋体"/>
                <w:color w:val="000000"/>
                <w:sz w:val="24"/>
              </w:rPr>
              <w:t>7</w:t>
            </w:r>
          </w:p>
        </w:tc>
        <w:tc>
          <w:tcPr>
            <w:tcW w:w="2620" w:type="dxa"/>
            <w:vAlign w:val="center"/>
          </w:tcPr>
          <w:p w:rsidR="00804CB1" w:rsidRDefault="00BD02FE">
            <w:pPr>
              <w:jc w:val="center"/>
            </w:pPr>
            <w:r>
              <w:rPr>
                <w:rFonts w:ascii="仿宋_GB2312" w:eastAsia="仿宋_GB2312" w:hAnsi="Calibri" w:cs="宋体"/>
                <w:color w:val="000000"/>
                <w:sz w:val="24"/>
              </w:rPr>
              <w:t>资金拆出</w:t>
            </w:r>
          </w:p>
        </w:tc>
        <w:tc>
          <w:tcPr>
            <w:tcW w:w="2694" w:type="dxa"/>
            <w:vAlign w:val="center"/>
          </w:tcPr>
          <w:p w:rsidR="00804CB1" w:rsidRDefault="00BD02FE">
            <w:pPr>
              <w:jc w:val="center"/>
            </w:pPr>
            <w:r>
              <w:rPr>
                <w:rFonts w:ascii="仿宋_GB2312" w:eastAsia="仿宋_GB2312" w:hAnsi="Calibri" w:cs="宋体"/>
                <w:color w:val="000000"/>
                <w:sz w:val="24"/>
              </w:rPr>
              <w:t>-</w:t>
            </w:r>
          </w:p>
        </w:tc>
        <w:tc>
          <w:tcPr>
            <w:tcW w:w="2477" w:type="dxa"/>
            <w:vAlign w:val="center"/>
          </w:tcPr>
          <w:p w:rsidR="00804CB1" w:rsidRDefault="00BD02FE">
            <w:pPr>
              <w:jc w:val="center"/>
            </w:pPr>
            <w:r>
              <w:rPr>
                <w:rFonts w:ascii="仿宋_GB2312" w:eastAsia="仿宋_GB2312" w:hAnsi="Calibri" w:cs="宋体"/>
                <w:color w:val="000000"/>
                <w:sz w:val="24"/>
              </w:rPr>
              <w:t>-</w:t>
            </w:r>
          </w:p>
        </w:tc>
      </w:tr>
      <w:tr w:rsidR="00804CB1">
        <w:tc>
          <w:tcPr>
            <w:tcW w:w="1281" w:type="dxa"/>
            <w:vAlign w:val="center"/>
          </w:tcPr>
          <w:p w:rsidR="00804CB1" w:rsidRDefault="00BD02FE">
            <w:pPr>
              <w:jc w:val="center"/>
            </w:pPr>
            <w:r>
              <w:rPr>
                <w:rFonts w:ascii="仿宋_GB2312" w:eastAsia="仿宋_GB2312" w:hAnsi="Calibri" w:cs="宋体"/>
                <w:color w:val="000000"/>
                <w:sz w:val="24"/>
              </w:rPr>
              <w:lastRenderedPageBreak/>
              <w:t>8</w:t>
            </w:r>
          </w:p>
        </w:tc>
        <w:tc>
          <w:tcPr>
            <w:tcW w:w="2620" w:type="dxa"/>
            <w:vAlign w:val="center"/>
          </w:tcPr>
          <w:p w:rsidR="00804CB1" w:rsidRDefault="00BD02FE">
            <w:pPr>
              <w:jc w:val="center"/>
            </w:pPr>
            <w:r>
              <w:rPr>
                <w:rFonts w:ascii="仿宋_GB2312" w:eastAsia="仿宋_GB2312" w:hAnsi="Calibri" w:cs="宋体"/>
                <w:color w:val="000000"/>
                <w:sz w:val="24"/>
              </w:rPr>
              <w:t>结算备付金</w:t>
            </w:r>
          </w:p>
        </w:tc>
        <w:tc>
          <w:tcPr>
            <w:tcW w:w="2694" w:type="dxa"/>
            <w:vAlign w:val="center"/>
          </w:tcPr>
          <w:p w:rsidR="00804CB1" w:rsidRDefault="00BD02FE">
            <w:pPr>
              <w:jc w:val="center"/>
            </w:pPr>
            <w:r>
              <w:rPr>
                <w:rFonts w:ascii="仿宋_GB2312" w:eastAsia="仿宋_GB2312" w:hAnsi="Calibri" w:cs="宋体"/>
                <w:color w:val="000000"/>
                <w:sz w:val="24"/>
              </w:rPr>
              <w:t>-</w:t>
            </w:r>
          </w:p>
        </w:tc>
        <w:tc>
          <w:tcPr>
            <w:tcW w:w="2477" w:type="dxa"/>
            <w:vAlign w:val="center"/>
          </w:tcPr>
          <w:p w:rsidR="00804CB1" w:rsidRDefault="00BD02FE">
            <w:pPr>
              <w:jc w:val="center"/>
            </w:pPr>
            <w:r>
              <w:rPr>
                <w:rFonts w:ascii="仿宋_GB2312" w:eastAsia="仿宋_GB2312" w:hAnsi="Calibri" w:cs="宋体"/>
                <w:color w:val="000000"/>
                <w:sz w:val="24"/>
              </w:rPr>
              <w:t>-</w:t>
            </w:r>
          </w:p>
        </w:tc>
      </w:tr>
      <w:tr w:rsidR="00804CB1">
        <w:tc>
          <w:tcPr>
            <w:tcW w:w="1281" w:type="dxa"/>
            <w:vAlign w:val="center"/>
          </w:tcPr>
          <w:p w:rsidR="00804CB1" w:rsidRDefault="00BD02FE">
            <w:pPr>
              <w:jc w:val="center"/>
            </w:pPr>
            <w:r>
              <w:rPr>
                <w:rFonts w:ascii="仿宋_GB2312" w:eastAsia="仿宋_GB2312" w:hAnsi="Calibri" w:cs="宋体"/>
                <w:color w:val="000000"/>
                <w:sz w:val="24"/>
              </w:rPr>
              <w:t>9</w:t>
            </w:r>
          </w:p>
        </w:tc>
        <w:tc>
          <w:tcPr>
            <w:tcW w:w="2620" w:type="dxa"/>
            <w:vAlign w:val="center"/>
          </w:tcPr>
          <w:p w:rsidR="00804CB1" w:rsidRDefault="00BD02FE">
            <w:pPr>
              <w:jc w:val="center"/>
            </w:pPr>
            <w:r>
              <w:rPr>
                <w:rFonts w:ascii="仿宋_GB2312" w:eastAsia="仿宋_GB2312" w:hAnsi="Calibri" w:cs="宋体"/>
                <w:color w:val="000000"/>
                <w:sz w:val="24"/>
              </w:rPr>
              <w:t>买入返售金融资产</w:t>
            </w:r>
          </w:p>
        </w:tc>
        <w:tc>
          <w:tcPr>
            <w:tcW w:w="2694" w:type="dxa"/>
            <w:vAlign w:val="center"/>
          </w:tcPr>
          <w:p w:rsidR="00804CB1" w:rsidRDefault="00BD02FE">
            <w:pPr>
              <w:jc w:val="center"/>
            </w:pPr>
            <w:r>
              <w:rPr>
                <w:rFonts w:ascii="仿宋_GB2312" w:eastAsia="仿宋_GB2312" w:hAnsi="Calibri" w:cs="宋体"/>
                <w:color w:val="000000"/>
                <w:sz w:val="24"/>
              </w:rPr>
              <w:t>-</w:t>
            </w:r>
          </w:p>
        </w:tc>
        <w:tc>
          <w:tcPr>
            <w:tcW w:w="2477" w:type="dxa"/>
            <w:vAlign w:val="center"/>
          </w:tcPr>
          <w:p w:rsidR="00804CB1" w:rsidRDefault="00BD02FE">
            <w:pPr>
              <w:jc w:val="center"/>
            </w:pPr>
            <w:r>
              <w:rPr>
                <w:rFonts w:ascii="仿宋_GB2312" w:eastAsia="仿宋_GB2312" w:hAnsi="Calibri" w:cs="宋体"/>
                <w:color w:val="000000"/>
                <w:sz w:val="24"/>
              </w:rPr>
              <w:t>-</w:t>
            </w:r>
          </w:p>
        </w:tc>
      </w:tr>
      <w:tr w:rsidR="00804CB1">
        <w:tc>
          <w:tcPr>
            <w:tcW w:w="1281" w:type="dxa"/>
            <w:vAlign w:val="center"/>
          </w:tcPr>
          <w:p w:rsidR="00804CB1" w:rsidRDefault="00BD02FE">
            <w:pPr>
              <w:jc w:val="center"/>
            </w:pPr>
            <w:r>
              <w:rPr>
                <w:rFonts w:ascii="仿宋_GB2312" w:eastAsia="仿宋_GB2312" w:hAnsi="Calibri" w:cs="宋体"/>
                <w:color w:val="000000"/>
                <w:sz w:val="24"/>
              </w:rPr>
              <w:t>10</w:t>
            </w:r>
          </w:p>
        </w:tc>
        <w:tc>
          <w:tcPr>
            <w:tcW w:w="2620" w:type="dxa"/>
            <w:vAlign w:val="center"/>
          </w:tcPr>
          <w:p w:rsidR="00804CB1" w:rsidRDefault="00BD02FE">
            <w:pPr>
              <w:jc w:val="center"/>
            </w:pPr>
            <w:r>
              <w:rPr>
                <w:rFonts w:ascii="仿宋_GB2312" w:eastAsia="仿宋_GB2312" w:hAnsi="Calibri" w:cs="宋体"/>
                <w:color w:val="000000"/>
                <w:sz w:val="24"/>
              </w:rPr>
              <w:t>其他资产</w:t>
            </w:r>
          </w:p>
        </w:tc>
        <w:tc>
          <w:tcPr>
            <w:tcW w:w="2694" w:type="dxa"/>
            <w:vAlign w:val="center"/>
          </w:tcPr>
          <w:p w:rsidR="00804CB1" w:rsidRDefault="00BD02FE">
            <w:pPr>
              <w:jc w:val="center"/>
            </w:pPr>
            <w:r>
              <w:rPr>
                <w:rFonts w:ascii="仿宋_GB2312" w:eastAsia="仿宋_GB2312" w:hAnsi="Calibri" w:cs="宋体"/>
                <w:color w:val="000000"/>
                <w:sz w:val="24"/>
              </w:rPr>
              <w:t>0.00</w:t>
            </w:r>
          </w:p>
        </w:tc>
        <w:tc>
          <w:tcPr>
            <w:tcW w:w="2477" w:type="dxa"/>
            <w:vAlign w:val="center"/>
          </w:tcPr>
          <w:p w:rsidR="00804CB1" w:rsidRDefault="00BD02FE">
            <w:pPr>
              <w:jc w:val="center"/>
            </w:pPr>
            <w:r>
              <w:rPr>
                <w:rFonts w:ascii="仿宋_GB2312" w:eastAsia="仿宋_GB2312" w:hAnsi="Calibri" w:cs="宋体"/>
                <w:color w:val="000000"/>
                <w:sz w:val="24"/>
              </w:rPr>
              <w:t>0.00%</w:t>
            </w:r>
          </w:p>
        </w:tc>
      </w:tr>
      <w:tr w:rsidR="00804CB1">
        <w:tc>
          <w:tcPr>
            <w:tcW w:w="1281" w:type="dxa"/>
            <w:vAlign w:val="center"/>
          </w:tcPr>
          <w:p w:rsidR="00804CB1" w:rsidRDefault="00BD02FE">
            <w:pPr>
              <w:jc w:val="center"/>
            </w:pPr>
            <w:r>
              <w:rPr>
                <w:rFonts w:ascii="仿宋_GB2312" w:eastAsia="仿宋_GB2312" w:hAnsi="Calibri" w:cs="宋体"/>
                <w:color w:val="000000"/>
                <w:sz w:val="24"/>
              </w:rPr>
              <w:t>11</w:t>
            </w:r>
          </w:p>
        </w:tc>
        <w:tc>
          <w:tcPr>
            <w:tcW w:w="2620" w:type="dxa"/>
            <w:vAlign w:val="center"/>
          </w:tcPr>
          <w:p w:rsidR="00804CB1" w:rsidRDefault="00BD02FE">
            <w:pPr>
              <w:jc w:val="center"/>
            </w:pPr>
            <w:r>
              <w:rPr>
                <w:rFonts w:ascii="仿宋_GB2312" w:eastAsia="仿宋_GB2312" w:hAnsi="Calibri" w:cs="宋体"/>
                <w:color w:val="000000"/>
                <w:sz w:val="24"/>
              </w:rPr>
              <w:t>应收利息</w:t>
            </w:r>
          </w:p>
        </w:tc>
        <w:tc>
          <w:tcPr>
            <w:tcW w:w="2694" w:type="dxa"/>
            <w:vAlign w:val="center"/>
          </w:tcPr>
          <w:p w:rsidR="00804CB1" w:rsidRDefault="00BD02FE">
            <w:pPr>
              <w:jc w:val="center"/>
            </w:pPr>
            <w:r>
              <w:rPr>
                <w:rFonts w:ascii="仿宋_GB2312" w:eastAsia="仿宋_GB2312" w:hAnsi="Calibri" w:cs="宋体"/>
                <w:color w:val="000000"/>
                <w:sz w:val="24"/>
              </w:rPr>
              <w:t>6,674,508.57</w:t>
            </w:r>
          </w:p>
        </w:tc>
        <w:tc>
          <w:tcPr>
            <w:tcW w:w="2477" w:type="dxa"/>
            <w:vAlign w:val="center"/>
          </w:tcPr>
          <w:p w:rsidR="00804CB1" w:rsidRDefault="00BD02FE">
            <w:pPr>
              <w:jc w:val="center"/>
            </w:pPr>
            <w:r>
              <w:rPr>
                <w:rFonts w:ascii="仿宋_GB2312" w:eastAsia="仿宋_GB2312" w:hAnsi="Calibri" w:cs="宋体"/>
                <w:color w:val="000000"/>
                <w:sz w:val="24"/>
              </w:rPr>
              <w:t>1.84%</w:t>
            </w:r>
          </w:p>
        </w:tc>
      </w:tr>
      <w:tr w:rsidR="00804CB1">
        <w:tc>
          <w:tcPr>
            <w:tcW w:w="1281" w:type="dxa"/>
            <w:vAlign w:val="center"/>
          </w:tcPr>
          <w:p w:rsidR="00804CB1" w:rsidRDefault="00804CB1">
            <w:pPr>
              <w:jc w:val="center"/>
            </w:pPr>
          </w:p>
        </w:tc>
        <w:tc>
          <w:tcPr>
            <w:tcW w:w="2620" w:type="dxa"/>
            <w:vAlign w:val="center"/>
          </w:tcPr>
          <w:p w:rsidR="00804CB1" w:rsidRDefault="00BD02FE">
            <w:pPr>
              <w:jc w:val="center"/>
            </w:pPr>
            <w:r>
              <w:rPr>
                <w:rFonts w:ascii="仿宋_GB2312" w:eastAsia="仿宋_GB2312" w:hAnsi="Calibri" w:cs="宋体"/>
                <w:color w:val="000000"/>
                <w:sz w:val="24"/>
              </w:rPr>
              <w:t>合计</w:t>
            </w:r>
          </w:p>
        </w:tc>
        <w:tc>
          <w:tcPr>
            <w:tcW w:w="2694" w:type="dxa"/>
            <w:vAlign w:val="center"/>
          </w:tcPr>
          <w:p w:rsidR="00804CB1" w:rsidRDefault="00BD02FE">
            <w:pPr>
              <w:jc w:val="center"/>
            </w:pPr>
            <w:r>
              <w:rPr>
                <w:rFonts w:ascii="仿宋_GB2312" w:eastAsia="仿宋_GB2312" w:hAnsi="Calibri" w:cs="宋体"/>
                <w:color w:val="000000"/>
                <w:sz w:val="24"/>
              </w:rPr>
              <w:t>364,327,108.50</w:t>
            </w:r>
          </w:p>
        </w:tc>
        <w:tc>
          <w:tcPr>
            <w:tcW w:w="2477" w:type="dxa"/>
            <w:vAlign w:val="center"/>
          </w:tcPr>
          <w:p w:rsidR="00804CB1" w:rsidRDefault="00BD02FE">
            <w:pPr>
              <w:jc w:val="center"/>
            </w:pPr>
            <w:r>
              <w:rPr>
                <w:rFonts w:ascii="仿宋_GB2312" w:eastAsia="仿宋_GB2312" w:hAnsi="Calibri" w:cs="宋体"/>
                <w:color w:val="000000"/>
                <w:sz w:val="24"/>
              </w:rPr>
              <w:t>100.26%</w:t>
            </w:r>
          </w:p>
        </w:tc>
      </w:tr>
    </w:tbl>
    <w:p w:rsidR="00DE496A" w:rsidRDefault="00DE496A" w:rsidP="00DE496A">
      <w:pPr>
        <w:spacing w:line="360" w:lineRule="auto"/>
        <w:ind w:firstLine="482"/>
        <w:rPr>
          <w:rFonts w:ascii="仿宋_GB2312" w:eastAsia="仿宋_GB2312" w:hAnsi="Calibri"/>
          <w:sz w:val="24"/>
          <w:szCs w:val="24"/>
        </w:rPr>
      </w:pPr>
      <w:r w:rsidRPr="00756460">
        <w:rPr>
          <w:rFonts w:ascii="仿宋_GB2312" w:eastAsia="仿宋_GB2312" w:hint="eastAsia"/>
          <w:b/>
          <w:bCs/>
          <w:sz w:val="24"/>
          <w:szCs w:val="24"/>
        </w:rPr>
        <w:t>4.2 报告期内产品投资策略和组合流动性风险分析</w:t>
      </w:r>
    </w:p>
    <w:p w:rsidR="00C319B4" w:rsidRPr="009C2EE7" w:rsidRDefault="00C319B4" w:rsidP="00C319B4">
      <w:pPr>
        <w:rPr>
          <w:rFonts w:ascii="仿宋_GB2312" w:eastAsia="仿宋_GB2312"/>
          <w:color w:val="000000"/>
          <w:sz w:val="24"/>
          <w:szCs w:val="24"/>
        </w:rPr>
      </w:pPr>
      <w:r w:rsidRPr="00E30895">
        <w:rPr>
          <w:rFonts w:ascii="仿宋_GB2312" w:eastAsia="仿宋_GB2312" w:hint="eastAsia"/>
          <w:color w:val="000000"/>
          <w:sz w:val="24"/>
          <w:szCs w:val="24"/>
        </w:rPr>
        <w:t>报告期内，</w:t>
      </w:r>
      <w:r w:rsidR="005D1D49" w:rsidRPr="00E30895">
        <w:rPr>
          <w:rFonts w:ascii="仿宋_GB2312" w:eastAsia="仿宋_GB2312" w:hint="eastAsia"/>
          <w:color w:val="000000"/>
          <w:sz w:val="24"/>
          <w:szCs w:val="24"/>
        </w:rPr>
        <w:t>十年期国债收益率收在2.78%</w:t>
      </w:r>
      <w:r w:rsidR="005D1D49">
        <w:rPr>
          <w:rFonts w:ascii="仿宋_GB2312" w:eastAsia="仿宋_GB2312" w:hint="eastAsia"/>
          <w:color w:val="000000"/>
          <w:sz w:val="24"/>
          <w:szCs w:val="24"/>
        </w:rPr>
        <w:t>位置</w:t>
      </w:r>
      <w:bookmarkStart w:id="0" w:name="_GoBack"/>
      <w:bookmarkEnd w:id="0"/>
      <w:r w:rsidRPr="00E30895">
        <w:rPr>
          <w:rFonts w:ascii="仿宋_GB2312" w:eastAsia="仿宋_GB2312" w:hint="eastAsia"/>
          <w:color w:val="000000"/>
          <w:sz w:val="24"/>
          <w:szCs w:val="24"/>
        </w:rPr>
        <w:t>，债券收益率整体呈下行趋势。本产品以配置中</w:t>
      </w:r>
      <w:proofErr w:type="gramStart"/>
      <w:r w:rsidRPr="00E30895">
        <w:rPr>
          <w:rFonts w:ascii="仿宋_GB2312" w:eastAsia="仿宋_GB2312" w:hint="eastAsia"/>
          <w:color w:val="000000"/>
          <w:sz w:val="24"/>
          <w:szCs w:val="24"/>
        </w:rPr>
        <w:t>短久期</w:t>
      </w:r>
      <w:proofErr w:type="gramEnd"/>
      <w:r w:rsidRPr="00E30895">
        <w:rPr>
          <w:rFonts w:ascii="仿宋_GB2312" w:eastAsia="仿宋_GB2312" w:hint="eastAsia"/>
          <w:color w:val="000000"/>
          <w:sz w:val="24"/>
          <w:szCs w:val="24"/>
        </w:rPr>
        <w:t>的高等级信用</w:t>
      </w:r>
      <w:proofErr w:type="gramStart"/>
      <w:r w:rsidRPr="00E30895">
        <w:rPr>
          <w:rFonts w:ascii="仿宋_GB2312" w:eastAsia="仿宋_GB2312" w:hint="eastAsia"/>
          <w:color w:val="000000"/>
          <w:sz w:val="24"/>
          <w:szCs w:val="24"/>
        </w:rPr>
        <w:t>债为主</w:t>
      </w:r>
      <w:proofErr w:type="gramEnd"/>
      <w:r w:rsidRPr="00E30895">
        <w:rPr>
          <w:rFonts w:ascii="仿宋_GB2312" w:eastAsia="仿宋_GB2312" w:hint="eastAsia"/>
          <w:color w:val="000000"/>
          <w:sz w:val="24"/>
          <w:szCs w:val="24"/>
        </w:rPr>
        <w:t>,通过分散化投资以及行内评审会流程精选个</w:t>
      </w:r>
      <w:proofErr w:type="gramStart"/>
      <w:r w:rsidRPr="00E30895">
        <w:rPr>
          <w:rFonts w:ascii="仿宋_GB2312" w:eastAsia="仿宋_GB2312" w:hint="eastAsia"/>
          <w:color w:val="000000"/>
          <w:sz w:val="24"/>
          <w:szCs w:val="24"/>
        </w:rPr>
        <w:t>券</w:t>
      </w:r>
      <w:proofErr w:type="gramEnd"/>
      <w:r w:rsidRPr="00E30895">
        <w:rPr>
          <w:rFonts w:ascii="仿宋_GB2312" w:eastAsia="仿宋_GB2312" w:hint="eastAsia"/>
          <w:color w:val="000000"/>
          <w:sz w:val="24"/>
          <w:szCs w:val="24"/>
        </w:rPr>
        <w:t>，构建具有较好流动性、</w:t>
      </w:r>
      <w:proofErr w:type="gramStart"/>
      <w:r w:rsidRPr="00E30895">
        <w:rPr>
          <w:rFonts w:ascii="仿宋_GB2312" w:eastAsia="仿宋_GB2312" w:hint="eastAsia"/>
          <w:color w:val="000000"/>
          <w:sz w:val="24"/>
          <w:szCs w:val="24"/>
        </w:rPr>
        <w:t>久期适中</w:t>
      </w:r>
      <w:proofErr w:type="gramEnd"/>
      <w:r w:rsidRPr="00E30895">
        <w:rPr>
          <w:rFonts w:ascii="仿宋_GB2312" w:eastAsia="仿宋_GB2312" w:hint="eastAsia"/>
          <w:color w:val="000000"/>
          <w:sz w:val="24"/>
          <w:szCs w:val="24"/>
        </w:rPr>
        <w:t>、信用风险可控的优质债券组合。本产品持仓以高评级信用债为主，杠杆率控制在合理水平，组合的流动性风险处于合理可控水平。</w:t>
      </w:r>
    </w:p>
    <w:p w:rsidR="00DE496A" w:rsidRPr="00C319B4" w:rsidRDefault="00DE496A" w:rsidP="00DE496A">
      <w:pPr>
        <w:rPr>
          <w:rFonts w:ascii="仿宋_GB2312" w:eastAsia="仿宋_GB2312" w:hAnsi="Calibri"/>
          <w:sz w:val="24"/>
          <w:szCs w:val="24"/>
        </w:rPr>
      </w:pPr>
    </w:p>
    <w:p w:rsidR="00DE496A" w:rsidRDefault="00DE496A" w:rsidP="00DE496A">
      <w:pPr>
        <w:spacing w:line="360" w:lineRule="auto"/>
        <w:ind w:firstLineChars="200" w:firstLine="482"/>
        <w:rPr>
          <w:rFonts w:ascii="仿宋_GB2312" w:eastAsia="仿宋_GB2312" w:hAnsiTheme="minorEastAsia"/>
          <w:b/>
          <w:bCs/>
          <w:sz w:val="24"/>
          <w:szCs w:val="24"/>
        </w:rPr>
      </w:pPr>
      <w:r>
        <w:rPr>
          <w:rFonts w:ascii="仿宋_GB2312" w:eastAsia="仿宋_GB2312" w:hAnsiTheme="minorEastAsia"/>
          <w:b/>
          <w:bCs/>
          <w:sz w:val="24"/>
          <w:szCs w:val="24"/>
        </w:rPr>
        <w:t>4.3报告期末占比前十项资产明细</w:t>
      </w:r>
    </w:p>
    <w:tbl>
      <w:tblPr>
        <w:tblW w:w="907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139"/>
        <w:gridCol w:w="2268"/>
        <w:gridCol w:w="2835"/>
        <w:gridCol w:w="2835"/>
      </w:tblGrid>
      <w:tr w:rsidR="00DE496A" w:rsidTr="00B00579">
        <w:trPr>
          <w:trHeight w:val="296"/>
        </w:trPr>
        <w:tc>
          <w:tcPr>
            <w:tcW w:w="1139" w:type="dxa"/>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序号</w:t>
            </w:r>
          </w:p>
        </w:tc>
        <w:tc>
          <w:tcPr>
            <w:tcW w:w="2268" w:type="dxa"/>
            <w:tcMar>
              <w:top w:w="15" w:type="dxa"/>
              <w:left w:w="15" w:type="dxa"/>
              <w:bottom w:w="0" w:type="dxa"/>
              <w:right w:w="15" w:type="dxa"/>
            </w:tcMar>
            <w:vAlign w:val="center"/>
          </w:tcPr>
          <w:p w:rsidR="00DE496A" w:rsidRDefault="00DE496A" w:rsidP="00B00579">
            <w:pPr>
              <w:pStyle w:val="xl33"/>
              <w:widowControl w:val="0"/>
              <w:pBdr>
                <w:left w:val="none" w:sz="0" w:space="0" w:color="auto"/>
                <w:bottom w:val="none" w:sz="0" w:space="0" w:color="auto"/>
                <w:right w:val="none" w:sz="0" w:space="0" w:color="auto"/>
              </w:pBdr>
              <w:adjustRightInd w:val="0"/>
              <w:snapToGrid w:val="0"/>
              <w:spacing w:before="0" w:beforeAutospacing="0" w:after="0" w:afterAutospacing="0" w:line="360" w:lineRule="auto"/>
              <w:rPr>
                <w:rFonts w:ascii="仿宋_GB2312" w:eastAsia="仿宋_GB2312" w:hAnsiTheme="minorEastAsia" w:cs="Times New Roman"/>
                <w:color w:val="000000"/>
                <w:kern w:val="2"/>
              </w:rPr>
            </w:pPr>
            <w:r>
              <w:rPr>
                <w:rFonts w:ascii="仿宋_GB2312" w:eastAsia="仿宋_GB2312" w:hAnsiTheme="minorEastAsia" w:cs="Times New Roman" w:hint="eastAsia"/>
                <w:color w:val="000000"/>
                <w:kern w:val="2"/>
              </w:rPr>
              <w:t>资产名称</w:t>
            </w:r>
          </w:p>
        </w:tc>
        <w:tc>
          <w:tcPr>
            <w:tcW w:w="2835"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资产规模</w:t>
            </w:r>
          </w:p>
        </w:tc>
        <w:tc>
          <w:tcPr>
            <w:tcW w:w="2835" w:type="dxa"/>
            <w:tcMar>
              <w:top w:w="15" w:type="dxa"/>
              <w:left w:w="15" w:type="dxa"/>
              <w:bottom w:w="0" w:type="dxa"/>
              <w:right w:w="15" w:type="dxa"/>
            </w:tcMar>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占产品资产净值比例</w:t>
            </w:r>
          </w:p>
        </w:tc>
      </w:tr>
      <w:tr w:rsidR="00DE496A" w:rsidTr="00B00579">
        <w:trPr>
          <w:trHeight w:val="296"/>
        </w:trPr>
        <w:tc>
          <w:tcPr>
            <w:tcW w:w="1139"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w:t>
            </w:r>
          </w:p>
        </w:tc>
        <w:tc>
          <w:tcPr>
            <w:tcW w:w="2268" w:type="dxa"/>
            <w:tcMar>
              <w:top w:w="15" w:type="dxa"/>
              <w:left w:w="15" w:type="dxa"/>
              <w:bottom w:w="0" w:type="dxa"/>
              <w:right w:w="15" w:type="dxa"/>
            </w:tcMa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17交通银行二级</w:t>
            </w:r>
          </w:p>
        </w:tc>
        <w:tc>
          <w:tcPr>
            <w:tcW w:w="2835" w:type="dxa"/>
          </w:tcPr>
          <w:p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30,159,000.00</w:t>
            </w:r>
          </w:p>
        </w:tc>
        <w:tc>
          <w:tcPr>
            <w:tcW w:w="2835" w:type="dxa"/>
            <w:tcMar>
              <w:top w:w="15" w:type="dxa"/>
              <w:left w:w="15" w:type="dxa"/>
              <w:bottom w:w="0" w:type="dxa"/>
              <w:right w:w="15" w:type="dxa"/>
            </w:tcMar>
          </w:tcPr>
          <w:p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8.30%</w:t>
            </w:r>
          </w:p>
        </w:tc>
      </w:tr>
      <w:tr w:rsidR="00804CB1">
        <w:tc>
          <w:tcPr>
            <w:tcW w:w="1139" w:type="dxa"/>
          </w:tcPr>
          <w:p w:rsidR="00804CB1" w:rsidRDefault="00BD02FE">
            <w:pPr>
              <w:jc w:val="center"/>
            </w:pPr>
            <w:r>
              <w:rPr>
                <w:rFonts w:ascii="仿宋_GB2312" w:eastAsia="仿宋_GB2312" w:hAnsi="Calibri" w:cs="宋体"/>
                <w:color w:val="000000"/>
                <w:sz w:val="24"/>
              </w:rPr>
              <w:t>2</w:t>
            </w:r>
          </w:p>
        </w:tc>
        <w:tc>
          <w:tcPr>
            <w:tcW w:w="2268"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17邮储银行二级01</w:t>
            </w:r>
          </w:p>
        </w:tc>
        <w:tc>
          <w:tcPr>
            <w:tcW w:w="2835" w:type="dxa"/>
          </w:tcPr>
          <w:p w:rsidR="00804CB1" w:rsidRDefault="00BD02FE">
            <w:pPr>
              <w:jc w:val="center"/>
            </w:pPr>
            <w:r>
              <w:rPr>
                <w:rFonts w:ascii="仿宋_GB2312" w:eastAsia="仿宋_GB2312" w:hAnsi="Calibri" w:cs="宋体"/>
                <w:color w:val="000000"/>
                <w:sz w:val="24"/>
              </w:rPr>
              <w:t>30,126,000.00</w:t>
            </w:r>
          </w:p>
        </w:tc>
        <w:tc>
          <w:tcPr>
            <w:tcW w:w="2835"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8.29%</w:t>
            </w:r>
          </w:p>
        </w:tc>
      </w:tr>
      <w:tr w:rsidR="00804CB1">
        <w:tc>
          <w:tcPr>
            <w:tcW w:w="1139" w:type="dxa"/>
          </w:tcPr>
          <w:p w:rsidR="00804CB1" w:rsidRDefault="00BD02FE">
            <w:pPr>
              <w:jc w:val="center"/>
            </w:pPr>
            <w:r>
              <w:rPr>
                <w:rFonts w:ascii="仿宋_GB2312" w:eastAsia="仿宋_GB2312" w:hAnsi="Calibri" w:cs="宋体"/>
                <w:color w:val="000000"/>
                <w:sz w:val="24"/>
              </w:rPr>
              <w:t>3</w:t>
            </w:r>
          </w:p>
        </w:tc>
        <w:tc>
          <w:tcPr>
            <w:tcW w:w="2268"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19江北新区PPN001</w:t>
            </w:r>
          </w:p>
        </w:tc>
        <w:tc>
          <w:tcPr>
            <w:tcW w:w="2835" w:type="dxa"/>
          </w:tcPr>
          <w:p w:rsidR="00804CB1" w:rsidRDefault="00BD02FE">
            <w:pPr>
              <w:jc w:val="center"/>
            </w:pPr>
            <w:r>
              <w:rPr>
                <w:rFonts w:ascii="仿宋_GB2312" w:eastAsia="仿宋_GB2312" w:hAnsi="Calibri" w:cs="宋体"/>
                <w:color w:val="000000"/>
                <w:sz w:val="24"/>
              </w:rPr>
              <w:t>30,117,000.00</w:t>
            </w:r>
          </w:p>
        </w:tc>
        <w:tc>
          <w:tcPr>
            <w:tcW w:w="2835"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8.29%</w:t>
            </w:r>
          </w:p>
        </w:tc>
      </w:tr>
      <w:tr w:rsidR="00804CB1">
        <w:tc>
          <w:tcPr>
            <w:tcW w:w="1139" w:type="dxa"/>
          </w:tcPr>
          <w:p w:rsidR="00804CB1" w:rsidRDefault="00BD02FE">
            <w:pPr>
              <w:jc w:val="center"/>
            </w:pPr>
            <w:r>
              <w:rPr>
                <w:rFonts w:ascii="仿宋_GB2312" w:eastAsia="仿宋_GB2312" w:hAnsi="Calibri" w:cs="宋体"/>
                <w:color w:val="000000"/>
                <w:sz w:val="24"/>
              </w:rPr>
              <w:t>4</w:t>
            </w:r>
          </w:p>
        </w:tc>
        <w:tc>
          <w:tcPr>
            <w:tcW w:w="2268"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21新疆交投SCP002</w:t>
            </w:r>
          </w:p>
        </w:tc>
        <w:tc>
          <w:tcPr>
            <w:tcW w:w="2835" w:type="dxa"/>
          </w:tcPr>
          <w:p w:rsidR="00804CB1" w:rsidRDefault="00BD02FE">
            <w:pPr>
              <w:jc w:val="center"/>
            </w:pPr>
            <w:r>
              <w:rPr>
                <w:rFonts w:ascii="仿宋_GB2312" w:eastAsia="仿宋_GB2312" w:hAnsi="Calibri" w:cs="宋体"/>
                <w:color w:val="000000"/>
                <w:sz w:val="24"/>
              </w:rPr>
              <w:t>30,066,000.00</w:t>
            </w:r>
          </w:p>
        </w:tc>
        <w:tc>
          <w:tcPr>
            <w:tcW w:w="2835"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8.27%</w:t>
            </w:r>
          </w:p>
        </w:tc>
      </w:tr>
      <w:tr w:rsidR="00804CB1">
        <w:tc>
          <w:tcPr>
            <w:tcW w:w="1139" w:type="dxa"/>
          </w:tcPr>
          <w:p w:rsidR="00804CB1" w:rsidRDefault="00BD02FE">
            <w:pPr>
              <w:jc w:val="center"/>
            </w:pPr>
            <w:r>
              <w:rPr>
                <w:rFonts w:ascii="仿宋_GB2312" w:eastAsia="仿宋_GB2312" w:hAnsi="Calibri" w:cs="宋体"/>
                <w:color w:val="000000"/>
                <w:sz w:val="24"/>
              </w:rPr>
              <w:t>5</w:t>
            </w:r>
          </w:p>
        </w:tc>
        <w:tc>
          <w:tcPr>
            <w:tcW w:w="2268"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21天津轨交SCP002</w:t>
            </w:r>
          </w:p>
        </w:tc>
        <w:tc>
          <w:tcPr>
            <w:tcW w:w="2835" w:type="dxa"/>
          </w:tcPr>
          <w:p w:rsidR="00804CB1" w:rsidRDefault="00BD02FE">
            <w:pPr>
              <w:jc w:val="center"/>
            </w:pPr>
            <w:r>
              <w:rPr>
                <w:rFonts w:ascii="仿宋_GB2312" w:eastAsia="仿宋_GB2312" w:hAnsi="Calibri" w:cs="宋体"/>
                <w:color w:val="000000"/>
                <w:sz w:val="24"/>
              </w:rPr>
              <w:t>30,030,000.00</w:t>
            </w:r>
          </w:p>
        </w:tc>
        <w:tc>
          <w:tcPr>
            <w:tcW w:w="2835"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8.26%</w:t>
            </w:r>
          </w:p>
        </w:tc>
      </w:tr>
      <w:tr w:rsidR="00804CB1">
        <w:tc>
          <w:tcPr>
            <w:tcW w:w="1139" w:type="dxa"/>
          </w:tcPr>
          <w:p w:rsidR="00804CB1" w:rsidRDefault="00BD02FE">
            <w:pPr>
              <w:jc w:val="center"/>
            </w:pPr>
            <w:r>
              <w:rPr>
                <w:rFonts w:ascii="仿宋_GB2312" w:eastAsia="仿宋_GB2312" w:hAnsi="Calibri" w:cs="宋体"/>
                <w:color w:val="000000"/>
                <w:sz w:val="24"/>
              </w:rPr>
              <w:t>6</w:t>
            </w:r>
          </w:p>
        </w:tc>
        <w:tc>
          <w:tcPr>
            <w:tcW w:w="2268"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21可克达拉CP001</w:t>
            </w:r>
          </w:p>
        </w:tc>
        <w:tc>
          <w:tcPr>
            <w:tcW w:w="2835" w:type="dxa"/>
          </w:tcPr>
          <w:p w:rsidR="00804CB1" w:rsidRDefault="00BD02FE">
            <w:pPr>
              <w:jc w:val="center"/>
            </w:pPr>
            <w:r>
              <w:rPr>
                <w:rFonts w:ascii="仿宋_GB2312" w:eastAsia="仿宋_GB2312" w:hAnsi="Calibri" w:cs="宋体"/>
                <w:color w:val="000000"/>
                <w:sz w:val="24"/>
              </w:rPr>
              <w:t>29,898,000.00</w:t>
            </w:r>
          </w:p>
        </w:tc>
        <w:tc>
          <w:tcPr>
            <w:tcW w:w="2835"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8.23%</w:t>
            </w:r>
          </w:p>
        </w:tc>
      </w:tr>
      <w:tr w:rsidR="00804CB1">
        <w:tc>
          <w:tcPr>
            <w:tcW w:w="1139" w:type="dxa"/>
          </w:tcPr>
          <w:p w:rsidR="00804CB1" w:rsidRDefault="00BD02FE">
            <w:pPr>
              <w:jc w:val="center"/>
            </w:pPr>
            <w:r>
              <w:rPr>
                <w:rFonts w:ascii="仿宋_GB2312" w:eastAsia="仿宋_GB2312" w:hAnsi="Calibri" w:cs="宋体"/>
                <w:color w:val="000000"/>
                <w:sz w:val="24"/>
              </w:rPr>
              <w:t>7</w:t>
            </w:r>
          </w:p>
        </w:tc>
        <w:tc>
          <w:tcPr>
            <w:tcW w:w="2268"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21融一ABN002优先</w:t>
            </w:r>
          </w:p>
        </w:tc>
        <w:tc>
          <w:tcPr>
            <w:tcW w:w="2835" w:type="dxa"/>
          </w:tcPr>
          <w:p w:rsidR="00804CB1" w:rsidRDefault="00BD02FE">
            <w:pPr>
              <w:jc w:val="center"/>
            </w:pPr>
            <w:r>
              <w:rPr>
                <w:rFonts w:ascii="仿宋_GB2312" w:eastAsia="仿宋_GB2312" w:hAnsi="Calibri" w:cs="宋体"/>
                <w:color w:val="000000"/>
                <w:sz w:val="24"/>
              </w:rPr>
              <w:t>23,856,000.00</w:t>
            </w:r>
          </w:p>
        </w:tc>
        <w:tc>
          <w:tcPr>
            <w:tcW w:w="2835"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6.57%</w:t>
            </w:r>
          </w:p>
        </w:tc>
      </w:tr>
      <w:tr w:rsidR="00804CB1">
        <w:tc>
          <w:tcPr>
            <w:tcW w:w="1139" w:type="dxa"/>
          </w:tcPr>
          <w:p w:rsidR="00804CB1" w:rsidRDefault="00BD02FE">
            <w:pPr>
              <w:jc w:val="center"/>
            </w:pPr>
            <w:r>
              <w:rPr>
                <w:rFonts w:ascii="仿宋_GB2312" w:eastAsia="仿宋_GB2312" w:hAnsi="Calibri" w:cs="宋体"/>
                <w:color w:val="000000"/>
                <w:sz w:val="24"/>
              </w:rPr>
              <w:t>8</w:t>
            </w:r>
          </w:p>
        </w:tc>
        <w:tc>
          <w:tcPr>
            <w:tcW w:w="2268"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19工商银行永续债</w:t>
            </w:r>
          </w:p>
        </w:tc>
        <w:tc>
          <w:tcPr>
            <w:tcW w:w="2835" w:type="dxa"/>
          </w:tcPr>
          <w:p w:rsidR="00804CB1" w:rsidRDefault="00BD02FE">
            <w:pPr>
              <w:jc w:val="center"/>
            </w:pPr>
            <w:r>
              <w:rPr>
                <w:rFonts w:ascii="仿宋_GB2312" w:eastAsia="仿宋_GB2312" w:hAnsi="Calibri" w:cs="宋体"/>
                <w:color w:val="000000"/>
                <w:sz w:val="24"/>
              </w:rPr>
              <w:t>20,672,000.00</w:t>
            </w:r>
          </w:p>
        </w:tc>
        <w:tc>
          <w:tcPr>
            <w:tcW w:w="2835"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5.69%</w:t>
            </w:r>
          </w:p>
        </w:tc>
      </w:tr>
      <w:tr w:rsidR="00804CB1">
        <w:tc>
          <w:tcPr>
            <w:tcW w:w="1139" w:type="dxa"/>
          </w:tcPr>
          <w:p w:rsidR="00804CB1" w:rsidRDefault="00BD02FE">
            <w:pPr>
              <w:jc w:val="center"/>
            </w:pPr>
            <w:r>
              <w:rPr>
                <w:rFonts w:ascii="仿宋_GB2312" w:eastAsia="仿宋_GB2312" w:hAnsi="Calibri" w:cs="宋体"/>
                <w:color w:val="000000"/>
                <w:sz w:val="24"/>
              </w:rPr>
              <w:t>9</w:t>
            </w:r>
          </w:p>
        </w:tc>
        <w:tc>
          <w:tcPr>
            <w:tcW w:w="2268"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21晋能电力MTN003</w:t>
            </w:r>
          </w:p>
        </w:tc>
        <w:tc>
          <w:tcPr>
            <w:tcW w:w="2835" w:type="dxa"/>
          </w:tcPr>
          <w:p w:rsidR="00804CB1" w:rsidRDefault="00BD02FE">
            <w:pPr>
              <w:jc w:val="center"/>
            </w:pPr>
            <w:r>
              <w:rPr>
                <w:rFonts w:ascii="仿宋_GB2312" w:eastAsia="仿宋_GB2312" w:hAnsi="Calibri" w:cs="宋体"/>
                <w:color w:val="000000"/>
                <w:sz w:val="24"/>
              </w:rPr>
              <w:t>20,292,000.00</w:t>
            </w:r>
          </w:p>
        </w:tc>
        <w:tc>
          <w:tcPr>
            <w:tcW w:w="2835"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5.58%</w:t>
            </w:r>
          </w:p>
        </w:tc>
      </w:tr>
      <w:tr w:rsidR="00804CB1">
        <w:tc>
          <w:tcPr>
            <w:tcW w:w="1139" w:type="dxa"/>
          </w:tcPr>
          <w:p w:rsidR="00804CB1" w:rsidRDefault="00BD02FE">
            <w:pPr>
              <w:jc w:val="center"/>
            </w:pPr>
            <w:r>
              <w:rPr>
                <w:rFonts w:ascii="仿宋_GB2312" w:eastAsia="仿宋_GB2312" w:hAnsi="Calibri" w:cs="宋体"/>
                <w:color w:val="000000"/>
                <w:sz w:val="24"/>
              </w:rPr>
              <w:t>10</w:t>
            </w:r>
          </w:p>
        </w:tc>
        <w:tc>
          <w:tcPr>
            <w:tcW w:w="2268"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19宁海交通MTN002</w:t>
            </w:r>
          </w:p>
        </w:tc>
        <w:tc>
          <w:tcPr>
            <w:tcW w:w="2835" w:type="dxa"/>
          </w:tcPr>
          <w:p w:rsidR="00804CB1" w:rsidRDefault="00BD02FE">
            <w:pPr>
              <w:jc w:val="center"/>
            </w:pPr>
            <w:r>
              <w:rPr>
                <w:rFonts w:ascii="仿宋_GB2312" w:eastAsia="仿宋_GB2312" w:hAnsi="Calibri" w:cs="宋体"/>
                <w:color w:val="000000"/>
                <w:sz w:val="24"/>
              </w:rPr>
              <w:t>20,120,000.00</w:t>
            </w:r>
          </w:p>
        </w:tc>
        <w:tc>
          <w:tcPr>
            <w:tcW w:w="2835" w:type="dxa"/>
            <w:tcMar>
              <w:top w:w="15" w:type="dxa"/>
              <w:left w:w="15" w:type="dxa"/>
              <w:bottom w:w="0" w:type="dxa"/>
              <w:right w:w="15" w:type="dxa"/>
            </w:tcMar>
          </w:tcPr>
          <w:p w:rsidR="00804CB1" w:rsidRDefault="00BD02FE">
            <w:pPr>
              <w:jc w:val="center"/>
            </w:pPr>
            <w:r>
              <w:rPr>
                <w:rFonts w:ascii="仿宋_GB2312" w:eastAsia="仿宋_GB2312" w:hAnsi="Calibri" w:cs="宋体"/>
                <w:color w:val="000000"/>
                <w:sz w:val="24"/>
              </w:rPr>
              <w:t>5.54%</w:t>
            </w:r>
          </w:p>
        </w:tc>
      </w:tr>
    </w:tbl>
    <w:p w:rsidR="00DE496A" w:rsidRPr="00DD633B" w:rsidRDefault="00DE496A" w:rsidP="00DE496A">
      <w:pPr>
        <w:rPr>
          <w:rFonts w:ascii="仿宋_GB2312" w:eastAsia="仿宋_GB2312" w:hAnsi="Calibri"/>
          <w:sz w:val="24"/>
          <w:szCs w:val="24"/>
        </w:rPr>
      </w:pPr>
    </w:p>
    <w:p w:rsidR="00DE496A" w:rsidRDefault="00DE496A" w:rsidP="00DE496A">
      <w:pPr>
        <w:adjustRightInd w:val="0"/>
        <w:snapToGrid w:val="0"/>
        <w:spacing w:line="360" w:lineRule="auto"/>
        <w:ind w:firstLineChars="200" w:firstLine="482"/>
        <w:rPr>
          <w:rFonts w:ascii="仿宋_GB2312" w:eastAsia="仿宋_GB2312" w:hAnsiTheme="minorEastAsia"/>
          <w:b/>
          <w:bCs/>
          <w:sz w:val="24"/>
          <w:szCs w:val="24"/>
        </w:rPr>
      </w:pPr>
      <w:r>
        <w:rPr>
          <w:rFonts w:ascii="仿宋_GB2312" w:eastAsia="仿宋_GB2312"/>
          <w:b/>
          <w:bCs/>
          <w:sz w:val="24"/>
          <w:szCs w:val="24"/>
        </w:rPr>
        <w:t xml:space="preserve"> </w:t>
      </w:r>
      <w:r>
        <w:rPr>
          <w:rFonts w:ascii="仿宋_GB2312" w:eastAsia="仿宋_GB2312" w:hAnsiTheme="minorEastAsia"/>
          <w:b/>
          <w:bCs/>
          <w:sz w:val="24"/>
          <w:szCs w:val="24"/>
        </w:rPr>
        <w:t>4.4报告期末非标准化债权</w:t>
      </w:r>
      <w:r>
        <w:rPr>
          <w:rStyle w:val="a9"/>
          <w:rFonts w:ascii="仿宋_GB2312" w:eastAsia="仿宋_GB2312" w:hAnsiTheme="minorEastAsia"/>
          <w:b/>
          <w:bCs/>
          <w:sz w:val="24"/>
          <w:szCs w:val="24"/>
        </w:rPr>
        <w:footnoteReference w:id="2"/>
      </w:r>
      <w:r>
        <w:rPr>
          <w:rFonts w:ascii="仿宋_GB2312" w:eastAsia="仿宋_GB2312" w:hAnsiTheme="minorEastAsia" w:hint="eastAsia"/>
          <w:b/>
          <w:bCs/>
          <w:sz w:val="24"/>
          <w:szCs w:val="24"/>
        </w:rPr>
        <w:t>投资明细（选填）</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134"/>
        <w:gridCol w:w="1312"/>
        <w:gridCol w:w="1382"/>
        <w:gridCol w:w="1419"/>
        <w:gridCol w:w="2972"/>
      </w:tblGrid>
      <w:tr w:rsidR="00DE496A" w:rsidTr="00B00579">
        <w:tc>
          <w:tcPr>
            <w:tcW w:w="85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序号</w:t>
            </w:r>
          </w:p>
        </w:tc>
        <w:tc>
          <w:tcPr>
            <w:tcW w:w="1134"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融资客户</w:t>
            </w:r>
          </w:p>
        </w:tc>
        <w:tc>
          <w:tcPr>
            <w:tcW w:w="131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资产名称</w:t>
            </w:r>
          </w:p>
        </w:tc>
        <w:tc>
          <w:tcPr>
            <w:tcW w:w="138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剩余融资期限</w:t>
            </w:r>
          </w:p>
        </w:tc>
        <w:tc>
          <w:tcPr>
            <w:tcW w:w="1419"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交易结构</w:t>
            </w:r>
          </w:p>
        </w:tc>
        <w:tc>
          <w:tcPr>
            <w:tcW w:w="297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占产品资产净值比例</w:t>
            </w:r>
          </w:p>
        </w:tc>
      </w:tr>
      <w:tr w:rsidR="00D601E1" w:rsidTr="00B00579">
        <w:tc>
          <w:tcPr>
            <w:tcW w:w="852" w:type="dxa"/>
            <w:vAlign w:val="center"/>
          </w:tcPr>
          <w:p w:rsidR="00D601E1" w:rsidRDefault="00D601E1" w:rsidP="00023644">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134"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12"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82" w:type="dxa"/>
            <w:vAlign w:val="center"/>
          </w:tcPr>
          <w:p w:rsidR="00D601E1" w:rsidRPr="00E1579D"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419"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c>
          <w:tcPr>
            <w:tcW w:w="2972"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r>
    </w:tbl>
    <w:p w:rsidR="00DE496A" w:rsidRDefault="00DE496A" w:rsidP="00DE496A">
      <w:pPr>
        <w:adjustRightInd w:val="0"/>
        <w:snapToGrid w:val="0"/>
        <w:spacing w:line="360" w:lineRule="auto"/>
        <w:rPr>
          <w:rFonts w:ascii="仿宋_GB2312" w:eastAsia="仿宋_GB2312" w:hAnsiTheme="minorEastAsia"/>
          <w:bCs/>
          <w:sz w:val="24"/>
          <w:szCs w:val="24"/>
        </w:rPr>
      </w:pPr>
      <w:r>
        <w:rPr>
          <w:rFonts w:ascii="仿宋_GB2312" w:eastAsia="仿宋_GB2312" w:hAnsiTheme="minorEastAsia" w:hint="eastAsia"/>
          <w:bCs/>
          <w:sz w:val="24"/>
          <w:szCs w:val="24"/>
        </w:rPr>
        <w:t>注：</w:t>
      </w:r>
      <w:r>
        <w:rPr>
          <w:rFonts w:ascii="仿宋_GB2312" w:eastAsia="仿宋_GB2312" w:hAnsiTheme="minorEastAsia"/>
          <w:bCs/>
          <w:sz w:val="24"/>
          <w:szCs w:val="24"/>
        </w:rPr>
        <w:t>1.截至期末，上述非标准化债权均按照合同约定按时分配收益；</w:t>
      </w:r>
    </w:p>
    <w:p w:rsidR="00FC64B6" w:rsidRDefault="00DE496A" w:rsidP="0041011E">
      <w:pPr>
        <w:snapToGrid w:val="0"/>
        <w:spacing w:line="360" w:lineRule="auto"/>
        <w:ind w:firstLine="480"/>
        <w:rPr>
          <w:rFonts w:ascii="仿宋_GB2312" w:eastAsia="仿宋_GB2312" w:hAnsiTheme="minorEastAsia"/>
          <w:bCs/>
          <w:sz w:val="24"/>
          <w:szCs w:val="24"/>
        </w:rPr>
      </w:pPr>
      <w:r>
        <w:rPr>
          <w:rFonts w:ascii="仿宋_GB2312" w:eastAsia="仿宋_GB2312" w:hAnsiTheme="minorEastAsia"/>
          <w:bCs/>
          <w:sz w:val="24"/>
          <w:szCs w:val="24"/>
        </w:rPr>
        <w:t>2.截至期末，上述非标准化债权未出现无法履行本金及收益兑付的实际情况。</w:t>
      </w: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5</w:t>
      </w:r>
      <w:r w:rsidRPr="006E00B8">
        <w:rPr>
          <w:rFonts w:ascii="仿宋_GB2312" w:eastAsia="仿宋_GB2312"/>
          <w:b/>
          <w:sz w:val="24"/>
          <w:szCs w:val="24"/>
        </w:rPr>
        <w:t> </w:t>
      </w:r>
      <w:r w:rsidRPr="006E00B8">
        <w:rPr>
          <w:rFonts w:ascii="仿宋_GB2312" w:eastAsia="仿宋_GB2312" w:hint="eastAsia"/>
          <w:b/>
          <w:sz w:val="24"/>
          <w:szCs w:val="24"/>
        </w:rPr>
        <w:t>.关联交易（如有）</w:t>
      </w:r>
    </w:p>
    <w:tbl>
      <w:tblPr>
        <w:tblStyle w:val="ab"/>
        <w:tblW w:w="9180" w:type="dxa"/>
        <w:tblLook w:val="04A0" w:firstRow="1" w:lastRow="0" w:firstColumn="1" w:lastColumn="0" w:noHBand="0" w:noVBand="1"/>
      </w:tblPr>
      <w:tblGrid>
        <w:gridCol w:w="1101"/>
        <w:gridCol w:w="1694"/>
        <w:gridCol w:w="857"/>
        <w:gridCol w:w="1134"/>
        <w:gridCol w:w="1276"/>
        <w:gridCol w:w="3118"/>
      </w:tblGrid>
      <w:tr w:rsidR="009F0B98" w:rsidTr="009F0B98">
        <w:tc>
          <w:tcPr>
            <w:tcW w:w="1101"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left"/>
              <w:rPr>
                <w:rFonts w:ascii="仿宋_GB2312" w:eastAsia="仿宋_GB2312" w:hAnsiTheme="minorEastAsia"/>
                <w:kern w:val="2"/>
                <w:sz w:val="24"/>
                <w:szCs w:val="24"/>
              </w:rPr>
            </w:pPr>
            <w:r>
              <w:rPr>
                <w:rFonts w:ascii="仿宋_GB2312" w:eastAsia="仿宋_GB2312" w:hAnsiTheme="minorEastAsia" w:hint="eastAsia"/>
                <w:sz w:val="24"/>
                <w:szCs w:val="24"/>
              </w:rPr>
              <w:t>序号</w:t>
            </w:r>
          </w:p>
        </w:tc>
        <w:tc>
          <w:tcPr>
            <w:tcW w:w="1694"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关联证券名称</w:t>
            </w:r>
          </w:p>
        </w:tc>
        <w:tc>
          <w:tcPr>
            <w:tcW w:w="857"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规模</w:t>
            </w:r>
          </w:p>
        </w:tc>
        <w:tc>
          <w:tcPr>
            <w:tcW w:w="1134"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占比</w:t>
            </w:r>
          </w:p>
        </w:tc>
        <w:tc>
          <w:tcPr>
            <w:tcW w:w="1276"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关联方名</w:t>
            </w:r>
            <w:r>
              <w:rPr>
                <w:rFonts w:ascii="仿宋_GB2312" w:eastAsia="仿宋_GB2312" w:hAnsiTheme="minorEastAsia" w:hint="eastAsia"/>
                <w:sz w:val="24"/>
                <w:szCs w:val="24"/>
              </w:rPr>
              <w:lastRenderedPageBreak/>
              <w:t>称</w:t>
            </w:r>
          </w:p>
        </w:tc>
        <w:tc>
          <w:tcPr>
            <w:tcW w:w="3118"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lastRenderedPageBreak/>
              <w:t>关联方与本理财产品关联关</w:t>
            </w:r>
            <w:r>
              <w:rPr>
                <w:rFonts w:ascii="仿宋_GB2312" w:eastAsia="仿宋_GB2312" w:hAnsiTheme="minorEastAsia" w:hint="eastAsia"/>
                <w:sz w:val="24"/>
                <w:szCs w:val="24"/>
              </w:rPr>
              <w:lastRenderedPageBreak/>
              <w:t>系</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lastRenderedPageBreak/>
              <w:t>1</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2</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bl>
    <w:p w:rsidR="009F0B98" w:rsidRDefault="009F0B98" w:rsidP="009F0B98">
      <w:pPr>
        <w:snapToGrid w:val="0"/>
        <w:spacing w:line="360" w:lineRule="auto"/>
        <w:rPr>
          <w:rFonts w:ascii="仿宋_GB2312" w:eastAsia="仿宋_GB2312"/>
          <w:b/>
          <w:sz w:val="24"/>
          <w:szCs w:val="24"/>
          <w:highlight w:val="yellow"/>
        </w:rPr>
      </w:pP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6</w:t>
      </w:r>
      <w:r w:rsidRPr="006E00B8">
        <w:rPr>
          <w:rFonts w:ascii="仿宋_GB2312" w:eastAsia="仿宋_GB2312"/>
          <w:b/>
          <w:sz w:val="24"/>
          <w:szCs w:val="24"/>
        </w:rPr>
        <w:t> </w:t>
      </w:r>
      <w:r w:rsidRPr="006E00B8">
        <w:rPr>
          <w:rFonts w:ascii="仿宋_GB2312" w:eastAsia="仿宋_GB2312" w:hint="eastAsia"/>
          <w:b/>
          <w:sz w:val="24"/>
          <w:szCs w:val="24"/>
        </w:rPr>
        <w:t>.影响投资者决策的其他重要信息</w:t>
      </w:r>
    </w:p>
    <w:p w:rsidR="009F0B98" w:rsidRDefault="009F0B98" w:rsidP="009F0B98">
      <w:pPr>
        <w:rPr>
          <w:rFonts w:ascii="仿宋_GB2312" w:eastAsia="仿宋_GB2312"/>
          <w:sz w:val="24"/>
          <w:szCs w:val="24"/>
        </w:rPr>
      </w:pPr>
      <w:r>
        <w:rPr>
          <w:rFonts w:ascii="仿宋_GB2312" w:eastAsia="仿宋_GB2312" w:hint="eastAsia"/>
          <w:sz w:val="24"/>
          <w:szCs w:val="24"/>
        </w:rPr>
        <w:t>无。</w:t>
      </w: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7.托管机构报告</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上海浦东发展银行股份有限公司（以下简称“本托管人”）在对本产品托管过程中，严格遵守《关于规范金融机构资产管理业务的指导意见》（银发〔2018〕106号）、《商业银行理财业务监督管理办法》（银保监会令〔2018〕6号）及其他有关法律法规、产品合同、托管协议的规定，不存在损害产品份额持有人利益的行为，完全尽职尽责地履行了托管人应尽的义务。</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本托管人依照《关于规范金融机构资产管理业务的指导意见》（银发〔2018〕106号）、《商业银行理财业务监督管理办法》（银保监会令〔2018〕6号）及其他有关法律法规、产品合同、托管协议的规定，对本产品的投资运作进行了监督，对本报告中的财务指标、净值表现、投资组合报告等内容进行了认真的复核，未发现产品管理人存在损害产品份额持有人利益的行为。</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本报告期内，由上海浦东发展银行编制的本托管人复核的本报告中的财务指标、净值表现、投资组合报告等内容真实、准确、完整。</w:t>
      </w:r>
    </w:p>
    <w:p w:rsidR="009F0B98" w:rsidRDefault="009F0B98" w:rsidP="009F0B98">
      <w:pPr>
        <w:rPr>
          <w:rFonts w:ascii="仿宋_GB2312" w:eastAsia="仿宋_GB2312"/>
          <w:sz w:val="24"/>
          <w:szCs w:val="24"/>
        </w:rPr>
      </w:pP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8.备查文件</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8.1 备查文件目录</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产品说明书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销售协议</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风险揭示书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投资者权益须知</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8.2 存放地点</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color w:val="000000"/>
          <w:sz w:val="24"/>
          <w:szCs w:val="24"/>
        </w:rPr>
        <w:t>上海市北京东路689号东银大厦</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8.3 查阅方式</w:t>
      </w:r>
    </w:p>
    <w:p w:rsidR="0041011E" w:rsidRPr="0041011E" w:rsidRDefault="009F0B98" w:rsidP="009F0B98">
      <w:pPr>
        <w:snapToGrid w:val="0"/>
        <w:spacing w:line="360" w:lineRule="auto"/>
        <w:ind w:firstLine="480"/>
        <w:rPr>
          <w:rFonts w:ascii="仿宋_GB2312" w:eastAsia="仿宋_GB2312"/>
          <w:b/>
          <w:bCs/>
          <w:sz w:val="24"/>
          <w:szCs w:val="24"/>
        </w:rPr>
      </w:pPr>
      <w:r>
        <w:rPr>
          <w:rFonts w:ascii="仿宋_GB2312" w:eastAsia="仿宋_GB2312" w:hint="eastAsia"/>
          <w:color w:val="000000"/>
          <w:sz w:val="24"/>
          <w:szCs w:val="24"/>
        </w:rPr>
        <w:t>浦发银行官方网站：</w:t>
      </w:r>
      <w:hyperlink r:id="rId6" w:history="1">
        <w:r>
          <w:rPr>
            <w:rStyle w:val="ac"/>
            <w:rFonts w:ascii="仿宋_GB2312" w:eastAsia="仿宋_GB2312" w:hint="eastAsia"/>
            <w:sz w:val="24"/>
            <w:szCs w:val="24"/>
          </w:rPr>
          <w:t>http://www.spdb.com.cn/</w:t>
        </w:r>
      </w:hyperlink>
    </w:p>
    <w:sectPr w:rsidR="0041011E" w:rsidRPr="004101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592" w:rsidRDefault="00707592" w:rsidP="00E61C1A">
      <w:r>
        <w:separator/>
      </w:r>
    </w:p>
  </w:endnote>
  <w:endnote w:type="continuationSeparator" w:id="0">
    <w:p w:rsidR="00707592" w:rsidRDefault="00707592" w:rsidP="00E61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简体">
    <w:altName w:val="等线"/>
    <w:charset w:val="86"/>
    <w:family w:val="auto"/>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592" w:rsidRDefault="00707592" w:rsidP="00E61C1A">
      <w:r>
        <w:separator/>
      </w:r>
    </w:p>
  </w:footnote>
  <w:footnote w:type="continuationSeparator" w:id="0">
    <w:p w:rsidR="00707592" w:rsidRDefault="00707592" w:rsidP="00E61C1A">
      <w:r>
        <w:continuationSeparator/>
      </w:r>
    </w:p>
  </w:footnote>
  <w:footnote w:id="1">
    <w:p w:rsidR="00E61C1A" w:rsidRDefault="00E61C1A" w:rsidP="00E61C1A">
      <w:pPr>
        <w:pStyle w:val="a7"/>
      </w:pPr>
      <w:r>
        <w:rPr>
          <w:rStyle w:val="a9"/>
        </w:rPr>
        <w:footnoteRef/>
      </w:r>
      <w:r>
        <w:rPr>
          <w:rFonts w:hint="eastAsia"/>
          <w:sz w:val="15"/>
          <w:szCs w:val="15"/>
        </w:rPr>
        <w:t>产品登记编码指本产品在全国银行理财信息登记系统获取的登记编码。</w:t>
      </w:r>
    </w:p>
  </w:footnote>
  <w:footnote w:id="2">
    <w:p w:rsidR="00DE496A" w:rsidRDefault="00DE496A" w:rsidP="00DE496A">
      <w:pPr>
        <w:pStyle w:val="a7"/>
        <w:rPr>
          <w:sz w:val="15"/>
          <w:szCs w:val="15"/>
        </w:rPr>
      </w:pPr>
      <w:r>
        <w:rPr>
          <w:rStyle w:val="a9"/>
        </w:rPr>
        <w:footnoteRef/>
      </w:r>
      <w:r>
        <w:rPr>
          <w:rFonts w:hint="eastAsia"/>
        </w:rPr>
        <w:t xml:space="preserve"> </w:t>
      </w:r>
      <w:r>
        <w:rPr>
          <w:rFonts w:hint="eastAsia"/>
          <w:sz w:val="15"/>
          <w:szCs w:val="15"/>
        </w:rPr>
        <w:t>本报告所称非标准化债权资产，指根据《关于规范金融机构资产管理业务的指导意见》（银发〔</w:t>
      </w:r>
      <w:r>
        <w:rPr>
          <w:rFonts w:hint="eastAsia"/>
          <w:sz w:val="15"/>
          <w:szCs w:val="15"/>
        </w:rPr>
        <w:t>2018</w:t>
      </w:r>
      <w:r>
        <w:rPr>
          <w:rFonts w:hint="eastAsia"/>
          <w:sz w:val="15"/>
          <w:szCs w:val="15"/>
        </w:rPr>
        <w:t>〕</w:t>
      </w:r>
      <w:r>
        <w:rPr>
          <w:rFonts w:hint="eastAsia"/>
          <w:sz w:val="15"/>
          <w:szCs w:val="15"/>
        </w:rPr>
        <w:t>106</w:t>
      </w:r>
      <w:r>
        <w:rPr>
          <w:rFonts w:hint="eastAsia"/>
          <w:sz w:val="15"/>
          <w:szCs w:val="15"/>
        </w:rPr>
        <w:t>号）规定，标准化债权类资产之外的债权类资产。</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262"/>
    <w:rsid w:val="00023644"/>
    <w:rsid w:val="00077F23"/>
    <w:rsid w:val="00130728"/>
    <w:rsid w:val="001814DB"/>
    <w:rsid w:val="00211495"/>
    <w:rsid w:val="00213ECF"/>
    <w:rsid w:val="00274D37"/>
    <w:rsid w:val="00367DBF"/>
    <w:rsid w:val="00380BE2"/>
    <w:rsid w:val="003F480F"/>
    <w:rsid w:val="00400A77"/>
    <w:rsid w:val="0041011E"/>
    <w:rsid w:val="0041666B"/>
    <w:rsid w:val="0042245C"/>
    <w:rsid w:val="00442040"/>
    <w:rsid w:val="0048092C"/>
    <w:rsid w:val="004E272F"/>
    <w:rsid w:val="00564E1C"/>
    <w:rsid w:val="0058623B"/>
    <w:rsid w:val="005B0E63"/>
    <w:rsid w:val="005D1D49"/>
    <w:rsid w:val="006304A5"/>
    <w:rsid w:val="006E00B8"/>
    <w:rsid w:val="00707592"/>
    <w:rsid w:val="007167B6"/>
    <w:rsid w:val="00781652"/>
    <w:rsid w:val="007D042E"/>
    <w:rsid w:val="007E2254"/>
    <w:rsid w:val="00804CB1"/>
    <w:rsid w:val="008579C9"/>
    <w:rsid w:val="008D4921"/>
    <w:rsid w:val="009027FB"/>
    <w:rsid w:val="0093653B"/>
    <w:rsid w:val="00973891"/>
    <w:rsid w:val="009B6B6E"/>
    <w:rsid w:val="009F0B98"/>
    <w:rsid w:val="00A7331C"/>
    <w:rsid w:val="00A768E1"/>
    <w:rsid w:val="00B2798E"/>
    <w:rsid w:val="00B9403A"/>
    <w:rsid w:val="00BA2F6B"/>
    <w:rsid w:val="00BB17CD"/>
    <w:rsid w:val="00BD02FE"/>
    <w:rsid w:val="00BD6293"/>
    <w:rsid w:val="00C2222B"/>
    <w:rsid w:val="00C319B4"/>
    <w:rsid w:val="00CA6A9F"/>
    <w:rsid w:val="00D170C5"/>
    <w:rsid w:val="00D37F3B"/>
    <w:rsid w:val="00D601E1"/>
    <w:rsid w:val="00DC25F6"/>
    <w:rsid w:val="00DD0D5E"/>
    <w:rsid w:val="00DE1F30"/>
    <w:rsid w:val="00DE496A"/>
    <w:rsid w:val="00E61C1A"/>
    <w:rsid w:val="00E63347"/>
    <w:rsid w:val="00F864D2"/>
    <w:rsid w:val="00FB1262"/>
    <w:rsid w:val="00FB4D10"/>
    <w:rsid w:val="00FC6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6BA427-00EB-45C9-8419-9C37FC60E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1C1A"/>
    <w:pPr>
      <w:widowControl w:val="0"/>
      <w:jc w:val="both"/>
    </w:pPr>
    <w:rPr>
      <w:rFonts w:ascii="Times New Roman" w:eastAsia="方正仿宋简体"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C1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61C1A"/>
    <w:rPr>
      <w:sz w:val="18"/>
      <w:szCs w:val="18"/>
    </w:rPr>
  </w:style>
  <w:style w:type="paragraph" w:styleId="a5">
    <w:name w:val="footer"/>
    <w:basedOn w:val="a"/>
    <w:link w:val="a6"/>
    <w:uiPriority w:val="99"/>
    <w:unhideWhenUsed/>
    <w:rsid w:val="00E61C1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61C1A"/>
    <w:rPr>
      <w:sz w:val="18"/>
      <w:szCs w:val="18"/>
    </w:rPr>
  </w:style>
  <w:style w:type="paragraph" w:styleId="a7">
    <w:name w:val="footnote text"/>
    <w:basedOn w:val="a"/>
    <w:link w:val="a8"/>
    <w:uiPriority w:val="99"/>
    <w:semiHidden/>
    <w:qFormat/>
    <w:rsid w:val="00E61C1A"/>
    <w:pPr>
      <w:snapToGrid w:val="0"/>
      <w:jc w:val="left"/>
    </w:pPr>
    <w:rPr>
      <w:rFonts w:eastAsia="宋体"/>
      <w:sz w:val="18"/>
      <w:szCs w:val="18"/>
    </w:rPr>
  </w:style>
  <w:style w:type="character" w:customStyle="1" w:styleId="a8">
    <w:name w:val="脚注文本 字符"/>
    <w:basedOn w:val="a0"/>
    <w:link w:val="a7"/>
    <w:uiPriority w:val="99"/>
    <w:semiHidden/>
    <w:rsid w:val="00E61C1A"/>
    <w:rPr>
      <w:rFonts w:ascii="Times New Roman" w:eastAsia="宋体" w:hAnsi="Times New Roman" w:cs="Times New Roman"/>
      <w:sz w:val="18"/>
      <w:szCs w:val="18"/>
    </w:rPr>
  </w:style>
  <w:style w:type="character" w:styleId="a9">
    <w:name w:val="footnote reference"/>
    <w:uiPriority w:val="99"/>
    <w:semiHidden/>
    <w:qFormat/>
    <w:rsid w:val="00E61C1A"/>
    <w:rPr>
      <w:vertAlign w:val="superscript"/>
    </w:rPr>
  </w:style>
  <w:style w:type="paragraph" w:styleId="aa">
    <w:name w:val="Normal (Web)"/>
    <w:basedOn w:val="a"/>
    <w:uiPriority w:val="99"/>
    <w:qFormat/>
    <w:rsid w:val="004E272F"/>
    <w:pPr>
      <w:widowControl/>
      <w:spacing w:before="100" w:beforeAutospacing="1" w:after="100" w:afterAutospacing="1"/>
      <w:jc w:val="left"/>
    </w:pPr>
    <w:rPr>
      <w:rFonts w:ascii="宋体" w:eastAsia="宋体" w:hAnsi="宋体"/>
      <w:kern w:val="0"/>
      <w:sz w:val="24"/>
      <w:szCs w:val="24"/>
    </w:rPr>
  </w:style>
  <w:style w:type="table" w:styleId="ab">
    <w:name w:val="Table Grid"/>
    <w:basedOn w:val="a1"/>
    <w:uiPriority w:val="59"/>
    <w:rsid w:val="004E272F"/>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3">
    <w:name w:val="xl33"/>
    <w:basedOn w:val="a"/>
    <w:uiPriority w:val="99"/>
    <w:qFormat/>
    <w:rsid w:val="00DE496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character" w:styleId="ac">
    <w:name w:val="Hyperlink"/>
    <w:basedOn w:val="a0"/>
    <w:uiPriority w:val="99"/>
    <w:semiHidden/>
    <w:unhideWhenUsed/>
    <w:rsid w:val="004101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522124">
      <w:bodyDiv w:val="1"/>
      <w:marLeft w:val="0"/>
      <w:marRight w:val="0"/>
      <w:marTop w:val="0"/>
      <w:marBottom w:val="0"/>
      <w:divBdr>
        <w:top w:val="none" w:sz="0" w:space="0" w:color="auto"/>
        <w:left w:val="none" w:sz="0" w:space="0" w:color="auto"/>
        <w:bottom w:val="none" w:sz="0" w:space="0" w:color="auto"/>
        <w:right w:val="none" w:sz="0" w:space="0" w:color="auto"/>
      </w:divBdr>
    </w:div>
    <w:div w:id="213493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pdb.com.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420</Words>
  <Characters>2398</Characters>
  <Application>Microsoft Office Word</Application>
  <DocSecurity>0</DocSecurity>
  <Lines>19</Lines>
  <Paragraphs>5</Paragraphs>
  <ScaleCrop>false</ScaleCrop>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DEVVDI02</dc:creator>
  <cp:lastModifiedBy>王晓松</cp:lastModifiedBy>
  <cp:revision>2</cp:revision>
  <dcterms:created xsi:type="dcterms:W3CDTF">2022-02-14T04:58:00Z</dcterms:created>
  <dcterms:modified xsi:type="dcterms:W3CDTF">2022-02-14T04:58:00Z</dcterms:modified>
</cp:coreProperties>
</file>