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1C1A" w:rsidRDefault="00E61C1A" w:rsidP="00E61C1A">
      <w:pPr>
        <w:snapToGrid w:val="0"/>
        <w:spacing w:line="360" w:lineRule="auto"/>
        <w:jc w:val="center"/>
        <w:rPr>
          <w:rFonts w:ascii="仿宋_GB2312" w:eastAsia="仿宋_GB2312"/>
          <w:b/>
          <w:bCs/>
          <w:sz w:val="24"/>
          <w:szCs w:val="24"/>
          <w:vertAlign w:val="superscript"/>
        </w:rPr>
      </w:pPr>
      <w:r>
        <w:rPr>
          <w:rFonts w:ascii="仿宋_GB2312" w:eastAsia="仿宋_GB2312" w:hint="eastAsia"/>
          <w:b/>
          <w:bCs/>
          <w:color w:val="000000"/>
          <w:sz w:val="24"/>
          <w:szCs w:val="24"/>
        </w:rPr>
        <w:t>公募理财产品定期</w:t>
      </w:r>
      <w:r>
        <w:rPr>
          <w:rFonts w:ascii="仿宋_GB2312" w:eastAsia="仿宋_GB2312" w:hint="eastAsia"/>
          <w:b/>
          <w:bCs/>
          <w:sz w:val="24"/>
          <w:szCs w:val="24"/>
        </w:rPr>
        <w:t>报告</w:t>
      </w:r>
    </w:p>
    <w:p w:rsidR="00E61C1A" w:rsidRDefault="00E61C1A" w:rsidP="00E61C1A">
      <w:pPr>
        <w:snapToGrid w:val="0"/>
        <w:spacing w:line="360" w:lineRule="auto"/>
        <w:rPr>
          <w:rFonts w:ascii="仿宋_GB2312" w:eastAsia="仿宋_GB2312"/>
          <w:b/>
          <w:bCs/>
          <w:sz w:val="24"/>
          <w:szCs w:val="24"/>
          <w:vertAlign w:val="superscript"/>
        </w:rPr>
      </w:pPr>
      <w:r>
        <w:rPr>
          <w:rFonts w:ascii="仿宋_GB2312" w:eastAsia="仿宋_GB2312" w:hint="eastAsia"/>
          <w:b/>
          <w:sz w:val="24"/>
          <w:szCs w:val="24"/>
        </w:rPr>
        <w:t>1</w:t>
      </w:r>
      <w:r>
        <w:rPr>
          <w:rFonts w:hint="eastAsia"/>
          <w:b/>
          <w:sz w:val="24"/>
          <w:szCs w:val="24"/>
        </w:rPr>
        <w:t> </w:t>
      </w:r>
      <w:r>
        <w:rPr>
          <w:rFonts w:ascii="仿宋_GB2312" w:eastAsia="仿宋_GB2312" w:hint="eastAsia"/>
          <w:b/>
          <w:sz w:val="24"/>
          <w:szCs w:val="24"/>
        </w:rPr>
        <w:t>.重要提示</w:t>
      </w:r>
    </w:p>
    <w:tbl>
      <w:tblPr>
        <w:tblW w:w="9072" w:type="dxa"/>
        <w:tblBorders>
          <w:top w:val="single" w:sz="4" w:space="0" w:color="auto"/>
          <w:left w:val="single" w:sz="8" w:space="0" w:color="auto"/>
          <w:bottom w:val="single" w:sz="8" w:space="0" w:color="auto"/>
          <w:right w:val="single" w:sz="8" w:space="0" w:color="auto"/>
        </w:tblBorders>
        <w:tblLayout w:type="fixed"/>
        <w:tblCellMar>
          <w:left w:w="0" w:type="dxa"/>
          <w:right w:w="0" w:type="dxa"/>
        </w:tblCellMar>
        <w:tblLook w:val="04A0" w:firstRow="1" w:lastRow="0" w:firstColumn="1" w:lastColumn="0" w:noHBand="0" w:noVBand="1"/>
      </w:tblPr>
      <w:tblGrid>
        <w:gridCol w:w="9072"/>
      </w:tblGrid>
      <w:tr w:rsidR="00E61C1A" w:rsidTr="00B00579">
        <w:trPr>
          <w:trHeight w:val="2514"/>
        </w:trPr>
        <w:tc>
          <w:tcPr>
            <w:tcW w:w="9072" w:type="dxa"/>
            <w:tcMar>
              <w:top w:w="0" w:type="dxa"/>
              <w:left w:w="108" w:type="dxa"/>
              <w:bottom w:w="0" w:type="dxa"/>
              <w:right w:w="108" w:type="dxa"/>
            </w:tcMar>
          </w:tcPr>
          <w:p w:rsidR="00F864D2"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产品管理人保证本报告所载资料不存在虚假记载、误导性陈述或重大遗漏，并对其内容的真实性、准确性和完整性负责。</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产品托管人上海浦东发展银行根据本产品合同规定，复核了本报告中的财务指标、净值表现、投资组合报告等内容，保证复核内容不存在虚假记载、误导性陈述或者重大遗漏。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 xml:space="preserve">产品管理人承诺以诚实信用、勤勉尽责的原则管理和运用产品资产，但不保证产品一定盈利。　　</w:t>
            </w:r>
          </w:p>
          <w:p w:rsidR="00F864D2" w:rsidRDefault="00F864D2" w:rsidP="00F864D2">
            <w:pPr>
              <w:snapToGrid w:val="0"/>
              <w:spacing w:line="360" w:lineRule="auto"/>
              <w:ind w:firstLine="360"/>
              <w:jc w:val="left"/>
              <w:rPr>
                <w:rFonts w:ascii="仿宋_GB2312" w:eastAsia="仿宋_GB2312"/>
                <w:color w:val="404040"/>
                <w:sz w:val="24"/>
                <w:szCs w:val="24"/>
              </w:rPr>
            </w:pPr>
            <w:r>
              <w:rPr>
                <w:rFonts w:ascii="仿宋_GB2312" w:eastAsia="仿宋_GB2312" w:hint="eastAsia"/>
                <w:color w:val="404040"/>
                <w:sz w:val="24"/>
                <w:szCs w:val="24"/>
              </w:rPr>
              <w:t>产品的过往业绩并不代表其未来表现。投资有风险，投资者在做出投资决策前应仔细阅读本产品的销售文件。</w:t>
            </w:r>
          </w:p>
          <w:p w:rsidR="00E61C1A" w:rsidRDefault="00F864D2" w:rsidP="00F864D2">
            <w:pPr>
              <w:snapToGrid w:val="0"/>
              <w:spacing w:line="360" w:lineRule="auto"/>
              <w:ind w:firstLine="360"/>
              <w:jc w:val="left"/>
              <w:rPr>
                <w:rFonts w:ascii="仿宋_GB2312" w:eastAsia="仿宋_GB2312" w:hAnsi="Calibri" w:cs="宋体"/>
                <w:color w:val="404040"/>
                <w:sz w:val="24"/>
                <w:szCs w:val="24"/>
              </w:rPr>
            </w:pPr>
            <w:r>
              <w:rPr>
                <w:rFonts w:ascii="仿宋_GB2312" w:eastAsia="仿宋_GB2312" w:hint="eastAsia"/>
                <w:color w:val="404040"/>
                <w:sz w:val="24"/>
                <w:szCs w:val="24"/>
              </w:rPr>
              <w:t>本报告中财务资料未经审计。</w:t>
            </w:r>
          </w:p>
        </w:tc>
      </w:tr>
    </w:tbl>
    <w:p w:rsidR="00E61C1A" w:rsidRDefault="00E61C1A" w:rsidP="00E61C1A">
      <w:pPr>
        <w:snapToGrid w:val="0"/>
        <w:spacing w:line="360" w:lineRule="auto"/>
        <w:rPr>
          <w:rFonts w:ascii="仿宋_GB2312" w:eastAsia="仿宋_GB2312"/>
          <w:b/>
          <w:sz w:val="24"/>
          <w:szCs w:val="24"/>
        </w:rPr>
      </w:pPr>
      <w:r>
        <w:rPr>
          <w:rFonts w:ascii="仿宋_GB2312" w:eastAsia="仿宋_GB2312" w:hint="eastAsia"/>
          <w:b/>
          <w:sz w:val="24"/>
          <w:szCs w:val="24"/>
        </w:rPr>
        <w:t>2.</w:t>
      </w:r>
      <w:r>
        <w:rPr>
          <w:rFonts w:ascii="仿宋_GB2312" w:eastAsia="仿宋_GB2312" w:hint="eastAsia"/>
          <w:b/>
          <w:sz w:val="24"/>
          <w:szCs w:val="24"/>
        </w:rPr>
        <w:t> </w:t>
      </w:r>
      <w:r>
        <w:rPr>
          <w:rFonts w:ascii="仿宋_GB2312" w:eastAsia="仿宋_GB2312" w:hint="eastAsia"/>
          <w:b/>
          <w:sz w:val="24"/>
          <w:szCs w:val="24"/>
        </w:rPr>
        <w:t>产品概况</w:t>
      </w:r>
    </w:p>
    <w:tbl>
      <w:tblPr>
        <w:tblW w:w="907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219"/>
        <w:gridCol w:w="4853"/>
      </w:tblGrid>
      <w:tr w:rsidR="00E61C1A" w:rsidTr="00B00579">
        <w:tc>
          <w:tcPr>
            <w:tcW w:w="4219" w:type="dxa"/>
            <w:tcMar>
              <w:top w:w="0" w:type="dxa"/>
              <w:left w:w="108" w:type="dxa"/>
              <w:bottom w:w="0" w:type="dxa"/>
              <w:right w:w="108" w:type="dxa"/>
            </w:tcMar>
            <w:vAlign w:val="center"/>
          </w:tcPr>
          <w:p w:rsidR="00E61C1A" w:rsidRDefault="00E61C1A" w:rsidP="00B00579">
            <w:pPr>
              <w:snapToGrid w:val="0"/>
              <w:spacing w:line="360" w:lineRule="auto"/>
              <w:ind w:firstLine="480"/>
              <w:jc w:val="center"/>
              <w:rPr>
                <w:rFonts w:ascii="仿宋_GB2312" w:eastAsia="仿宋_GB2312" w:hAnsi="Calibri" w:cs="宋体"/>
                <w:color w:val="FF0000"/>
                <w:sz w:val="24"/>
                <w:szCs w:val="24"/>
              </w:rPr>
            </w:pPr>
            <w:r w:rsidRPr="009106D5">
              <w:rPr>
                <w:rFonts w:ascii="仿宋_GB2312" w:eastAsia="仿宋_GB2312" w:hAnsiTheme="minorEastAsia" w:hint="eastAsia"/>
                <w:kern w:val="0"/>
                <w:sz w:val="24"/>
                <w:szCs w:val="24"/>
              </w:rPr>
              <w:t>产品名称</w:t>
            </w:r>
          </w:p>
        </w:tc>
        <w:tc>
          <w:tcPr>
            <w:tcW w:w="4853" w:type="dxa"/>
            <w:tcMar>
              <w:top w:w="0" w:type="dxa"/>
              <w:left w:w="108" w:type="dxa"/>
              <w:bottom w:w="0" w:type="dxa"/>
              <w:right w:w="108" w:type="dxa"/>
            </w:tcMar>
            <w:vAlign w:val="center"/>
          </w:tcPr>
          <w:p w:rsidR="00E61C1A" w:rsidRDefault="001814DB" w:rsidP="00B00579">
            <w:pPr>
              <w:snapToGrid w:val="0"/>
              <w:spacing w:line="360" w:lineRule="auto"/>
              <w:jc w:val="center"/>
              <w:rPr>
                <w:rFonts w:ascii="仿宋_GB2312" w:eastAsia="仿宋_GB2312" w:hAnsi="Calibri" w:cs="宋体"/>
                <w:color w:val="000000"/>
                <w:sz w:val="24"/>
                <w:szCs w:val="24"/>
              </w:rPr>
            </w:pPr>
            <w:r>
              <w:rPr>
                <w:rFonts w:ascii="仿宋_GB2312" w:eastAsia="仿宋_GB2312" w:hAnsi="Calibri" w:cs="宋体"/>
                <w:color w:val="000000"/>
                <w:sz w:val="24"/>
                <w:szCs w:val="24"/>
              </w:rPr>
              <w:t>鑫盈利系列1年定开5号理财产品</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产品代码</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olor w:val="000000"/>
                <w:kern w:val="0"/>
                <w:sz w:val="24"/>
                <w:szCs w:val="24"/>
              </w:rPr>
            </w:pPr>
            <w:r>
              <w:rPr>
                <w:rFonts w:ascii="仿宋_GB2312" w:eastAsia="仿宋_GB2312" w:hAnsi="Calibri" w:cs="宋体"/>
                <w:color w:val="000000"/>
                <w:sz w:val="24"/>
                <w:szCs w:val="24"/>
              </w:rPr>
              <w:t>2301202505(销售代码:2301202808/2301202809/2301202810/2301202811)</w:t>
            </w:r>
          </w:p>
        </w:tc>
      </w:tr>
      <w:tr w:rsidR="00E61C1A" w:rsidTr="00B00579">
        <w:tblPrEx>
          <w:tblBorders>
            <w:top w:val="none" w:sz="0"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产品登记编码</w:t>
            </w:r>
            <w:r w:rsidRPr="009106D5">
              <w:rPr>
                <w:rStyle w:val="a9"/>
                <w:rFonts w:ascii="仿宋_GB2312" w:eastAsia="仿宋_GB2312" w:hAnsiTheme="minorEastAsia"/>
                <w:kern w:val="0"/>
                <w:sz w:val="24"/>
                <w:szCs w:val="24"/>
              </w:rPr>
              <w:footnoteReference w:id="1"/>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C1031020000005</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产品类型</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固定收益类</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产品成立日</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2020-04-22</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报告期末产品份额总额</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3,280,730,298.11</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kern w:val="0"/>
                <w:sz w:val="24"/>
                <w:szCs w:val="24"/>
              </w:rPr>
            </w:pPr>
            <w:r w:rsidRPr="009106D5">
              <w:rPr>
                <w:rFonts w:ascii="仿宋_GB2312" w:eastAsia="仿宋_GB2312" w:hAnsiTheme="minorEastAsia" w:hint="eastAsia"/>
                <w:kern w:val="0"/>
                <w:sz w:val="24"/>
                <w:szCs w:val="24"/>
              </w:rPr>
              <w:t>报告期末产品杠杆水平</w:t>
            </w:r>
          </w:p>
        </w:tc>
        <w:tc>
          <w:tcPr>
            <w:tcW w:w="4853" w:type="dxa"/>
            <w:tcMar>
              <w:top w:w="0" w:type="dxa"/>
              <w:left w:w="108" w:type="dxa"/>
              <w:bottom w:w="0" w:type="dxa"/>
              <w:right w:w="108" w:type="dxa"/>
            </w:tcMar>
            <w:vAlign w:val="center"/>
          </w:tcPr>
          <w:p w:rsidR="00E61C1A" w:rsidRDefault="00442040" w:rsidP="00B00579">
            <w:pPr>
              <w:adjustRightInd w:val="0"/>
              <w:snapToGrid w:val="0"/>
              <w:spacing w:line="360" w:lineRule="auto"/>
              <w:ind w:firstLine="420"/>
              <w:jc w:val="center"/>
              <w:rPr>
                <w:rFonts w:ascii="仿宋_GB2312" w:eastAsia="仿宋_GB2312" w:hAnsiTheme="minorEastAsia" w:cs="宋体"/>
                <w:color w:val="000000"/>
                <w:sz w:val="24"/>
                <w:szCs w:val="24"/>
              </w:rPr>
            </w:pPr>
            <w:r>
              <w:rPr>
                <w:rFonts w:ascii="仿宋_GB2312" w:eastAsia="仿宋_GB2312" w:hAnsiTheme="minorEastAsia" w:cs="宋体"/>
                <w:color w:val="000000"/>
                <w:sz w:val="24"/>
                <w:szCs w:val="24"/>
              </w:rPr>
              <w:t>100.32%</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业绩比较基准</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2301202808 : 3.70%-4.20%</w:t>
            </w:r>
            <w:r>
              <w:rPr>
                <w:rFonts w:ascii="仿宋_GB2312" w:eastAsia="仿宋_GB2312" w:hAnsi="Calibri" w:cs="宋体"/>
                <w:color w:val="000000"/>
                <w:sz w:val="24"/>
                <w:szCs w:val="24"/>
              </w:rPr>
              <w:br/>
              <w:t>2301202809 : 3.73%-4.23%</w:t>
            </w:r>
            <w:r>
              <w:rPr>
                <w:rFonts w:ascii="仿宋_GB2312" w:eastAsia="仿宋_GB2312" w:hAnsi="Calibri" w:cs="宋体"/>
                <w:color w:val="000000"/>
                <w:sz w:val="24"/>
                <w:szCs w:val="24"/>
              </w:rPr>
              <w:br/>
              <w:t>2301202810 : 3.75%-4.25%</w:t>
            </w:r>
            <w:r>
              <w:rPr>
                <w:rFonts w:ascii="仿宋_GB2312" w:eastAsia="仿宋_GB2312" w:hAnsi="Calibri" w:cs="宋体"/>
                <w:color w:val="000000"/>
                <w:sz w:val="24"/>
                <w:szCs w:val="24"/>
              </w:rPr>
              <w:br/>
              <w:t>2301202811 : 3.80%-4.30%</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Pr="009106D5" w:rsidRDefault="00E61C1A" w:rsidP="00B00579">
            <w:pPr>
              <w:adjustRightInd w:val="0"/>
              <w:snapToGrid w:val="0"/>
              <w:spacing w:line="360" w:lineRule="auto"/>
              <w:ind w:firstLine="480"/>
              <w:jc w:val="center"/>
              <w:rPr>
                <w:rFonts w:ascii="仿宋_GB2312" w:eastAsia="仿宋_GB2312" w:hAnsiTheme="minorEastAsia" w:cs="宋体"/>
                <w:sz w:val="24"/>
                <w:szCs w:val="24"/>
              </w:rPr>
            </w:pPr>
            <w:r w:rsidRPr="009106D5">
              <w:rPr>
                <w:rFonts w:ascii="仿宋_GB2312" w:eastAsia="仿宋_GB2312" w:hAnsiTheme="minorEastAsia" w:hint="eastAsia"/>
                <w:kern w:val="0"/>
                <w:sz w:val="24"/>
                <w:szCs w:val="24"/>
              </w:rPr>
              <w:t>风险等级</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Calibri" w:cs="宋体"/>
                <w:color w:val="000000"/>
                <w:sz w:val="24"/>
                <w:szCs w:val="24"/>
              </w:rPr>
              <w:t>较低风险</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t>产品管理人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ind w:firstLineChars="100" w:firstLine="240"/>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上海浦东发展银行</w:t>
            </w:r>
          </w:p>
        </w:tc>
      </w:tr>
      <w:tr w:rsidR="00E61C1A" w:rsidTr="00B00579">
        <w:tblPrEx>
          <w:tblBorders>
            <w:bottom w:val="single" w:sz="4" w:space="0" w:color="auto"/>
          </w:tblBorders>
        </w:tblPrEx>
        <w:tc>
          <w:tcPr>
            <w:tcW w:w="4219" w:type="dxa"/>
            <w:tcMar>
              <w:top w:w="0" w:type="dxa"/>
              <w:left w:w="108" w:type="dxa"/>
              <w:bottom w:w="0" w:type="dxa"/>
              <w:right w:w="108" w:type="dxa"/>
            </w:tcMar>
            <w:vAlign w:val="center"/>
          </w:tcPr>
          <w:p w:rsidR="00E61C1A" w:rsidRDefault="00E61C1A" w:rsidP="00B00579">
            <w:pPr>
              <w:adjustRightInd w:val="0"/>
              <w:snapToGrid w:val="0"/>
              <w:spacing w:line="360" w:lineRule="auto"/>
              <w:ind w:firstLine="480"/>
              <w:jc w:val="center"/>
              <w:rPr>
                <w:rFonts w:ascii="仿宋_GB2312" w:eastAsia="仿宋_GB2312" w:hAnsiTheme="minorEastAsia" w:cs="宋体"/>
                <w:color w:val="000000" w:themeColor="text1"/>
                <w:sz w:val="24"/>
                <w:szCs w:val="24"/>
              </w:rPr>
            </w:pPr>
            <w:r>
              <w:rPr>
                <w:rFonts w:ascii="仿宋_GB2312" w:eastAsia="仿宋_GB2312" w:hAnsiTheme="minorEastAsia" w:hint="eastAsia"/>
                <w:color w:val="000000" w:themeColor="text1"/>
                <w:kern w:val="0"/>
                <w:sz w:val="24"/>
                <w:szCs w:val="24"/>
              </w:rPr>
              <w:lastRenderedPageBreak/>
              <w:t>产品托管人</w:t>
            </w:r>
          </w:p>
        </w:tc>
        <w:tc>
          <w:tcPr>
            <w:tcW w:w="4853" w:type="dxa"/>
            <w:tcMar>
              <w:top w:w="0" w:type="dxa"/>
              <w:left w:w="108" w:type="dxa"/>
              <w:bottom w:w="0" w:type="dxa"/>
              <w:right w:w="108" w:type="dxa"/>
            </w:tcMar>
            <w:vAlign w:val="center"/>
          </w:tcPr>
          <w:p w:rsidR="00E61C1A" w:rsidRDefault="00E61C1A" w:rsidP="00B00579">
            <w:pPr>
              <w:adjustRightInd w:val="0"/>
              <w:snapToGrid w:val="0"/>
              <w:spacing w:line="360" w:lineRule="auto"/>
              <w:jc w:val="center"/>
              <w:rPr>
                <w:rFonts w:ascii="仿宋_GB2312" w:eastAsia="仿宋_GB2312" w:hAnsiTheme="minorEastAsia" w:cs="宋体"/>
                <w:color w:val="000000"/>
                <w:sz w:val="24"/>
                <w:szCs w:val="24"/>
              </w:rPr>
            </w:pPr>
            <w:r>
              <w:rPr>
                <w:rFonts w:ascii="仿宋_GB2312" w:eastAsia="仿宋_GB2312" w:hAnsiTheme="minorEastAsia" w:cs="宋体" w:hint="eastAsia"/>
                <w:color w:val="000000"/>
                <w:sz w:val="24"/>
                <w:szCs w:val="24"/>
              </w:rPr>
              <w:t xml:space="preserve">  上海浦东发展银行</w:t>
            </w:r>
          </w:p>
        </w:tc>
      </w:tr>
    </w:tbl>
    <w:p w:rsidR="00E61C1A" w:rsidRDefault="00E61C1A" w:rsidP="00E61C1A">
      <w:pPr>
        <w:rPr>
          <w:rFonts w:ascii="仿宋_GB2312" w:eastAsia="仿宋_GB2312" w:hAnsi="Calibri"/>
          <w:sz w:val="24"/>
          <w:szCs w:val="24"/>
        </w:rPr>
      </w:pPr>
    </w:p>
    <w:p w:rsidR="004E272F" w:rsidRDefault="004E272F" w:rsidP="004E272F">
      <w:pPr>
        <w:snapToGrid w:val="0"/>
        <w:spacing w:line="360" w:lineRule="auto"/>
        <w:rPr>
          <w:rFonts w:ascii="仿宋_GB2312" w:eastAsia="仿宋_GB2312"/>
          <w:b/>
          <w:sz w:val="24"/>
          <w:szCs w:val="24"/>
        </w:rPr>
      </w:pPr>
      <w:r>
        <w:rPr>
          <w:rFonts w:ascii="仿宋_GB2312" w:eastAsia="仿宋_GB2312" w:hint="eastAsia"/>
          <w:b/>
          <w:sz w:val="24"/>
          <w:szCs w:val="24"/>
        </w:rPr>
        <w:t>3</w:t>
      </w:r>
      <w:r w:rsidRPr="004E272F">
        <w:rPr>
          <w:rFonts w:ascii="仿宋_GB2312" w:eastAsia="仿宋_GB2312"/>
          <w:b/>
          <w:sz w:val="24"/>
          <w:szCs w:val="24"/>
        </w:rPr>
        <w:t>.</w:t>
      </w:r>
      <w:r>
        <w:rPr>
          <w:rFonts w:ascii="仿宋_GB2312" w:eastAsia="仿宋_GB2312" w:hint="eastAsia"/>
          <w:b/>
          <w:sz w:val="24"/>
          <w:szCs w:val="24"/>
        </w:rPr>
        <w:t>产品净值表现</w:t>
      </w:r>
    </w:p>
    <w:p w:rsidR="004E272F" w:rsidRDefault="004E272F" w:rsidP="004E272F">
      <w:pPr>
        <w:snapToGrid w:val="0"/>
        <w:spacing w:line="360" w:lineRule="auto"/>
        <w:ind w:firstLine="482"/>
        <w:rPr>
          <w:rFonts w:ascii="仿宋_GB2312" w:eastAsia="仿宋_GB2312"/>
          <w:b/>
          <w:bCs/>
          <w:sz w:val="24"/>
          <w:szCs w:val="24"/>
        </w:rPr>
      </w:pPr>
      <w:r>
        <w:rPr>
          <w:rFonts w:ascii="仿宋_GB2312" w:eastAsia="仿宋_GB2312" w:hint="eastAsia"/>
          <w:b/>
          <w:bCs/>
          <w:sz w:val="24"/>
          <w:szCs w:val="24"/>
        </w:rPr>
        <w:t>3.1 净值表现</w:t>
      </w:r>
    </w:p>
    <w:p w:rsidR="004E272F" w:rsidRPr="00B9403A" w:rsidRDefault="004E272F" w:rsidP="004E272F">
      <w:pPr>
        <w:snapToGrid w:val="0"/>
        <w:spacing w:line="360" w:lineRule="auto"/>
        <w:ind w:left="5143" w:hanging="5143"/>
        <w:rPr>
          <w:rFonts w:ascii="仿宋_GB2312" w:eastAsia="仿宋_GB2312"/>
          <w:sz w:val="24"/>
          <w:szCs w:val="24"/>
        </w:rPr>
      </w:pPr>
      <w:r>
        <w:rPr>
          <w:sz w:val="24"/>
          <w:szCs w:val="24"/>
        </w:rPr>
        <w:t xml:space="preserve">                                                                               </w:t>
      </w:r>
      <w:r>
        <w:rPr>
          <w:sz w:val="24"/>
          <w:szCs w:val="24"/>
        </w:rPr>
        <w:t>单位：人民币</w:t>
      </w:r>
      <w:r>
        <w:rPr>
          <w:sz w:val="24"/>
          <w:szCs w:val="24"/>
        </w:rPr>
        <w:t>(CNY)</w:t>
      </w:r>
    </w:p>
    <w:tbl>
      <w:tblPr>
        <w:tblStyle w:val="ab"/>
        <w:tblW w:w="9072" w:type="dxa"/>
        <w:tblLayout w:type="fixed"/>
        <w:tblLook w:val="04A0" w:firstRow="1" w:lastRow="0" w:firstColumn="1" w:lastColumn="0" w:noHBand="0" w:noVBand="1"/>
      </w:tblPr>
      <w:tblGrid>
        <w:gridCol w:w="4361"/>
        <w:gridCol w:w="4711"/>
      </w:tblGrid>
      <w:tr w:rsidR="004E272F" w:rsidTr="00B00579">
        <w:tc>
          <w:tcPr>
            <w:tcW w:w="4361" w:type="dxa"/>
          </w:tcPr>
          <w:p w:rsidR="004E272F" w:rsidRDefault="004E272F" w:rsidP="004E272F">
            <w:pPr>
              <w:pStyle w:val="aa"/>
              <w:snapToGrid w:val="0"/>
              <w:spacing w:before="0" w:beforeAutospacing="0" w:after="0" w:afterAutospacing="0" w:line="360" w:lineRule="auto"/>
              <w:ind w:firstLineChars="200" w:firstLine="480"/>
              <w:jc w:val="center"/>
              <w:rPr>
                <w:rFonts w:ascii="仿宋_GB2312" w:eastAsia="仿宋_GB2312"/>
                <w:kern w:val="2"/>
              </w:rPr>
            </w:pPr>
            <w:r>
              <w:rPr>
                <w:rFonts w:ascii="仿宋_GB2312" w:eastAsia="仿宋_GB2312" w:hint="eastAsia"/>
                <w:kern w:val="2"/>
              </w:rPr>
              <w:t>产品净值表现</w:t>
            </w:r>
          </w:p>
        </w:tc>
        <w:tc>
          <w:tcPr>
            <w:tcW w:w="4711" w:type="dxa"/>
          </w:tcPr>
          <w:p w:rsidR="004E272F" w:rsidRDefault="004E272F" w:rsidP="00B00579">
            <w:pPr>
              <w:snapToGrid w:val="0"/>
              <w:spacing w:line="360" w:lineRule="auto"/>
              <w:ind w:firstLineChars="200" w:firstLine="480"/>
              <w:jc w:val="center"/>
              <w:rPr>
                <w:rFonts w:ascii="仿宋_GB2312" w:eastAsia="仿宋_GB2312" w:hAnsi="Calibri" w:cs="宋体"/>
                <w:color w:val="000000"/>
                <w:sz w:val="24"/>
                <w:szCs w:val="24"/>
              </w:rPr>
            </w:pPr>
            <w:r>
              <w:rPr>
                <w:rFonts w:ascii="仿宋_GB2312" w:eastAsia="仿宋_GB2312" w:hint="eastAsia"/>
                <w:color w:val="000000"/>
                <w:sz w:val="24"/>
                <w:szCs w:val="24"/>
              </w:rPr>
              <w:t>报告期（2022-01-01至2022-03-31）</w:t>
            </w:r>
          </w:p>
        </w:tc>
      </w:tr>
      <w:tr w:rsidR="004E272F" w:rsidTr="00B00579">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1.期末产品资产净值</w:t>
            </w:r>
          </w:p>
        </w:tc>
        <w:tc>
          <w:tcPr>
            <w:tcW w:w="4711" w:type="dxa"/>
          </w:tcPr>
          <w:p w:rsidR="004E272F" w:rsidRDefault="00367DBF" w:rsidP="00781652">
            <w:pPr>
              <w:snapToGrid w:val="0"/>
              <w:spacing w:line="360" w:lineRule="auto"/>
              <w:jc w:val="left"/>
              <w:rPr>
                <w:rFonts w:ascii="仿宋_GB2312" w:eastAsia="仿宋_GB2312" w:hAnsi="Calibri" w:cs="宋体"/>
                <w:color w:val="000000"/>
                <w:sz w:val="24"/>
                <w:szCs w:val="24"/>
              </w:rPr>
            </w:pPr>
            <w:r>
              <w:rPr>
                <w:rFonts w:ascii="仿宋_GB2312" w:eastAsia="仿宋_GB2312" w:hAnsi="Calibri" w:cs="宋体"/>
                <w:color w:val="000000"/>
                <w:sz w:val="24"/>
                <w:szCs w:val="24"/>
              </w:rPr>
              <w:t>2301202808 : 1,275,162,708.80</w:t>
            </w:r>
            <w:r>
              <w:rPr>
                <w:rFonts w:ascii="仿宋_GB2312" w:eastAsia="仿宋_GB2312" w:hAnsi="Calibri" w:cs="宋体"/>
                <w:color w:val="000000"/>
                <w:sz w:val="24"/>
                <w:szCs w:val="24"/>
              </w:rPr>
              <w:br/>
              <w:t>2301202809 : 69,172,253.14</w:t>
            </w:r>
            <w:r>
              <w:rPr>
                <w:rFonts w:ascii="仿宋_GB2312" w:eastAsia="仿宋_GB2312" w:hAnsi="Calibri" w:cs="宋体"/>
                <w:color w:val="000000"/>
                <w:sz w:val="24"/>
                <w:szCs w:val="24"/>
              </w:rPr>
              <w:br/>
              <w:t>2301202810 : 79,842,889.09</w:t>
            </w:r>
            <w:r>
              <w:rPr>
                <w:rFonts w:ascii="仿宋_GB2312" w:eastAsia="仿宋_GB2312" w:hAnsi="Calibri" w:cs="宋体"/>
                <w:color w:val="000000"/>
                <w:sz w:val="24"/>
                <w:szCs w:val="24"/>
              </w:rPr>
              <w:br/>
              <w:t>2301202811 : 2,100,990,623.79</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2.期末产品份额净值</w:t>
            </w:r>
          </w:p>
        </w:tc>
        <w:tc>
          <w:tcPr>
            <w:tcW w:w="4711" w:type="dxa"/>
          </w:tcPr>
          <w:p w:rsidR="004E272F" w:rsidRDefault="00367DBF"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2301202808 : 1.0721</w:t>
            </w:r>
            <w:r>
              <w:rPr>
                <w:rFonts w:ascii="仿宋_GB2312" w:eastAsia="仿宋_GB2312" w:hAnsi="Calibri" w:cs="宋体"/>
                <w:color w:val="000000"/>
                <w:sz w:val="24"/>
                <w:szCs w:val="24"/>
              </w:rPr>
              <w:br/>
              <w:t>2301202809 : 1.0727</w:t>
            </w:r>
            <w:r>
              <w:rPr>
                <w:rFonts w:ascii="仿宋_GB2312" w:eastAsia="仿宋_GB2312" w:hAnsi="Calibri" w:cs="宋体"/>
                <w:color w:val="000000"/>
                <w:sz w:val="24"/>
                <w:szCs w:val="24"/>
              </w:rPr>
              <w:br/>
              <w:t>2301202810 : 1.1418</w:t>
            </w:r>
            <w:r>
              <w:rPr>
                <w:rFonts w:ascii="仿宋_GB2312" w:eastAsia="仿宋_GB2312" w:hAnsi="Calibri" w:cs="宋体"/>
                <w:color w:val="000000"/>
                <w:sz w:val="24"/>
                <w:szCs w:val="24"/>
              </w:rPr>
              <w:br/>
              <w:t>2301202811 : 1.0736</w:t>
            </w:r>
          </w:p>
        </w:tc>
      </w:tr>
      <w:tr w:rsidR="004E272F" w:rsidTr="00B00579">
        <w:trPr>
          <w:trHeight w:val="158"/>
        </w:trPr>
        <w:tc>
          <w:tcPr>
            <w:tcW w:w="4361" w:type="dxa"/>
          </w:tcPr>
          <w:p w:rsidR="004E272F" w:rsidRDefault="004E272F"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3.期末产品份额累计净值</w:t>
            </w:r>
          </w:p>
        </w:tc>
        <w:tc>
          <w:tcPr>
            <w:tcW w:w="4711" w:type="dxa"/>
          </w:tcPr>
          <w:p w:rsidR="004E272F" w:rsidRDefault="00130728" w:rsidP="00781652">
            <w:pPr>
              <w:adjustRightInd w:val="0"/>
              <w:snapToGrid w:val="0"/>
              <w:spacing w:line="360" w:lineRule="auto"/>
              <w:jc w:val="left"/>
              <w:rPr>
                <w:rFonts w:ascii="仿宋_GB2312" w:eastAsia="仿宋_GB2312" w:hAnsiTheme="minorEastAsia"/>
                <w:color w:val="000000"/>
                <w:sz w:val="24"/>
                <w:szCs w:val="24"/>
              </w:rPr>
            </w:pPr>
            <w:r>
              <w:rPr>
                <w:rFonts w:ascii="仿宋_GB2312" w:eastAsia="仿宋_GB2312" w:hAnsi="Calibri" w:cs="宋体"/>
                <w:color w:val="000000"/>
                <w:sz w:val="24"/>
                <w:szCs w:val="24"/>
              </w:rPr>
              <w:t>2301202808 : 1.0721</w:t>
            </w:r>
            <w:r>
              <w:rPr>
                <w:rFonts w:ascii="仿宋_GB2312" w:eastAsia="仿宋_GB2312" w:hAnsi="Calibri" w:cs="宋体"/>
                <w:color w:val="000000"/>
                <w:sz w:val="24"/>
                <w:szCs w:val="24"/>
              </w:rPr>
              <w:br/>
              <w:t>2301202809 : 1.0727</w:t>
            </w:r>
            <w:r>
              <w:rPr>
                <w:rFonts w:ascii="仿宋_GB2312" w:eastAsia="仿宋_GB2312" w:hAnsi="Calibri" w:cs="宋体"/>
                <w:color w:val="000000"/>
                <w:sz w:val="24"/>
                <w:szCs w:val="24"/>
              </w:rPr>
              <w:br/>
              <w:t>2301202810 : 1.1418</w:t>
            </w:r>
            <w:r>
              <w:rPr>
                <w:rFonts w:ascii="仿宋_GB2312" w:eastAsia="仿宋_GB2312" w:hAnsi="Calibri" w:cs="宋体"/>
                <w:color w:val="000000"/>
                <w:sz w:val="24"/>
                <w:szCs w:val="24"/>
              </w:rPr>
              <w:br/>
              <w:t>2301202811 : 1.0736</w:t>
            </w:r>
          </w:p>
        </w:tc>
      </w:tr>
      <w:tr w:rsidR="004E272F" w:rsidTr="00B00579">
        <w:trPr>
          <w:trHeight w:val="158"/>
        </w:trPr>
        <w:tc>
          <w:tcPr>
            <w:tcW w:w="4361" w:type="dxa"/>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4</w:t>
            </w:r>
            <w:r w:rsidRPr="00B2798E">
              <w:rPr>
                <w:rFonts w:ascii="仿宋_GB2312" w:eastAsia="仿宋_GB2312"/>
                <w:kern w:val="2"/>
              </w:rPr>
              <w:t>.</w:t>
            </w:r>
            <w:r w:rsidR="004E272F">
              <w:rPr>
                <w:rFonts w:ascii="仿宋_GB2312" w:eastAsia="仿宋_GB2312" w:hint="eastAsia"/>
                <w:kern w:val="2"/>
              </w:rPr>
              <w:t>每万份收益</w:t>
            </w:r>
          </w:p>
        </w:tc>
        <w:tc>
          <w:tcPr>
            <w:tcW w:w="4711" w:type="dxa"/>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tbl>
      <w:tblPr>
        <w:tblW w:w="90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61"/>
        <w:gridCol w:w="4711"/>
      </w:tblGrid>
      <w:tr w:rsidR="004E272F" w:rsidTr="00B00579">
        <w:trPr>
          <w:trHeight w:val="158"/>
        </w:trPr>
        <w:tc>
          <w:tcPr>
            <w:tcW w:w="4361" w:type="dxa"/>
            <w:tcMar>
              <w:top w:w="0" w:type="dxa"/>
              <w:left w:w="108" w:type="dxa"/>
              <w:bottom w:w="0" w:type="dxa"/>
              <w:right w:w="108" w:type="dxa"/>
            </w:tcMar>
          </w:tcPr>
          <w:p w:rsidR="004E272F" w:rsidRDefault="00B2798E" w:rsidP="00B2798E">
            <w:pPr>
              <w:pStyle w:val="aa"/>
              <w:snapToGrid w:val="0"/>
              <w:spacing w:before="0" w:beforeAutospacing="0" w:after="0" w:afterAutospacing="0" w:line="360" w:lineRule="auto"/>
              <w:ind w:firstLineChars="200" w:firstLine="480"/>
              <w:rPr>
                <w:rFonts w:ascii="仿宋_GB2312" w:eastAsia="仿宋_GB2312"/>
                <w:kern w:val="2"/>
              </w:rPr>
            </w:pPr>
            <w:r>
              <w:rPr>
                <w:rFonts w:ascii="仿宋_GB2312" w:eastAsia="仿宋_GB2312" w:hint="eastAsia"/>
                <w:kern w:val="2"/>
              </w:rPr>
              <w:t>5</w:t>
            </w:r>
            <w:r w:rsidRPr="00B2798E">
              <w:rPr>
                <w:rFonts w:ascii="仿宋_GB2312" w:eastAsia="仿宋_GB2312"/>
                <w:kern w:val="2"/>
              </w:rPr>
              <w:t>.</w:t>
            </w:r>
            <w:proofErr w:type="gramStart"/>
            <w:r w:rsidR="004E272F">
              <w:rPr>
                <w:rFonts w:ascii="仿宋_GB2312" w:eastAsia="仿宋_GB2312" w:hint="eastAsia"/>
                <w:kern w:val="2"/>
              </w:rPr>
              <w:t>七日年化收益率</w:t>
            </w:r>
            <w:proofErr w:type="gramEnd"/>
          </w:p>
        </w:tc>
        <w:tc>
          <w:tcPr>
            <w:tcW w:w="4711" w:type="dxa"/>
            <w:tcMar>
              <w:top w:w="0" w:type="dxa"/>
              <w:left w:w="108" w:type="dxa"/>
              <w:bottom w:w="0" w:type="dxa"/>
              <w:right w:w="108" w:type="dxa"/>
            </w:tcMar>
          </w:tcPr>
          <w:p w:rsidR="004E272F" w:rsidRDefault="00130728" w:rsidP="00781652">
            <w:pPr>
              <w:snapToGrid w:val="0"/>
              <w:spacing w:line="360" w:lineRule="auto"/>
              <w:jc w:val="left"/>
              <w:rPr>
                <w:rFonts w:ascii="仿宋_GB2312" w:eastAsia="仿宋_GB2312"/>
                <w:color w:val="000000"/>
                <w:sz w:val="24"/>
                <w:szCs w:val="24"/>
              </w:rPr>
            </w:pPr>
            <w:r>
              <w:rPr>
                <w:rFonts w:ascii="仿宋_GB2312" w:eastAsia="仿宋_GB2312" w:hAnsi="Calibri" w:cs="宋体"/>
                <w:color w:val="000000"/>
                <w:sz w:val="24"/>
                <w:szCs w:val="24"/>
              </w:rPr>
              <w:t>-</w:t>
            </w:r>
          </w:p>
        </w:tc>
      </w:tr>
    </w:tbl>
    <w:p w:rsidR="00564E1C" w:rsidRDefault="00564E1C" w:rsidP="00564E1C">
      <w:pPr>
        <w:snapToGrid w:val="0"/>
        <w:spacing w:line="360" w:lineRule="auto"/>
        <w:rPr>
          <w:rFonts w:ascii="仿宋_GB2312" w:eastAsia="仿宋_GB2312"/>
          <w:b/>
          <w:sz w:val="24"/>
          <w:szCs w:val="24"/>
        </w:rPr>
      </w:pPr>
      <w:r>
        <w:rPr>
          <w:rFonts w:ascii="仿宋_GB2312" w:eastAsia="仿宋_GB2312" w:hint="eastAsia"/>
          <w:b/>
          <w:sz w:val="24"/>
          <w:szCs w:val="24"/>
        </w:rPr>
        <w:t>4.投资组合报告</w:t>
      </w:r>
    </w:p>
    <w:p w:rsidR="00564E1C" w:rsidRDefault="00564E1C" w:rsidP="00564E1C">
      <w:pPr>
        <w:spacing w:line="360" w:lineRule="auto"/>
        <w:ind w:firstLine="482"/>
        <w:rPr>
          <w:rFonts w:ascii="仿宋_GB2312" w:eastAsia="仿宋_GB2312"/>
          <w:b/>
          <w:bCs/>
          <w:sz w:val="24"/>
          <w:szCs w:val="24"/>
        </w:rPr>
      </w:pPr>
      <w:r>
        <w:rPr>
          <w:rFonts w:ascii="仿宋_GB2312" w:eastAsia="仿宋_GB2312" w:hint="eastAsia"/>
          <w:b/>
          <w:bCs/>
          <w:sz w:val="24"/>
          <w:szCs w:val="24"/>
        </w:rPr>
        <w:t>4.1 报告期末产品资产组合情况</w:t>
      </w:r>
    </w:p>
    <w:p w:rsidR="00564E1C" w:rsidRPr="00FD1998" w:rsidRDefault="00564E1C" w:rsidP="00564E1C">
      <w:pPr>
        <w:rPr>
          <w:rFonts w:ascii="仿宋_GB2312" w:eastAsia="仿宋_GB2312" w:hAnsi="Calibri"/>
          <w:sz w:val="24"/>
          <w:szCs w:val="24"/>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81"/>
        <w:gridCol w:w="2620"/>
        <w:gridCol w:w="2694"/>
        <w:gridCol w:w="2477"/>
      </w:tblGrid>
      <w:tr w:rsidR="00564E1C" w:rsidTr="00B00579">
        <w:trPr>
          <w:trHeight w:val="415"/>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序号</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项目</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sz w:val="24"/>
                <w:szCs w:val="24"/>
              </w:rPr>
              <w:t>金额（元）</w:t>
            </w:r>
          </w:p>
        </w:tc>
        <w:tc>
          <w:tcPr>
            <w:tcW w:w="2477"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Theme="minorEastAsia" w:hint="eastAsia"/>
                <w:sz w:val="24"/>
                <w:szCs w:val="24"/>
              </w:rPr>
              <w:t>占产品资产净值比例</w:t>
            </w:r>
          </w:p>
        </w:tc>
      </w:tr>
      <w:tr w:rsidR="00564E1C" w:rsidRPr="00BE0BA1" w:rsidTr="00B00579">
        <w:trPr>
          <w:trHeight w:val="20"/>
        </w:trPr>
        <w:tc>
          <w:tcPr>
            <w:tcW w:w="1281"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1</w:t>
            </w:r>
          </w:p>
        </w:tc>
        <w:tc>
          <w:tcPr>
            <w:tcW w:w="2620"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银行存款</w:t>
            </w:r>
          </w:p>
        </w:tc>
        <w:tc>
          <w:tcPr>
            <w:tcW w:w="2694" w:type="dxa"/>
            <w:vAlign w:val="center"/>
          </w:tcPr>
          <w:p w:rsidR="00564E1C"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22,017,688.86</w:t>
            </w:r>
          </w:p>
        </w:tc>
        <w:tc>
          <w:tcPr>
            <w:tcW w:w="2477" w:type="dxa"/>
            <w:vAlign w:val="center"/>
          </w:tcPr>
          <w:p w:rsidR="00564E1C" w:rsidRPr="00BE0BA1" w:rsidRDefault="00564E1C" w:rsidP="00B00579">
            <w:pPr>
              <w:adjustRightInd w:val="0"/>
              <w:snapToGrid w:val="0"/>
              <w:spacing w:line="360" w:lineRule="auto"/>
              <w:jc w:val="center"/>
              <w:rPr>
                <w:rFonts w:ascii="仿宋_GB2312" w:eastAsia="仿宋_GB2312" w:hAnsiTheme="minorEastAsia"/>
                <w:sz w:val="24"/>
                <w:szCs w:val="24"/>
              </w:rPr>
            </w:pPr>
            <w:r>
              <w:rPr>
                <w:rFonts w:ascii="仿宋_GB2312" w:eastAsia="仿宋_GB2312" w:hAnsi="Calibri" w:cs="宋体"/>
                <w:color w:val="000000"/>
                <w:sz w:val="24"/>
                <w:szCs w:val="24"/>
              </w:rPr>
              <w:t>0.62%</w:t>
            </w:r>
          </w:p>
        </w:tc>
      </w:tr>
      <w:tr w:rsidR="00B478CA">
        <w:tc>
          <w:tcPr>
            <w:tcW w:w="1281" w:type="dxa"/>
            <w:vAlign w:val="center"/>
          </w:tcPr>
          <w:p w:rsidR="00B478CA" w:rsidRDefault="0090720A">
            <w:pPr>
              <w:jc w:val="center"/>
            </w:pPr>
            <w:r>
              <w:rPr>
                <w:rFonts w:ascii="仿宋_GB2312" w:eastAsia="仿宋_GB2312" w:hAnsi="Calibri" w:cs="宋体"/>
                <w:color w:val="000000"/>
                <w:sz w:val="24"/>
              </w:rPr>
              <w:t>2</w:t>
            </w:r>
          </w:p>
        </w:tc>
        <w:tc>
          <w:tcPr>
            <w:tcW w:w="2620" w:type="dxa"/>
            <w:vAlign w:val="center"/>
          </w:tcPr>
          <w:p w:rsidR="00B478CA" w:rsidRDefault="0090720A">
            <w:pPr>
              <w:jc w:val="center"/>
            </w:pPr>
            <w:r>
              <w:rPr>
                <w:rFonts w:ascii="仿宋_GB2312" w:eastAsia="仿宋_GB2312" w:hAnsi="Calibri" w:cs="宋体"/>
                <w:color w:val="000000"/>
                <w:sz w:val="24"/>
              </w:rPr>
              <w:t>债券投资</w:t>
            </w:r>
          </w:p>
        </w:tc>
        <w:tc>
          <w:tcPr>
            <w:tcW w:w="2694" w:type="dxa"/>
            <w:vAlign w:val="center"/>
          </w:tcPr>
          <w:p w:rsidR="00B478CA" w:rsidRDefault="0090720A">
            <w:pPr>
              <w:jc w:val="center"/>
            </w:pPr>
            <w:r>
              <w:rPr>
                <w:rFonts w:ascii="仿宋_GB2312" w:eastAsia="仿宋_GB2312" w:hAnsi="Calibri" w:cs="宋体"/>
                <w:color w:val="000000"/>
                <w:sz w:val="24"/>
              </w:rPr>
              <w:t>3,463,512,500.00</w:t>
            </w:r>
          </w:p>
        </w:tc>
        <w:tc>
          <w:tcPr>
            <w:tcW w:w="2477" w:type="dxa"/>
            <w:vAlign w:val="center"/>
          </w:tcPr>
          <w:p w:rsidR="00B478CA" w:rsidRDefault="0090720A">
            <w:pPr>
              <w:jc w:val="center"/>
            </w:pPr>
            <w:r>
              <w:rPr>
                <w:rFonts w:ascii="仿宋_GB2312" w:eastAsia="仿宋_GB2312" w:hAnsi="Calibri" w:cs="宋体"/>
                <w:color w:val="000000"/>
                <w:sz w:val="24"/>
              </w:rPr>
              <w:t>98.25%</w:t>
            </w:r>
          </w:p>
        </w:tc>
      </w:tr>
      <w:tr w:rsidR="00B478CA">
        <w:tc>
          <w:tcPr>
            <w:tcW w:w="1281" w:type="dxa"/>
            <w:vAlign w:val="center"/>
          </w:tcPr>
          <w:p w:rsidR="00B478CA" w:rsidRDefault="0090720A">
            <w:pPr>
              <w:jc w:val="center"/>
            </w:pPr>
            <w:r>
              <w:rPr>
                <w:rFonts w:ascii="仿宋_GB2312" w:eastAsia="仿宋_GB2312" w:hAnsi="Calibri" w:cs="宋体"/>
                <w:color w:val="000000"/>
                <w:sz w:val="24"/>
              </w:rPr>
              <w:t>3</w:t>
            </w:r>
          </w:p>
        </w:tc>
        <w:tc>
          <w:tcPr>
            <w:tcW w:w="2620" w:type="dxa"/>
            <w:vAlign w:val="center"/>
          </w:tcPr>
          <w:p w:rsidR="00B478CA" w:rsidRDefault="0090720A">
            <w:pPr>
              <w:jc w:val="center"/>
            </w:pPr>
            <w:r>
              <w:rPr>
                <w:rFonts w:ascii="仿宋_GB2312" w:eastAsia="仿宋_GB2312" w:hAnsi="Calibri" w:cs="宋体"/>
                <w:color w:val="000000"/>
                <w:sz w:val="24"/>
              </w:rPr>
              <w:t>资产支持证券投资</w:t>
            </w:r>
          </w:p>
        </w:tc>
        <w:tc>
          <w:tcPr>
            <w:tcW w:w="2694" w:type="dxa"/>
            <w:vAlign w:val="center"/>
          </w:tcPr>
          <w:p w:rsidR="00B478CA" w:rsidRDefault="0090720A">
            <w:pPr>
              <w:jc w:val="center"/>
            </w:pPr>
            <w:r>
              <w:rPr>
                <w:rFonts w:ascii="仿宋_GB2312" w:eastAsia="仿宋_GB2312" w:hAnsi="Calibri" w:cs="宋体"/>
                <w:color w:val="000000"/>
                <w:sz w:val="24"/>
              </w:rPr>
              <w:t>-</w:t>
            </w:r>
          </w:p>
        </w:tc>
        <w:tc>
          <w:tcPr>
            <w:tcW w:w="2477" w:type="dxa"/>
            <w:vAlign w:val="center"/>
          </w:tcPr>
          <w:p w:rsidR="00B478CA" w:rsidRDefault="0090720A">
            <w:pPr>
              <w:jc w:val="center"/>
            </w:pPr>
            <w:r>
              <w:rPr>
                <w:rFonts w:ascii="仿宋_GB2312" w:eastAsia="仿宋_GB2312" w:hAnsi="Calibri" w:cs="宋体"/>
                <w:color w:val="000000"/>
                <w:sz w:val="24"/>
              </w:rPr>
              <w:t>-</w:t>
            </w:r>
          </w:p>
        </w:tc>
      </w:tr>
      <w:tr w:rsidR="00B478CA">
        <w:tc>
          <w:tcPr>
            <w:tcW w:w="1281" w:type="dxa"/>
            <w:vAlign w:val="center"/>
          </w:tcPr>
          <w:p w:rsidR="00B478CA" w:rsidRDefault="0090720A">
            <w:pPr>
              <w:jc w:val="center"/>
            </w:pPr>
            <w:r>
              <w:rPr>
                <w:rFonts w:ascii="仿宋_GB2312" w:eastAsia="仿宋_GB2312" w:hAnsi="Calibri" w:cs="宋体"/>
                <w:color w:val="000000"/>
                <w:sz w:val="24"/>
              </w:rPr>
              <w:t>4</w:t>
            </w:r>
          </w:p>
        </w:tc>
        <w:tc>
          <w:tcPr>
            <w:tcW w:w="2620" w:type="dxa"/>
            <w:vAlign w:val="center"/>
          </w:tcPr>
          <w:p w:rsidR="00B478CA" w:rsidRDefault="0090720A">
            <w:pPr>
              <w:jc w:val="center"/>
            </w:pPr>
            <w:r>
              <w:rPr>
                <w:rFonts w:ascii="仿宋_GB2312" w:eastAsia="仿宋_GB2312" w:hAnsi="Calibri" w:cs="宋体"/>
                <w:color w:val="000000"/>
                <w:sz w:val="24"/>
              </w:rPr>
              <w:t>信托计划</w:t>
            </w:r>
          </w:p>
        </w:tc>
        <w:tc>
          <w:tcPr>
            <w:tcW w:w="2694" w:type="dxa"/>
            <w:vAlign w:val="center"/>
          </w:tcPr>
          <w:p w:rsidR="00B478CA" w:rsidRDefault="0090720A">
            <w:pPr>
              <w:jc w:val="center"/>
            </w:pPr>
            <w:r>
              <w:rPr>
                <w:rFonts w:ascii="仿宋_GB2312" w:eastAsia="仿宋_GB2312" w:hAnsi="Calibri" w:cs="宋体"/>
                <w:color w:val="000000"/>
                <w:sz w:val="24"/>
              </w:rPr>
              <w:t>-</w:t>
            </w:r>
          </w:p>
        </w:tc>
        <w:tc>
          <w:tcPr>
            <w:tcW w:w="2477" w:type="dxa"/>
            <w:vAlign w:val="center"/>
          </w:tcPr>
          <w:p w:rsidR="00B478CA" w:rsidRDefault="0090720A">
            <w:pPr>
              <w:jc w:val="center"/>
            </w:pPr>
            <w:r>
              <w:rPr>
                <w:rFonts w:ascii="仿宋_GB2312" w:eastAsia="仿宋_GB2312" w:hAnsi="Calibri" w:cs="宋体"/>
                <w:color w:val="000000"/>
                <w:sz w:val="24"/>
              </w:rPr>
              <w:t>-</w:t>
            </w:r>
          </w:p>
        </w:tc>
      </w:tr>
      <w:tr w:rsidR="00B478CA">
        <w:tc>
          <w:tcPr>
            <w:tcW w:w="1281" w:type="dxa"/>
            <w:vAlign w:val="center"/>
          </w:tcPr>
          <w:p w:rsidR="00B478CA" w:rsidRDefault="0090720A">
            <w:pPr>
              <w:jc w:val="center"/>
            </w:pPr>
            <w:r>
              <w:rPr>
                <w:rFonts w:ascii="仿宋_GB2312" w:eastAsia="仿宋_GB2312" w:hAnsi="Calibri" w:cs="宋体"/>
                <w:color w:val="000000"/>
                <w:sz w:val="24"/>
              </w:rPr>
              <w:t>5</w:t>
            </w:r>
          </w:p>
        </w:tc>
        <w:tc>
          <w:tcPr>
            <w:tcW w:w="2620" w:type="dxa"/>
            <w:vAlign w:val="center"/>
          </w:tcPr>
          <w:p w:rsidR="00B478CA" w:rsidRDefault="0090720A">
            <w:pPr>
              <w:jc w:val="center"/>
            </w:pPr>
            <w:r>
              <w:rPr>
                <w:rFonts w:ascii="仿宋_GB2312" w:eastAsia="仿宋_GB2312" w:hAnsi="Calibri" w:cs="宋体"/>
                <w:color w:val="000000"/>
                <w:sz w:val="24"/>
              </w:rPr>
              <w:t>资产管理计划</w:t>
            </w:r>
          </w:p>
        </w:tc>
        <w:tc>
          <w:tcPr>
            <w:tcW w:w="2694" w:type="dxa"/>
            <w:vAlign w:val="center"/>
          </w:tcPr>
          <w:p w:rsidR="00B478CA" w:rsidRDefault="0090720A">
            <w:pPr>
              <w:jc w:val="center"/>
            </w:pPr>
            <w:r>
              <w:rPr>
                <w:rFonts w:ascii="仿宋_GB2312" w:eastAsia="仿宋_GB2312" w:hAnsi="Calibri" w:cs="宋体"/>
                <w:color w:val="000000"/>
                <w:sz w:val="24"/>
              </w:rPr>
              <w:t>-</w:t>
            </w:r>
          </w:p>
        </w:tc>
        <w:tc>
          <w:tcPr>
            <w:tcW w:w="2477" w:type="dxa"/>
            <w:vAlign w:val="center"/>
          </w:tcPr>
          <w:p w:rsidR="00B478CA" w:rsidRDefault="0090720A">
            <w:pPr>
              <w:jc w:val="center"/>
            </w:pPr>
            <w:r>
              <w:rPr>
                <w:rFonts w:ascii="仿宋_GB2312" w:eastAsia="仿宋_GB2312" w:hAnsi="Calibri" w:cs="宋体"/>
                <w:color w:val="000000"/>
                <w:sz w:val="24"/>
              </w:rPr>
              <w:t>-</w:t>
            </w:r>
          </w:p>
        </w:tc>
      </w:tr>
      <w:tr w:rsidR="00B478CA">
        <w:tc>
          <w:tcPr>
            <w:tcW w:w="1281" w:type="dxa"/>
            <w:vAlign w:val="center"/>
          </w:tcPr>
          <w:p w:rsidR="00B478CA" w:rsidRDefault="0090720A">
            <w:pPr>
              <w:jc w:val="center"/>
            </w:pPr>
            <w:r>
              <w:rPr>
                <w:rFonts w:ascii="仿宋_GB2312" w:eastAsia="仿宋_GB2312" w:hAnsi="Calibri" w:cs="宋体"/>
                <w:color w:val="000000"/>
                <w:sz w:val="24"/>
              </w:rPr>
              <w:t>6</w:t>
            </w:r>
          </w:p>
        </w:tc>
        <w:tc>
          <w:tcPr>
            <w:tcW w:w="2620" w:type="dxa"/>
            <w:vAlign w:val="center"/>
          </w:tcPr>
          <w:p w:rsidR="00B478CA" w:rsidRDefault="0090720A">
            <w:pPr>
              <w:jc w:val="center"/>
            </w:pPr>
            <w:r>
              <w:rPr>
                <w:rFonts w:ascii="仿宋_GB2312" w:eastAsia="仿宋_GB2312" w:hAnsi="Calibri" w:cs="宋体"/>
                <w:color w:val="000000"/>
                <w:sz w:val="24"/>
              </w:rPr>
              <w:t>净值类资产管理计划</w:t>
            </w:r>
          </w:p>
        </w:tc>
        <w:tc>
          <w:tcPr>
            <w:tcW w:w="2694" w:type="dxa"/>
            <w:vAlign w:val="center"/>
          </w:tcPr>
          <w:p w:rsidR="00B478CA" w:rsidRDefault="0090720A">
            <w:pPr>
              <w:jc w:val="center"/>
            </w:pPr>
            <w:r>
              <w:rPr>
                <w:rFonts w:ascii="仿宋_GB2312" w:eastAsia="仿宋_GB2312" w:hAnsi="Calibri" w:cs="宋体"/>
                <w:color w:val="000000"/>
                <w:sz w:val="24"/>
              </w:rPr>
              <w:t>-</w:t>
            </w:r>
          </w:p>
        </w:tc>
        <w:tc>
          <w:tcPr>
            <w:tcW w:w="2477" w:type="dxa"/>
            <w:vAlign w:val="center"/>
          </w:tcPr>
          <w:p w:rsidR="00B478CA" w:rsidRDefault="0090720A">
            <w:pPr>
              <w:jc w:val="center"/>
            </w:pPr>
            <w:r>
              <w:rPr>
                <w:rFonts w:ascii="仿宋_GB2312" w:eastAsia="仿宋_GB2312" w:hAnsi="Calibri" w:cs="宋体"/>
                <w:color w:val="000000"/>
                <w:sz w:val="24"/>
              </w:rPr>
              <w:t>-</w:t>
            </w:r>
          </w:p>
        </w:tc>
      </w:tr>
      <w:tr w:rsidR="00B478CA">
        <w:tc>
          <w:tcPr>
            <w:tcW w:w="1281" w:type="dxa"/>
            <w:vAlign w:val="center"/>
          </w:tcPr>
          <w:p w:rsidR="00B478CA" w:rsidRDefault="0090720A">
            <w:pPr>
              <w:jc w:val="center"/>
            </w:pPr>
            <w:r>
              <w:rPr>
                <w:rFonts w:ascii="仿宋_GB2312" w:eastAsia="仿宋_GB2312" w:hAnsi="Calibri" w:cs="宋体"/>
                <w:color w:val="000000"/>
                <w:sz w:val="24"/>
              </w:rPr>
              <w:t>7</w:t>
            </w:r>
          </w:p>
        </w:tc>
        <w:tc>
          <w:tcPr>
            <w:tcW w:w="2620" w:type="dxa"/>
            <w:vAlign w:val="center"/>
          </w:tcPr>
          <w:p w:rsidR="00B478CA" w:rsidRDefault="0090720A">
            <w:pPr>
              <w:jc w:val="center"/>
            </w:pPr>
            <w:r>
              <w:rPr>
                <w:rFonts w:ascii="仿宋_GB2312" w:eastAsia="仿宋_GB2312" w:hAnsi="Calibri" w:cs="宋体"/>
                <w:color w:val="000000"/>
                <w:sz w:val="24"/>
              </w:rPr>
              <w:t>资金拆出</w:t>
            </w:r>
          </w:p>
        </w:tc>
        <w:tc>
          <w:tcPr>
            <w:tcW w:w="2694" w:type="dxa"/>
            <w:vAlign w:val="center"/>
          </w:tcPr>
          <w:p w:rsidR="00B478CA" w:rsidRDefault="0090720A">
            <w:pPr>
              <w:jc w:val="center"/>
            </w:pPr>
            <w:r>
              <w:rPr>
                <w:rFonts w:ascii="仿宋_GB2312" w:eastAsia="仿宋_GB2312" w:hAnsi="Calibri" w:cs="宋体"/>
                <w:color w:val="000000"/>
                <w:sz w:val="24"/>
              </w:rPr>
              <w:t>-</w:t>
            </w:r>
          </w:p>
        </w:tc>
        <w:tc>
          <w:tcPr>
            <w:tcW w:w="2477" w:type="dxa"/>
            <w:vAlign w:val="center"/>
          </w:tcPr>
          <w:p w:rsidR="00B478CA" w:rsidRDefault="0090720A">
            <w:pPr>
              <w:jc w:val="center"/>
            </w:pPr>
            <w:r>
              <w:rPr>
                <w:rFonts w:ascii="仿宋_GB2312" w:eastAsia="仿宋_GB2312" w:hAnsi="Calibri" w:cs="宋体"/>
                <w:color w:val="000000"/>
                <w:sz w:val="24"/>
              </w:rPr>
              <w:t>-</w:t>
            </w:r>
          </w:p>
        </w:tc>
      </w:tr>
      <w:tr w:rsidR="00B478CA">
        <w:tc>
          <w:tcPr>
            <w:tcW w:w="1281" w:type="dxa"/>
            <w:vAlign w:val="center"/>
          </w:tcPr>
          <w:p w:rsidR="00B478CA" w:rsidRDefault="0090720A">
            <w:pPr>
              <w:jc w:val="center"/>
            </w:pPr>
            <w:r>
              <w:rPr>
                <w:rFonts w:ascii="仿宋_GB2312" w:eastAsia="仿宋_GB2312" w:hAnsi="Calibri" w:cs="宋体"/>
                <w:color w:val="000000"/>
                <w:sz w:val="24"/>
              </w:rPr>
              <w:t>8</w:t>
            </w:r>
          </w:p>
        </w:tc>
        <w:tc>
          <w:tcPr>
            <w:tcW w:w="2620" w:type="dxa"/>
            <w:vAlign w:val="center"/>
          </w:tcPr>
          <w:p w:rsidR="00B478CA" w:rsidRDefault="0090720A">
            <w:pPr>
              <w:jc w:val="center"/>
            </w:pPr>
            <w:r>
              <w:rPr>
                <w:rFonts w:ascii="仿宋_GB2312" w:eastAsia="仿宋_GB2312" w:hAnsi="Calibri" w:cs="宋体"/>
                <w:color w:val="000000"/>
                <w:sz w:val="24"/>
              </w:rPr>
              <w:t>结算备付金</w:t>
            </w:r>
          </w:p>
        </w:tc>
        <w:tc>
          <w:tcPr>
            <w:tcW w:w="2694" w:type="dxa"/>
            <w:vAlign w:val="center"/>
          </w:tcPr>
          <w:p w:rsidR="00B478CA" w:rsidRDefault="0090720A">
            <w:pPr>
              <w:jc w:val="center"/>
            </w:pPr>
            <w:r>
              <w:rPr>
                <w:rFonts w:ascii="仿宋_GB2312" w:eastAsia="仿宋_GB2312" w:hAnsi="Calibri" w:cs="宋体"/>
                <w:color w:val="000000"/>
                <w:sz w:val="24"/>
              </w:rPr>
              <w:t>-</w:t>
            </w:r>
          </w:p>
        </w:tc>
        <w:tc>
          <w:tcPr>
            <w:tcW w:w="2477" w:type="dxa"/>
            <w:vAlign w:val="center"/>
          </w:tcPr>
          <w:p w:rsidR="00B478CA" w:rsidRDefault="0090720A">
            <w:pPr>
              <w:jc w:val="center"/>
            </w:pPr>
            <w:r>
              <w:rPr>
                <w:rFonts w:ascii="仿宋_GB2312" w:eastAsia="仿宋_GB2312" w:hAnsi="Calibri" w:cs="宋体"/>
                <w:color w:val="000000"/>
                <w:sz w:val="24"/>
              </w:rPr>
              <w:t>-</w:t>
            </w:r>
          </w:p>
        </w:tc>
      </w:tr>
      <w:tr w:rsidR="00B478CA">
        <w:tc>
          <w:tcPr>
            <w:tcW w:w="1281" w:type="dxa"/>
            <w:vAlign w:val="center"/>
          </w:tcPr>
          <w:p w:rsidR="00B478CA" w:rsidRDefault="0090720A">
            <w:pPr>
              <w:jc w:val="center"/>
            </w:pPr>
            <w:r>
              <w:rPr>
                <w:rFonts w:ascii="仿宋_GB2312" w:eastAsia="仿宋_GB2312" w:hAnsi="Calibri" w:cs="宋体"/>
                <w:color w:val="000000"/>
                <w:sz w:val="24"/>
              </w:rPr>
              <w:lastRenderedPageBreak/>
              <w:t>9</w:t>
            </w:r>
          </w:p>
        </w:tc>
        <w:tc>
          <w:tcPr>
            <w:tcW w:w="2620" w:type="dxa"/>
            <w:vAlign w:val="center"/>
          </w:tcPr>
          <w:p w:rsidR="00B478CA" w:rsidRDefault="0090720A">
            <w:pPr>
              <w:jc w:val="center"/>
            </w:pPr>
            <w:r>
              <w:rPr>
                <w:rFonts w:ascii="仿宋_GB2312" w:eastAsia="仿宋_GB2312" w:hAnsi="Calibri" w:cs="宋体"/>
                <w:color w:val="000000"/>
                <w:sz w:val="24"/>
              </w:rPr>
              <w:t>买入返售金融资产</w:t>
            </w:r>
          </w:p>
        </w:tc>
        <w:tc>
          <w:tcPr>
            <w:tcW w:w="2694" w:type="dxa"/>
            <w:vAlign w:val="center"/>
          </w:tcPr>
          <w:p w:rsidR="00B478CA" w:rsidRDefault="0090720A">
            <w:pPr>
              <w:jc w:val="center"/>
            </w:pPr>
            <w:r>
              <w:rPr>
                <w:rFonts w:ascii="仿宋_GB2312" w:eastAsia="仿宋_GB2312" w:hAnsi="Calibri" w:cs="宋体"/>
                <w:color w:val="000000"/>
                <w:sz w:val="24"/>
              </w:rPr>
              <w:t>-</w:t>
            </w:r>
          </w:p>
        </w:tc>
        <w:tc>
          <w:tcPr>
            <w:tcW w:w="2477" w:type="dxa"/>
            <w:vAlign w:val="center"/>
          </w:tcPr>
          <w:p w:rsidR="00B478CA" w:rsidRDefault="0090720A">
            <w:pPr>
              <w:jc w:val="center"/>
            </w:pPr>
            <w:r>
              <w:rPr>
                <w:rFonts w:ascii="仿宋_GB2312" w:eastAsia="仿宋_GB2312" w:hAnsi="Calibri" w:cs="宋体"/>
                <w:color w:val="000000"/>
                <w:sz w:val="24"/>
              </w:rPr>
              <w:t>-</w:t>
            </w:r>
          </w:p>
        </w:tc>
      </w:tr>
      <w:tr w:rsidR="00142484">
        <w:tc>
          <w:tcPr>
            <w:tcW w:w="1281" w:type="dxa"/>
            <w:vAlign w:val="center"/>
          </w:tcPr>
          <w:p w:rsidR="00142484" w:rsidRDefault="00142484" w:rsidP="00142484">
            <w:pPr>
              <w:jc w:val="center"/>
            </w:pPr>
            <w:r>
              <w:rPr>
                <w:rFonts w:ascii="仿宋_GB2312" w:eastAsia="仿宋_GB2312" w:hAnsi="Calibri" w:cs="宋体"/>
                <w:color w:val="000000"/>
                <w:sz w:val="24"/>
              </w:rPr>
              <w:t>10</w:t>
            </w:r>
          </w:p>
        </w:tc>
        <w:tc>
          <w:tcPr>
            <w:tcW w:w="2620" w:type="dxa"/>
            <w:vAlign w:val="center"/>
          </w:tcPr>
          <w:p w:rsidR="00142484" w:rsidRDefault="00142484" w:rsidP="00142484">
            <w:pPr>
              <w:jc w:val="center"/>
            </w:pPr>
            <w:r>
              <w:rPr>
                <w:rFonts w:ascii="仿宋_GB2312" w:eastAsia="仿宋_GB2312" w:hAnsi="Calibri" w:cs="宋体"/>
                <w:color w:val="000000"/>
                <w:sz w:val="24"/>
              </w:rPr>
              <w:t>其他资产</w:t>
            </w:r>
          </w:p>
        </w:tc>
        <w:tc>
          <w:tcPr>
            <w:tcW w:w="2694" w:type="dxa"/>
            <w:vAlign w:val="center"/>
          </w:tcPr>
          <w:p w:rsidR="00142484" w:rsidRDefault="00142484" w:rsidP="00142484">
            <w:pPr>
              <w:jc w:val="center"/>
            </w:pPr>
            <w:r>
              <w:rPr>
                <w:rFonts w:ascii="仿宋_GB2312" w:eastAsia="仿宋_GB2312" w:hAnsi="Calibri" w:cs="宋体"/>
                <w:color w:val="000000"/>
                <w:sz w:val="24"/>
              </w:rPr>
              <w:t>-</w:t>
            </w:r>
          </w:p>
        </w:tc>
        <w:tc>
          <w:tcPr>
            <w:tcW w:w="2477" w:type="dxa"/>
            <w:vAlign w:val="center"/>
          </w:tcPr>
          <w:p w:rsidR="00142484" w:rsidRDefault="00142484" w:rsidP="00142484">
            <w:pPr>
              <w:jc w:val="center"/>
            </w:pPr>
            <w:r>
              <w:rPr>
                <w:rFonts w:ascii="仿宋_GB2312" w:eastAsia="仿宋_GB2312" w:hAnsi="Calibri" w:cs="宋体"/>
                <w:color w:val="000000"/>
                <w:sz w:val="24"/>
              </w:rPr>
              <w:t>-</w:t>
            </w:r>
          </w:p>
        </w:tc>
      </w:tr>
      <w:tr w:rsidR="00B478CA">
        <w:tc>
          <w:tcPr>
            <w:tcW w:w="1281" w:type="dxa"/>
            <w:vAlign w:val="center"/>
          </w:tcPr>
          <w:p w:rsidR="00B478CA" w:rsidRDefault="0090720A">
            <w:pPr>
              <w:jc w:val="center"/>
            </w:pPr>
            <w:bookmarkStart w:id="0" w:name="_GoBack" w:colFirst="2" w:colLast="3"/>
            <w:r>
              <w:rPr>
                <w:rFonts w:ascii="仿宋_GB2312" w:eastAsia="仿宋_GB2312" w:hAnsi="Calibri" w:cs="宋体"/>
                <w:color w:val="000000"/>
                <w:sz w:val="24"/>
              </w:rPr>
              <w:t>11</w:t>
            </w:r>
          </w:p>
        </w:tc>
        <w:tc>
          <w:tcPr>
            <w:tcW w:w="2620" w:type="dxa"/>
            <w:vAlign w:val="center"/>
          </w:tcPr>
          <w:p w:rsidR="00B478CA" w:rsidRDefault="0090720A">
            <w:pPr>
              <w:jc w:val="center"/>
            </w:pPr>
            <w:r>
              <w:rPr>
                <w:rFonts w:ascii="仿宋_GB2312" w:eastAsia="仿宋_GB2312" w:hAnsi="Calibri" w:cs="宋体"/>
                <w:color w:val="000000"/>
                <w:sz w:val="24"/>
              </w:rPr>
              <w:t>应收利息</w:t>
            </w:r>
          </w:p>
        </w:tc>
        <w:tc>
          <w:tcPr>
            <w:tcW w:w="2694" w:type="dxa"/>
            <w:vAlign w:val="center"/>
          </w:tcPr>
          <w:p w:rsidR="00B478CA" w:rsidRPr="00142484" w:rsidRDefault="00142484" w:rsidP="00142484">
            <w:pPr>
              <w:jc w:val="center"/>
              <w:rPr>
                <w:rFonts w:ascii="仿宋_GB2312" w:eastAsia="仿宋_GB2312" w:hAnsi="Calibri" w:cs="宋体" w:hint="eastAsia"/>
                <w:color w:val="000000"/>
                <w:sz w:val="24"/>
              </w:rPr>
            </w:pPr>
            <w:r w:rsidRPr="00142484">
              <w:rPr>
                <w:rFonts w:ascii="仿宋_GB2312" w:eastAsia="仿宋_GB2312" w:hAnsi="Calibri" w:cs="宋体"/>
                <w:color w:val="000000"/>
                <w:sz w:val="24"/>
              </w:rPr>
              <w:t xml:space="preserve">50,959,717.69 </w:t>
            </w:r>
          </w:p>
        </w:tc>
        <w:tc>
          <w:tcPr>
            <w:tcW w:w="2477" w:type="dxa"/>
            <w:vAlign w:val="center"/>
          </w:tcPr>
          <w:p w:rsidR="00B478CA" w:rsidRPr="00142484" w:rsidRDefault="00142484" w:rsidP="00142484">
            <w:pPr>
              <w:jc w:val="center"/>
              <w:rPr>
                <w:rFonts w:ascii="仿宋_GB2312" w:eastAsia="仿宋_GB2312" w:hAnsi="Calibri" w:cs="宋体"/>
                <w:color w:val="000000"/>
                <w:sz w:val="24"/>
              </w:rPr>
            </w:pPr>
            <w:r>
              <w:rPr>
                <w:rFonts w:ascii="仿宋_GB2312" w:eastAsia="仿宋_GB2312" w:hAnsi="Calibri" w:cs="宋体"/>
                <w:color w:val="000000"/>
                <w:sz w:val="24"/>
              </w:rPr>
              <w:t>1.45%</w:t>
            </w:r>
          </w:p>
        </w:tc>
      </w:tr>
      <w:bookmarkEnd w:id="0"/>
      <w:tr w:rsidR="00B478CA">
        <w:tc>
          <w:tcPr>
            <w:tcW w:w="1281" w:type="dxa"/>
            <w:vAlign w:val="center"/>
          </w:tcPr>
          <w:p w:rsidR="00B478CA" w:rsidRDefault="00B478CA">
            <w:pPr>
              <w:jc w:val="center"/>
            </w:pPr>
          </w:p>
        </w:tc>
        <w:tc>
          <w:tcPr>
            <w:tcW w:w="2620" w:type="dxa"/>
            <w:vAlign w:val="center"/>
          </w:tcPr>
          <w:p w:rsidR="00B478CA" w:rsidRDefault="0090720A">
            <w:pPr>
              <w:jc w:val="center"/>
            </w:pPr>
            <w:r>
              <w:rPr>
                <w:rFonts w:ascii="仿宋_GB2312" w:eastAsia="仿宋_GB2312" w:hAnsi="Calibri" w:cs="宋体"/>
                <w:color w:val="000000"/>
                <w:sz w:val="24"/>
              </w:rPr>
              <w:t>合计</w:t>
            </w:r>
          </w:p>
        </w:tc>
        <w:tc>
          <w:tcPr>
            <w:tcW w:w="2694" w:type="dxa"/>
            <w:vAlign w:val="center"/>
          </w:tcPr>
          <w:p w:rsidR="00B478CA" w:rsidRDefault="0090720A">
            <w:pPr>
              <w:jc w:val="center"/>
            </w:pPr>
            <w:r>
              <w:rPr>
                <w:rFonts w:ascii="仿宋_GB2312" w:eastAsia="仿宋_GB2312" w:hAnsi="Calibri" w:cs="宋体"/>
                <w:color w:val="000000"/>
                <w:sz w:val="24"/>
              </w:rPr>
              <w:t>3,536,489,906.55</w:t>
            </w:r>
          </w:p>
        </w:tc>
        <w:tc>
          <w:tcPr>
            <w:tcW w:w="2477" w:type="dxa"/>
            <w:vAlign w:val="center"/>
          </w:tcPr>
          <w:p w:rsidR="00B478CA" w:rsidRDefault="0090720A">
            <w:pPr>
              <w:jc w:val="center"/>
            </w:pPr>
            <w:r>
              <w:rPr>
                <w:rFonts w:ascii="仿宋_GB2312" w:eastAsia="仿宋_GB2312" w:hAnsi="Calibri" w:cs="宋体"/>
                <w:color w:val="000000"/>
                <w:sz w:val="24"/>
              </w:rPr>
              <w:t>100.32%</w:t>
            </w:r>
          </w:p>
        </w:tc>
      </w:tr>
    </w:tbl>
    <w:p w:rsidR="00DE496A" w:rsidRDefault="00DE496A" w:rsidP="00DE496A">
      <w:pPr>
        <w:spacing w:line="360" w:lineRule="auto"/>
        <w:ind w:firstLine="482"/>
        <w:rPr>
          <w:rFonts w:ascii="仿宋_GB2312" w:eastAsia="仿宋_GB2312" w:hAnsi="Calibri"/>
          <w:sz w:val="24"/>
          <w:szCs w:val="24"/>
        </w:rPr>
      </w:pPr>
      <w:r w:rsidRPr="00756460">
        <w:rPr>
          <w:rFonts w:ascii="仿宋_GB2312" w:eastAsia="仿宋_GB2312" w:hint="eastAsia"/>
          <w:b/>
          <w:bCs/>
          <w:sz w:val="24"/>
          <w:szCs w:val="24"/>
        </w:rPr>
        <w:t>4.2 报告期内产品投资策略和组合流动性风险分析</w:t>
      </w:r>
    </w:p>
    <w:p w:rsidR="004B4A70" w:rsidRDefault="004B4A70" w:rsidP="004B4A70">
      <w:pPr>
        <w:spacing w:line="360" w:lineRule="auto"/>
        <w:ind w:firstLine="482"/>
        <w:rPr>
          <w:rFonts w:ascii="仿宋_GB2312" w:eastAsia="仿宋_GB2312" w:hAnsi="Calibri"/>
          <w:sz w:val="24"/>
          <w:szCs w:val="24"/>
        </w:rPr>
      </w:pPr>
      <w:r>
        <w:rPr>
          <w:rFonts w:ascii="仿宋_GB2312" w:eastAsia="仿宋_GB2312" w:hAnsiTheme="minorEastAsia" w:hint="eastAsia"/>
          <w:bCs/>
          <w:sz w:val="24"/>
          <w:szCs w:val="24"/>
        </w:rPr>
        <w:t>投资策略以配置中短期限的高等级信用</w:t>
      </w:r>
      <w:proofErr w:type="gramStart"/>
      <w:r>
        <w:rPr>
          <w:rFonts w:ascii="仿宋_GB2312" w:eastAsia="仿宋_GB2312" w:hAnsiTheme="minorEastAsia" w:hint="eastAsia"/>
          <w:bCs/>
          <w:sz w:val="24"/>
          <w:szCs w:val="24"/>
        </w:rPr>
        <w:t>债为主</w:t>
      </w:r>
      <w:proofErr w:type="gramEnd"/>
      <w:r>
        <w:rPr>
          <w:rFonts w:ascii="仿宋_GB2312" w:eastAsia="仿宋_GB2312" w:hAnsiTheme="minorEastAsia" w:hint="eastAsia"/>
          <w:bCs/>
          <w:sz w:val="24"/>
          <w:szCs w:val="24"/>
        </w:rPr>
        <w:t>,适当杠杆增厚收益，相机</w:t>
      </w:r>
      <w:proofErr w:type="gramStart"/>
      <w:r>
        <w:rPr>
          <w:rFonts w:ascii="仿宋_GB2312" w:eastAsia="仿宋_GB2312" w:hAnsiTheme="minorEastAsia" w:hint="eastAsia"/>
          <w:bCs/>
          <w:sz w:val="24"/>
          <w:szCs w:val="24"/>
        </w:rPr>
        <w:t>配置长</w:t>
      </w:r>
      <w:proofErr w:type="gramEnd"/>
      <w:r>
        <w:rPr>
          <w:rFonts w:ascii="仿宋_GB2312" w:eastAsia="仿宋_GB2312" w:hAnsiTheme="minorEastAsia" w:hint="eastAsia"/>
          <w:bCs/>
          <w:sz w:val="24"/>
          <w:szCs w:val="24"/>
        </w:rPr>
        <w:t>期限利率债挖掘超额收益。</w:t>
      </w:r>
    </w:p>
    <w:p w:rsidR="00DE496A" w:rsidRPr="004B4A70" w:rsidRDefault="00DE496A" w:rsidP="00DE496A">
      <w:pPr>
        <w:rPr>
          <w:rFonts w:ascii="仿宋_GB2312" w:eastAsia="仿宋_GB2312" w:hAnsi="Calibri"/>
          <w:sz w:val="24"/>
          <w:szCs w:val="24"/>
        </w:rPr>
      </w:pPr>
    </w:p>
    <w:p w:rsidR="00DE496A" w:rsidRDefault="00DE496A" w:rsidP="00DE496A">
      <w:pPr>
        <w:spacing w:line="360" w:lineRule="auto"/>
        <w:ind w:firstLineChars="200" w:firstLine="482"/>
        <w:rPr>
          <w:rFonts w:ascii="仿宋_GB2312" w:eastAsia="仿宋_GB2312" w:hAnsiTheme="minorEastAsia"/>
          <w:b/>
          <w:bCs/>
          <w:sz w:val="24"/>
          <w:szCs w:val="24"/>
        </w:rPr>
      </w:pPr>
      <w:r>
        <w:rPr>
          <w:rFonts w:ascii="仿宋_GB2312" w:eastAsia="仿宋_GB2312" w:hAnsiTheme="minorEastAsia"/>
          <w:b/>
          <w:bCs/>
          <w:sz w:val="24"/>
          <w:szCs w:val="24"/>
        </w:rPr>
        <w:t>4.3报告期末占比前十项资产明细</w:t>
      </w:r>
    </w:p>
    <w:tbl>
      <w:tblPr>
        <w:tblW w:w="907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1139"/>
        <w:gridCol w:w="2268"/>
        <w:gridCol w:w="2835"/>
        <w:gridCol w:w="2835"/>
      </w:tblGrid>
      <w:tr w:rsidR="00DE496A" w:rsidTr="00B00579">
        <w:trPr>
          <w:trHeight w:val="296"/>
        </w:trPr>
        <w:tc>
          <w:tcPr>
            <w:tcW w:w="1139" w:type="dxa"/>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序号</w:t>
            </w:r>
          </w:p>
        </w:tc>
        <w:tc>
          <w:tcPr>
            <w:tcW w:w="2268" w:type="dxa"/>
            <w:tcMar>
              <w:top w:w="15" w:type="dxa"/>
              <w:left w:w="15" w:type="dxa"/>
              <w:bottom w:w="0" w:type="dxa"/>
              <w:right w:w="15" w:type="dxa"/>
            </w:tcMar>
            <w:vAlign w:val="center"/>
          </w:tcPr>
          <w:p w:rsidR="00DE496A" w:rsidRDefault="00DE496A" w:rsidP="00B00579">
            <w:pPr>
              <w:pStyle w:val="xl33"/>
              <w:widowControl w:val="0"/>
              <w:pBdr>
                <w:left w:val="none" w:sz="0" w:space="0" w:color="auto"/>
                <w:bottom w:val="none" w:sz="0" w:space="0" w:color="auto"/>
                <w:right w:val="none" w:sz="0" w:space="0" w:color="auto"/>
              </w:pBdr>
              <w:adjustRightInd w:val="0"/>
              <w:snapToGrid w:val="0"/>
              <w:spacing w:before="0" w:beforeAutospacing="0" w:after="0" w:afterAutospacing="0" w:line="360" w:lineRule="auto"/>
              <w:rPr>
                <w:rFonts w:ascii="仿宋_GB2312" w:eastAsia="仿宋_GB2312" w:hAnsiTheme="minorEastAsia" w:cs="Times New Roman"/>
                <w:color w:val="000000"/>
                <w:kern w:val="2"/>
              </w:rPr>
            </w:pPr>
            <w:r>
              <w:rPr>
                <w:rFonts w:ascii="仿宋_GB2312" w:eastAsia="仿宋_GB2312" w:hAnsiTheme="minorEastAsia" w:cs="Times New Roman" w:hint="eastAsia"/>
                <w:color w:val="000000"/>
                <w:kern w:val="2"/>
              </w:rPr>
              <w:t>资产名称</w:t>
            </w:r>
          </w:p>
        </w:tc>
        <w:tc>
          <w:tcPr>
            <w:tcW w:w="2835"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资产规模</w:t>
            </w:r>
          </w:p>
        </w:tc>
        <w:tc>
          <w:tcPr>
            <w:tcW w:w="2835" w:type="dxa"/>
            <w:tcMar>
              <w:top w:w="15" w:type="dxa"/>
              <w:left w:w="15" w:type="dxa"/>
              <w:bottom w:w="0" w:type="dxa"/>
              <w:right w:w="15" w:type="dxa"/>
            </w:tcMar>
            <w:vAlign w:val="cente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Theme="minorEastAsia" w:hint="eastAsia"/>
                <w:color w:val="000000"/>
                <w:sz w:val="24"/>
                <w:szCs w:val="24"/>
              </w:rPr>
              <w:t>占产品资产净值比例</w:t>
            </w:r>
          </w:p>
        </w:tc>
      </w:tr>
      <w:tr w:rsidR="00DE496A" w:rsidTr="00B00579">
        <w:trPr>
          <w:trHeight w:val="296"/>
        </w:trPr>
        <w:tc>
          <w:tcPr>
            <w:tcW w:w="1139" w:type="dxa"/>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w:t>
            </w:r>
          </w:p>
        </w:tc>
        <w:tc>
          <w:tcPr>
            <w:tcW w:w="2268" w:type="dxa"/>
            <w:tcMar>
              <w:top w:w="15" w:type="dxa"/>
              <w:left w:w="15" w:type="dxa"/>
              <w:bottom w:w="0" w:type="dxa"/>
              <w:right w:w="15" w:type="dxa"/>
            </w:tcMar>
          </w:tcPr>
          <w:p w:rsidR="00DE496A"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19中国银行永续债01</w:t>
            </w:r>
          </w:p>
        </w:tc>
        <w:tc>
          <w:tcPr>
            <w:tcW w:w="2835" w:type="dxa"/>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307,860,000.00</w:t>
            </w:r>
          </w:p>
        </w:tc>
        <w:tc>
          <w:tcPr>
            <w:tcW w:w="2835" w:type="dxa"/>
            <w:tcMar>
              <w:top w:w="15" w:type="dxa"/>
              <w:left w:w="15" w:type="dxa"/>
              <w:bottom w:w="0" w:type="dxa"/>
              <w:right w:w="15" w:type="dxa"/>
            </w:tcMar>
          </w:tcPr>
          <w:p w:rsidR="00DE496A" w:rsidRPr="00D41D16" w:rsidRDefault="00DE496A" w:rsidP="00B00579">
            <w:pPr>
              <w:adjustRightInd w:val="0"/>
              <w:snapToGrid w:val="0"/>
              <w:spacing w:line="360" w:lineRule="auto"/>
              <w:jc w:val="center"/>
              <w:rPr>
                <w:rFonts w:ascii="仿宋_GB2312" w:eastAsia="仿宋_GB2312" w:hAnsiTheme="minorEastAsia"/>
                <w:color w:val="000000"/>
                <w:sz w:val="24"/>
                <w:szCs w:val="24"/>
              </w:rPr>
            </w:pPr>
            <w:r>
              <w:rPr>
                <w:rFonts w:ascii="仿宋_GB2312" w:eastAsia="仿宋_GB2312" w:hAnsi="Calibri" w:cs="宋体"/>
                <w:color w:val="000000"/>
                <w:sz w:val="24"/>
                <w:szCs w:val="24"/>
              </w:rPr>
              <w:t>8.73%</w:t>
            </w:r>
          </w:p>
        </w:tc>
      </w:tr>
      <w:tr w:rsidR="00B478CA">
        <w:tc>
          <w:tcPr>
            <w:tcW w:w="1139" w:type="dxa"/>
          </w:tcPr>
          <w:p w:rsidR="00B478CA" w:rsidRDefault="0090720A">
            <w:pPr>
              <w:jc w:val="center"/>
            </w:pPr>
            <w:r>
              <w:rPr>
                <w:rFonts w:ascii="仿宋_GB2312" w:eastAsia="仿宋_GB2312" w:hAnsi="Calibri" w:cs="宋体"/>
                <w:color w:val="000000"/>
                <w:sz w:val="24"/>
              </w:rPr>
              <w:t>2</w:t>
            </w:r>
          </w:p>
        </w:tc>
        <w:tc>
          <w:tcPr>
            <w:tcW w:w="2268"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17工商银行二级02</w:t>
            </w:r>
          </w:p>
        </w:tc>
        <w:tc>
          <w:tcPr>
            <w:tcW w:w="2835" w:type="dxa"/>
          </w:tcPr>
          <w:p w:rsidR="00B478CA" w:rsidRDefault="0090720A">
            <w:pPr>
              <w:jc w:val="center"/>
            </w:pPr>
            <w:r>
              <w:rPr>
                <w:rFonts w:ascii="仿宋_GB2312" w:eastAsia="仿宋_GB2312" w:hAnsi="Calibri" w:cs="宋体"/>
                <w:color w:val="000000"/>
                <w:sz w:val="24"/>
              </w:rPr>
              <w:t>303,360,000.00</w:t>
            </w:r>
          </w:p>
        </w:tc>
        <w:tc>
          <w:tcPr>
            <w:tcW w:w="2835"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8.61%</w:t>
            </w:r>
          </w:p>
        </w:tc>
      </w:tr>
      <w:tr w:rsidR="00B478CA">
        <w:tc>
          <w:tcPr>
            <w:tcW w:w="1139" w:type="dxa"/>
          </w:tcPr>
          <w:p w:rsidR="00B478CA" w:rsidRDefault="0090720A">
            <w:pPr>
              <w:jc w:val="center"/>
            </w:pPr>
            <w:r>
              <w:rPr>
                <w:rFonts w:ascii="仿宋_GB2312" w:eastAsia="仿宋_GB2312" w:hAnsi="Calibri" w:cs="宋体"/>
                <w:color w:val="000000"/>
                <w:sz w:val="24"/>
              </w:rPr>
              <w:t>3</w:t>
            </w:r>
          </w:p>
        </w:tc>
        <w:tc>
          <w:tcPr>
            <w:tcW w:w="2268"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20临安国控PPN001</w:t>
            </w:r>
          </w:p>
        </w:tc>
        <w:tc>
          <w:tcPr>
            <w:tcW w:w="2835" w:type="dxa"/>
          </w:tcPr>
          <w:p w:rsidR="00B478CA" w:rsidRDefault="0090720A">
            <w:pPr>
              <w:jc w:val="center"/>
            </w:pPr>
            <w:r>
              <w:rPr>
                <w:rFonts w:ascii="仿宋_GB2312" w:eastAsia="仿宋_GB2312" w:hAnsi="Calibri" w:cs="宋体"/>
                <w:color w:val="000000"/>
                <w:sz w:val="24"/>
              </w:rPr>
              <w:t>301,890,000.00</w:t>
            </w:r>
          </w:p>
        </w:tc>
        <w:tc>
          <w:tcPr>
            <w:tcW w:w="2835"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8.56%</w:t>
            </w:r>
          </w:p>
        </w:tc>
      </w:tr>
      <w:tr w:rsidR="00B478CA">
        <w:tc>
          <w:tcPr>
            <w:tcW w:w="1139" w:type="dxa"/>
          </w:tcPr>
          <w:p w:rsidR="00B478CA" w:rsidRDefault="0090720A">
            <w:pPr>
              <w:jc w:val="center"/>
            </w:pPr>
            <w:r>
              <w:rPr>
                <w:rFonts w:ascii="仿宋_GB2312" w:eastAsia="仿宋_GB2312" w:hAnsi="Calibri" w:cs="宋体"/>
                <w:color w:val="000000"/>
                <w:sz w:val="24"/>
              </w:rPr>
              <w:t>4</w:t>
            </w:r>
          </w:p>
        </w:tc>
        <w:tc>
          <w:tcPr>
            <w:tcW w:w="2268"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21锦江国际MTN002</w:t>
            </w:r>
          </w:p>
        </w:tc>
        <w:tc>
          <w:tcPr>
            <w:tcW w:w="2835" w:type="dxa"/>
          </w:tcPr>
          <w:p w:rsidR="00B478CA" w:rsidRDefault="0090720A">
            <w:pPr>
              <w:jc w:val="center"/>
            </w:pPr>
            <w:r>
              <w:rPr>
                <w:rFonts w:ascii="仿宋_GB2312" w:eastAsia="仿宋_GB2312" w:hAnsi="Calibri" w:cs="宋体"/>
                <w:color w:val="000000"/>
                <w:sz w:val="24"/>
              </w:rPr>
              <w:t>239,784,000.00</w:t>
            </w:r>
          </w:p>
        </w:tc>
        <w:tc>
          <w:tcPr>
            <w:tcW w:w="2835"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6.80%</w:t>
            </w:r>
          </w:p>
        </w:tc>
      </w:tr>
      <w:tr w:rsidR="00B478CA">
        <w:tc>
          <w:tcPr>
            <w:tcW w:w="1139" w:type="dxa"/>
          </w:tcPr>
          <w:p w:rsidR="00B478CA" w:rsidRDefault="0090720A">
            <w:pPr>
              <w:jc w:val="center"/>
            </w:pPr>
            <w:r>
              <w:rPr>
                <w:rFonts w:ascii="仿宋_GB2312" w:eastAsia="仿宋_GB2312" w:hAnsi="Calibri" w:cs="宋体"/>
                <w:color w:val="000000"/>
                <w:sz w:val="24"/>
              </w:rPr>
              <w:t>5</w:t>
            </w:r>
          </w:p>
        </w:tc>
        <w:tc>
          <w:tcPr>
            <w:tcW w:w="2268"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17甬开投MTN001</w:t>
            </w:r>
          </w:p>
        </w:tc>
        <w:tc>
          <w:tcPr>
            <w:tcW w:w="2835" w:type="dxa"/>
          </w:tcPr>
          <w:p w:rsidR="00B478CA" w:rsidRDefault="0090720A">
            <w:pPr>
              <w:jc w:val="center"/>
            </w:pPr>
            <w:r>
              <w:rPr>
                <w:rFonts w:ascii="仿宋_GB2312" w:eastAsia="仿宋_GB2312" w:hAnsi="Calibri" w:cs="宋体"/>
                <w:color w:val="000000"/>
                <w:sz w:val="24"/>
              </w:rPr>
              <w:t>234,485,000.00</w:t>
            </w:r>
          </w:p>
        </w:tc>
        <w:tc>
          <w:tcPr>
            <w:tcW w:w="2835"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6.65%</w:t>
            </w:r>
          </w:p>
        </w:tc>
      </w:tr>
      <w:tr w:rsidR="00B478CA">
        <w:tc>
          <w:tcPr>
            <w:tcW w:w="1139" w:type="dxa"/>
          </w:tcPr>
          <w:p w:rsidR="00B478CA" w:rsidRDefault="0090720A">
            <w:pPr>
              <w:jc w:val="center"/>
            </w:pPr>
            <w:r>
              <w:rPr>
                <w:rFonts w:ascii="仿宋_GB2312" w:eastAsia="仿宋_GB2312" w:hAnsi="Calibri" w:cs="宋体"/>
                <w:color w:val="000000"/>
                <w:sz w:val="24"/>
              </w:rPr>
              <w:t>6</w:t>
            </w:r>
          </w:p>
        </w:tc>
        <w:tc>
          <w:tcPr>
            <w:tcW w:w="2268"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19农业银行永续债02</w:t>
            </w:r>
          </w:p>
        </w:tc>
        <w:tc>
          <w:tcPr>
            <w:tcW w:w="2835" w:type="dxa"/>
          </w:tcPr>
          <w:p w:rsidR="00B478CA" w:rsidRDefault="0090720A">
            <w:pPr>
              <w:jc w:val="center"/>
            </w:pPr>
            <w:r>
              <w:rPr>
                <w:rFonts w:ascii="仿宋_GB2312" w:eastAsia="仿宋_GB2312" w:hAnsi="Calibri" w:cs="宋体"/>
                <w:color w:val="000000"/>
                <w:sz w:val="24"/>
              </w:rPr>
              <w:t>204,840,000.00</w:t>
            </w:r>
          </w:p>
        </w:tc>
        <w:tc>
          <w:tcPr>
            <w:tcW w:w="2835"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5.81%</w:t>
            </w:r>
          </w:p>
        </w:tc>
      </w:tr>
      <w:tr w:rsidR="00B478CA">
        <w:tc>
          <w:tcPr>
            <w:tcW w:w="1139" w:type="dxa"/>
          </w:tcPr>
          <w:p w:rsidR="00B478CA" w:rsidRDefault="0090720A">
            <w:pPr>
              <w:jc w:val="center"/>
            </w:pPr>
            <w:r>
              <w:rPr>
                <w:rFonts w:ascii="仿宋_GB2312" w:eastAsia="仿宋_GB2312" w:hAnsi="Calibri" w:cs="宋体"/>
                <w:color w:val="000000"/>
                <w:sz w:val="24"/>
              </w:rPr>
              <w:t>7</w:t>
            </w:r>
          </w:p>
        </w:tc>
        <w:tc>
          <w:tcPr>
            <w:tcW w:w="2268"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20中广核MTN003</w:t>
            </w:r>
          </w:p>
        </w:tc>
        <w:tc>
          <w:tcPr>
            <w:tcW w:w="2835" w:type="dxa"/>
          </w:tcPr>
          <w:p w:rsidR="00B478CA" w:rsidRDefault="0090720A">
            <w:pPr>
              <w:jc w:val="center"/>
            </w:pPr>
            <w:r>
              <w:rPr>
                <w:rFonts w:ascii="仿宋_GB2312" w:eastAsia="仿宋_GB2312" w:hAnsi="Calibri" w:cs="宋体"/>
                <w:color w:val="000000"/>
                <w:sz w:val="24"/>
              </w:rPr>
              <w:t>202,560,000.00</w:t>
            </w:r>
          </w:p>
        </w:tc>
        <w:tc>
          <w:tcPr>
            <w:tcW w:w="2835"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5.75%</w:t>
            </w:r>
          </w:p>
        </w:tc>
      </w:tr>
      <w:tr w:rsidR="00B478CA">
        <w:tc>
          <w:tcPr>
            <w:tcW w:w="1139" w:type="dxa"/>
          </w:tcPr>
          <w:p w:rsidR="00B478CA" w:rsidRDefault="0090720A">
            <w:pPr>
              <w:jc w:val="center"/>
            </w:pPr>
            <w:r>
              <w:rPr>
                <w:rFonts w:ascii="仿宋_GB2312" w:eastAsia="仿宋_GB2312" w:hAnsi="Calibri" w:cs="宋体"/>
                <w:color w:val="000000"/>
                <w:sz w:val="24"/>
              </w:rPr>
              <w:t>8</w:t>
            </w:r>
          </w:p>
        </w:tc>
        <w:tc>
          <w:tcPr>
            <w:tcW w:w="2268"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20融和融资PPN001</w:t>
            </w:r>
          </w:p>
        </w:tc>
        <w:tc>
          <w:tcPr>
            <w:tcW w:w="2835" w:type="dxa"/>
          </w:tcPr>
          <w:p w:rsidR="00B478CA" w:rsidRDefault="0090720A">
            <w:pPr>
              <w:jc w:val="center"/>
            </w:pPr>
            <w:r>
              <w:rPr>
                <w:rFonts w:ascii="仿宋_GB2312" w:eastAsia="仿宋_GB2312" w:hAnsi="Calibri" w:cs="宋体"/>
                <w:color w:val="000000"/>
                <w:sz w:val="24"/>
              </w:rPr>
              <w:t>181,188,000.00</w:t>
            </w:r>
          </w:p>
        </w:tc>
        <w:tc>
          <w:tcPr>
            <w:tcW w:w="2835"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5.14%</w:t>
            </w:r>
          </w:p>
        </w:tc>
      </w:tr>
      <w:tr w:rsidR="00B478CA">
        <w:tc>
          <w:tcPr>
            <w:tcW w:w="1139" w:type="dxa"/>
          </w:tcPr>
          <w:p w:rsidR="00B478CA" w:rsidRDefault="0090720A">
            <w:pPr>
              <w:jc w:val="center"/>
            </w:pPr>
            <w:r>
              <w:rPr>
                <w:rFonts w:ascii="仿宋_GB2312" w:eastAsia="仿宋_GB2312" w:hAnsi="Calibri" w:cs="宋体"/>
                <w:color w:val="000000"/>
                <w:sz w:val="24"/>
              </w:rPr>
              <w:t>9</w:t>
            </w:r>
          </w:p>
        </w:tc>
        <w:tc>
          <w:tcPr>
            <w:tcW w:w="2268"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20三峡MTN001</w:t>
            </w:r>
          </w:p>
        </w:tc>
        <w:tc>
          <w:tcPr>
            <w:tcW w:w="2835" w:type="dxa"/>
          </w:tcPr>
          <w:p w:rsidR="00B478CA" w:rsidRDefault="0090720A">
            <w:pPr>
              <w:jc w:val="center"/>
            </w:pPr>
            <w:r>
              <w:rPr>
                <w:rFonts w:ascii="仿宋_GB2312" w:eastAsia="仿宋_GB2312" w:hAnsi="Calibri" w:cs="宋体"/>
                <w:color w:val="000000"/>
                <w:sz w:val="24"/>
              </w:rPr>
              <w:t>170,408,000.00</w:t>
            </w:r>
          </w:p>
        </w:tc>
        <w:tc>
          <w:tcPr>
            <w:tcW w:w="2835"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4.83%</w:t>
            </w:r>
          </w:p>
        </w:tc>
      </w:tr>
      <w:tr w:rsidR="00B478CA">
        <w:tc>
          <w:tcPr>
            <w:tcW w:w="1139" w:type="dxa"/>
          </w:tcPr>
          <w:p w:rsidR="00B478CA" w:rsidRDefault="0090720A">
            <w:pPr>
              <w:jc w:val="center"/>
            </w:pPr>
            <w:r>
              <w:rPr>
                <w:rFonts w:ascii="仿宋_GB2312" w:eastAsia="仿宋_GB2312" w:hAnsi="Calibri" w:cs="宋体"/>
                <w:color w:val="000000"/>
                <w:sz w:val="24"/>
              </w:rPr>
              <w:t>10</w:t>
            </w:r>
          </w:p>
        </w:tc>
        <w:tc>
          <w:tcPr>
            <w:tcW w:w="2268"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21国开11</w:t>
            </w:r>
          </w:p>
        </w:tc>
        <w:tc>
          <w:tcPr>
            <w:tcW w:w="2835" w:type="dxa"/>
          </w:tcPr>
          <w:p w:rsidR="00B478CA" w:rsidRDefault="0090720A">
            <w:pPr>
              <w:jc w:val="center"/>
            </w:pPr>
            <w:r>
              <w:rPr>
                <w:rFonts w:ascii="仿宋_GB2312" w:eastAsia="仿宋_GB2312" w:hAnsi="Calibri" w:cs="宋体"/>
                <w:color w:val="000000"/>
                <w:sz w:val="24"/>
              </w:rPr>
              <w:t>129,974,000.00</w:t>
            </w:r>
          </w:p>
        </w:tc>
        <w:tc>
          <w:tcPr>
            <w:tcW w:w="2835" w:type="dxa"/>
            <w:tcMar>
              <w:top w:w="15" w:type="dxa"/>
              <w:left w:w="15" w:type="dxa"/>
              <w:bottom w:w="0" w:type="dxa"/>
              <w:right w:w="15" w:type="dxa"/>
            </w:tcMar>
          </w:tcPr>
          <w:p w:rsidR="00B478CA" w:rsidRDefault="0090720A">
            <w:pPr>
              <w:jc w:val="center"/>
            </w:pPr>
            <w:r>
              <w:rPr>
                <w:rFonts w:ascii="仿宋_GB2312" w:eastAsia="仿宋_GB2312" w:hAnsi="Calibri" w:cs="宋体"/>
                <w:color w:val="000000"/>
                <w:sz w:val="24"/>
              </w:rPr>
              <w:t>3.69%</w:t>
            </w:r>
          </w:p>
        </w:tc>
      </w:tr>
    </w:tbl>
    <w:p w:rsidR="00DE496A" w:rsidRPr="00DD633B" w:rsidRDefault="00DE496A" w:rsidP="00DE496A">
      <w:pPr>
        <w:rPr>
          <w:rFonts w:ascii="仿宋_GB2312" w:eastAsia="仿宋_GB2312" w:hAnsi="Calibri"/>
          <w:sz w:val="24"/>
          <w:szCs w:val="24"/>
        </w:rPr>
      </w:pPr>
    </w:p>
    <w:p w:rsidR="00DE496A" w:rsidRDefault="00DE496A" w:rsidP="00DE496A">
      <w:pPr>
        <w:adjustRightInd w:val="0"/>
        <w:snapToGrid w:val="0"/>
        <w:spacing w:line="360" w:lineRule="auto"/>
        <w:ind w:firstLineChars="200" w:firstLine="482"/>
        <w:rPr>
          <w:rFonts w:ascii="仿宋_GB2312" w:eastAsia="仿宋_GB2312" w:hAnsiTheme="minorEastAsia"/>
          <w:b/>
          <w:bCs/>
          <w:sz w:val="24"/>
          <w:szCs w:val="24"/>
        </w:rPr>
      </w:pPr>
      <w:r>
        <w:rPr>
          <w:rFonts w:ascii="仿宋_GB2312" w:eastAsia="仿宋_GB2312"/>
          <w:b/>
          <w:bCs/>
          <w:sz w:val="24"/>
          <w:szCs w:val="24"/>
        </w:rPr>
        <w:t xml:space="preserve"> </w:t>
      </w:r>
      <w:r>
        <w:rPr>
          <w:rFonts w:ascii="仿宋_GB2312" w:eastAsia="仿宋_GB2312" w:hAnsiTheme="minorEastAsia"/>
          <w:b/>
          <w:bCs/>
          <w:sz w:val="24"/>
          <w:szCs w:val="24"/>
        </w:rPr>
        <w:t>4.4报告期末非标准化债权</w:t>
      </w:r>
      <w:r>
        <w:rPr>
          <w:rStyle w:val="a9"/>
          <w:rFonts w:ascii="仿宋_GB2312" w:eastAsia="仿宋_GB2312" w:hAnsiTheme="minorEastAsia"/>
          <w:b/>
          <w:bCs/>
          <w:sz w:val="24"/>
          <w:szCs w:val="24"/>
        </w:rPr>
        <w:footnoteReference w:id="2"/>
      </w:r>
      <w:r>
        <w:rPr>
          <w:rFonts w:ascii="仿宋_GB2312" w:eastAsia="仿宋_GB2312" w:hAnsiTheme="minorEastAsia" w:hint="eastAsia"/>
          <w:b/>
          <w:bCs/>
          <w:sz w:val="24"/>
          <w:szCs w:val="24"/>
        </w:rPr>
        <w:t>投资明细（选填）</w:t>
      </w:r>
    </w:p>
    <w:tbl>
      <w:tblPr>
        <w:tblW w:w="90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134"/>
        <w:gridCol w:w="1312"/>
        <w:gridCol w:w="1382"/>
        <w:gridCol w:w="1419"/>
        <w:gridCol w:w="2972"/>
      </w:tblGrid>
      <w:tr w:rsidR="00DE496A" w:rsidTr="00B00579">
        <w:tc>
          <w:tcPr>
            <w:tcW w:w="85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序号</w:t>
            </w:r>
          </w:p>
        </w:tc>
        <w:tc>
          <w:tcPr>
            <w:tcW w:w="1134"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融资客户</w:t>
            </w:r>
          </w:p>
        </w:tc>
        <w:tc>
          <w:tcPr>
            <w:tcW w:w="131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资产名称</w:t>
            </w:r>
          </w:p>
        </w:tc>
        <w:tc>
          <w:tcPr>
            <w:tcW w:w="1382"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剩余融资期限</w:t>
            </w:r>
          </w:p>
        </w:tc>
        <w:tc>
          <w:tcPr>
            <w:tcW w:w="1419" w:type="dxa"/>
            <w:vAlign w:val="center"/>
          </w:tcPr>
          <w:p w:rsidR="00DE496A" w:rsidRPr="005C3D2F" w:rsidRDefault="00DE496A" w:rsidP="00B00579">
            <w:pPr>
              <w:adjustRightInd w:val="0"/>
              <w:snapToGrid w:val="0"/>
              <w:spacing w:line="360" w:lineRule="auto"/>
              <w:jc w:val="center"/>
              <w:rPr>
                <w:rFonts w:ascii="仿宋_GB2312" w:eastAsia="仿宋_GB2312" w:hAnsiTheme="minorEastAsia"/>
                <w:bCs/>
                <w:sz w:val="24"/>
                <w:szCs w:val="24"/>
              </w:rPr>
            </w:pPr>
            <w:r w:rsidRPr="005C3D2F">
              <w:rPr>
                <w:rFonts w:ascii="仿宋_GB2312" w:eastAsia="仿宋_GB2312" w:hAnsiTheme="minorEastAsia" w:hint="eastAsia"/>
                <w:bCs/>
                <w:sz w:val="24"/>
                <w:szCs w:val="24"/>
              </w:rPr>
              <w:t>交易结构</w:t>
            </w:r>
          </w:p>
        </w:tc>
        <w:tc>
          <w:tcPr>
            <w:tcW w:w="2972" w:type="dxa"/>
            <w:vAlign w:val="center"/>
          </w:tcPr>
          <w:p w:rsidR="00DE496A" w:rsidRDefault="00DE496A"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hint="eastAsia"/>
                <w:bCs/>
                <w:sz w:val="24"/>
                <w:szCs w:val="24"/>
              </w:rPr>
              <w:t>占产品资产净值比例</w:t>
            </w:r>
          </w:p>
        </w:tc>
      </w:tr>
      <w:tr w:rsidR="00D601E1" w:rsidTr="00B00579">
        <w:tc>
          <w:tcPr>
            <w:tcW w:w="852" w:type="dxa"/>
            <w:vAlign w:val="center"/>
          </w:tcPr>
          <w:p w:rsidR="00D601E1" w:rsidRDefault="00D601E1" w:rsidP="00023644">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134"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12" w:type="dxa"/>
            <w:vAlign w:val="center"/>
          </w:tcPr>
          <w:p w:rsidR="00D601E1"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382" w:type="dxa"/>
            <w:vAlign w:val="center"/>
          </w:tcPr>
          <w:p w:rsidR="00D601E1" w:rsidRPr="00E1579D" w:rsidRDefault="00D601E1"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Calibri" w:cs="宋体"/>
                <w:color w:val="000000"/>
                <w:sz w:val="24"/>
                <w:szCs w:val="24"/>
              </w:rPr>
              <w:t>-</w:t>
            </w:r>
          </w:p>
        </w:tc>
        <w:tc>
          <w:tcPr>
            <w:tcW w:w="1419"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c>
          <w:tcPr>
            <w:tcW w:w="2972" w:type="dxa"/>
            <w:vAlign w:val="center"/>
          </w:tcPr>
          <w:p w:rsidR="00D601E1" w:rsidRDefault="00023644" w:rsidP="00B00579">
            <w:pPr>
              <w:adjustRightInd w:val="0"/>
              <w:snapToGrid w:val="0"/>
              <w:spacing w:line="360" w:lineRule="auto"/>
              <w:jc w:val="center"/>
              <w:rPr>
                <w:rFonts w:ascii="仿宋_GB2312" w:eastAsia="仿宋_GB2312" w:hAnsiTheme="minorEastAsia"/>
                <w:bCs/>
                <w:sz w:val="24"/>
                <w:szCs w:val="24"/>
              </w:rPr>
            </w:pPr>
            <w:r>
              <w:rPr>
                <w:rFonts w:ascii="仿宋_GB2312" w:eastAsia="仿宋_GB2312" w:hAnsiTheme="minorEastAsia"/>
                <w:bCs/>
                <w:sz w:val="24"/>
                <w:szCs w:val="24"/>
              </w:rPr>
              <w:t>-</w:t>
            </w:r>
          </w:p>
        </w:tc>
      </w:tr>
    </w:tbl>
    <w:p w:rsidR="00DE496A" w:rsidRDefault="00DE496A" w:rsidP="00DE496A">
      <w:pPr>
        <w:adjustRightInd w:val="0"/>
        <w:snapToGrid w:val="0"/>
        <w:spacing w:line="360" w:lineRule="auto"/>
        <w:rPr>
          <w:rFonts w:ascii="仿宋_GB2312" w:eastAsia="仿宋_GB2312" w:hAnsiTheme="minorEastAsia"/>
          <w:bCs/>
          <w:sz w:val="24"/>
          <w:szCs w:val="24"/>
        </w:rPr>
      </w:pPr>
      <w:r>
        <w:rPr>
          <w:rFonts w:ascii="仿宋_GB2312" w:eastAsia="仿宋_GB2312" w:hAnsiTheme="minorEastAsia" w:hint="eastAsia"/>
          <w:bCs/>
          <w:sz w:val="24"/>
          <w:szCs w:val="24"/>
        </w:rPr>
        <w:t>注：</w:t>
      </w:r>
      <w:r>
        <w:rPr>
          <w:rFonts w:ascii="仿宋_GB2312" w:eastAsia="仿宋_GB2312" w:hAnsiTheme="minorEastAsia"/>
          <w:bCs/>
          <w:sz w:val="24"/>
          <w:szCs w:val="24"/>
        </w:rPr>
        <w:t>1.截至期末，上述非标准化债权均按照合同约定按时分配收益；</w:t>
      </w:r>
    </w:p>
    <w:p w:rsidR="00FC64B6" w:rsidRDefault="00DE496A" w:rsidP="0041011E">
      <w:pPr>
        <w:snapToGrid w:val="0"/>
        <w:spacing w:line="360" w:lineRule="auto"/>
        <w:ind w:firstLine="480"/>
        <w:rPr>
          <w:rFonts w:ascii="仿宋_GB2312" w:eastAsia="仿宋_GB2312" w:hAnsiTheme="minorEastAsia"/>
          <w:bCs/>
          <w:sz w:val="24"/>
          <w:szCs w:val="24"/>
        </w:rPr>
      </w:pPr>
      <w:r>
        <w:rPr>
          <w:rFonts w:ascii="仿宋_GB2312" w:eastAsia="仿宋_GB2312" w:hAnsiTheme="minorEastAsia"/>
          <w:bCs/>
          <w:sz w:val="24"/>
          <w:szCs w:val="24"/>
        </w:rPr>
        <w:t>2.截至期末，上述非标准化债权未出现无法履行本金及收益兑付的实际情况。</w:t>
      </w: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5</w:t>
      </w:r>
      <w:r w:rsidRPr="006E00B8">
        <w:rPr>
          <w:rFonts w:ascii="仿宋_GB2312" w:eastAsia="仿宋_GB2312"/>
          <w:b/>
          <w:sz w:val="24"/>
          <w:szCs w:val="24"/>
        </w:rPr>
        <w:t> </w:t>
      </w:r>
      <w:r w:rsidRPr="006E00B8">
        <w:rPr>
          <w:rFonts w:ascii="仿宋_GB2312" w:eastAsia="仿宋_GB2312" w:hint="eastAsia"/>
          <w:b/>
          <w:sz w:val="24"/>
          <w:szCs w:val="24"/>
        </w:rPr>
        <w:t>.关联交易（如有）</w:t>
      </w:r>
    </w:p>
    <w:tbl>
      <w:tblPr>
        <w:tblStyle w:val="ab"/>
        <w:tblW w:w="9180" w:type="dxa"/>
        <w:tblLook w:val="04A0" w:firstRow="1" w:lastRow="0" w:firstColumn="1" w:lastColumn="0" w:noHBand="0" w:noVBand="1"/>
      </w:tblPr>
      <w:tblGrid>
        <w:gridCol w:w="1101"/>
        <w:gridCol w:w="1694"/>
        <w:gridCol w:w="857"/>
        <w:gridCol w:w="1134"/>
        <w:gridCol w:w="1276"/>
        <w:gridCol w:w="3118"/>
      </w:tblGrid>
      <w:tr w:rsidR="009F0B98" w:rsidTr="009F0B98">
        <w:tc>
          <w:tcPr>
            <w:tcW w:w="1101"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left"/>
              <w:rPr>
                <w:rFonts w:ascii="仿宋_GB2312" w:eastAsia="仿宋_GB2312" w:hAnsiTheme="minorEastAsia"/>
                <w:kern w:val="2"/>
                <w:sz w:val="24"/>
                <w:szCs w:val="24"/>
              </w:rPr>
            </w:pPr>
            <w:r>
              <w:rPr>
                <w:rFonts w:ascii="仿宋_GB2312" w:eastAsia="仿宋_GB2312" w:hAnsiTheme="minorEastAsia" w:hint="eastAsia"/>
                <w:sz w:val="24"/>
                <w:szCs w:val="24"/>
              </w:rPr>
              <w:t>序号</w:t>
            </w:r>
          </w:p>
        </w:tc>
        <w:tc>
          <w:tcPr>
            <w:tcW w:w="169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关联证券名称</w:t>
            </w:r>
          </w:p>
        </w:tc>
        <w:tc>
          <w:tcPr>
            <w:tcW w:w="857"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规模</w:t>
            </w:r>
          </w:p>
        </w:tc>
        <w:tc>
          <w:tcPr>
            <w:tcW w:w="1134"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占比</w:t>
            </w:r>
          </w:p>
        </w:tc>
        <w:tc>
          <w:tcPr>
            <w:tcW w:w="1276"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关联方名称</w:t>
            </w:r>
          </w:p>
        </w:tc>
        <w:tc>
          <w:tcPr>
            <w:tcW w:w="3118" w:type="dxa"/>
            <w:tcBorders>
              <w:top w:val="single" w:sz="4" w:space="0" w:color="auto"/>
              <w:left w:val="single" w:sz="4" w:space="0" w:color="auto"/>
              <w:bottom w:val="single" w:sz="4" w:space="0" w:color="auto"/>
              <w:right w:val="single" w:sz="4" w:space="0" w:color="auto"/>
            </w:tcBorders>
            <w:hideMark/>
          </w:tcPr>
          <w:p w:rsidR="009F0B98" w:rsidRDefault="009F0B98">
            <w:pPr>
              <w:kinsoku w:val="0"/>
              <w:overflowPunct w:val="0"/>
              <w:autoSpaceDE w:val="0"/>
              <w:autoSpaceDN w:val="0"/>
              <w:spacing w:line="300" w:lineRule="auto"/>
              <w:jc w:val="center"/>
              <w:rPr>
                <w:rFonts w:ascii="仿宋_GB2312" w:eastAsia="仿宋_GB2312" w:hAnsiTheme="minorEastAsia"/>
                <w:kern w:val="2"/>
                <w:sz w:val="24"/>
                <w:szCs w:val="24"/>
              </w:rPr>
            </w:pPr>
            <w:r>
              <w:rPr>
                <w:rFonts w:ascii="仿宋_GB2312" w:eastAsia="仿宋_GB2312" w:hAnsiTheme="minorEastAsia" w:hint="eastAsia"/>
                <w:sz w:val="24"/>
                <w:szCs w:val="24"/>
              </w:rPr>
              <w:t>关联方与本理财产品关联关系</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lastRenderedPageBreak/>
              <w:t>1</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2</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r w:rsidR="008579C9" w:rsidTr="009F0B98">
        <w:tc>
          <w:tcPr>
            <w:tcW w:w="1101" w:type="dxa"/>
            <w:tcBorders>
              <w:top w:val="single" w:sz="4" w:space="0" w:color="auto"/>
              <w:left w:val="single" w:sz="4" w:space="0" w:color="auto"/>
              <w:bottom w:val="single" w:sz="4" w:space="0" w:color="auto"/>
              <w:right w:val="single" w:sz="4" w:space="0" w:color="auto"/>
            </w:tcBorders>
            <w:hideMark/>
          </w:tcPr>
          <w:p w:rsidR="008579C9" w:rsidRDefault="008579C9">
            <w:pPr>
              <w:kinsoku w:val="0"/>
              <w:overflowPunct w:val="0"/>
              <w:autoSpaceDE w:val="0"/>
              <w:autoSpaceDN w:val="0"/>
              <w:spacing w:line="300" w:lineRule="auto"/>
              <w:jc w:val="left"/>
              <w:rPr>
                <w:rFonts w:ascii="仿宋_GB2312" w:eastAsia="仿宋_GB2312" w:hAnsiTheme="minorEastAsia"/>
                <w:color w:val="000000" w:themeColor="text1"/>
                <w:kern w:val="2"/>
                <w:sz w:val="24"/>
                <w:szCs w:val="24"/>
              </w:rPr>
            </w:pPr>
            <w:r>
              <w:rPr>
                <w:rFonts w:ascii="仿宋_GB2312" w:eastAsia="仿宋_GB2312" w:hAnsiTheme="minorEastAsia" w:hint="eastAsia"/>
                <w:color w:val="000000" w:themeColor="text1"/>
                <w:sz w:val="24"/>
                <w:szCs w:val="24"/>
              </w:rPr>
              <w:t>……</w:t>
            </w:r>
          </w:p>
        </w:tc>
        <w:tc>
          <w:tcPr>
            <w:tcW w:w="169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857"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134"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1276"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c>
          <w:tcPr>
            <w:tcW w:w="3118" w:type="dxa"/>
            <w:tcBorders>
              <w:top w:val="single" w:sz="4" w:space="0" w:color="auto"/>
              <w:left w:val="single" w:sz="4" w:space="0" w:color="auto"/>
              <w:bottom w:val="single" w:sz="4" w:space="0" w:color="auto"/>
              <w:right w:val="single" w:sz="4" w:space="0" w:color="auto"/>
            </w:tcBorders>
          </w:tcPr>
          <w:p w:rsidR="008579C9" w:rsidRDefault="008579C9">
            <w:pPr>
              <w:jc w:val="center"/>
              <w:rPr>
                <w:color w:val="000000" w:themeColor="text1"/>
                <w:kern w:val="2"/>
              </w:rPr>
            </w:pPr>
            <w:r>
              <w:rPr>
                <w:rFonts w:ascii="仿宋_GB2312" w:eastAsia="仿宋_GB2312" w:hAnsiTheme="minorEastAsia" w:hint="eastAsia"/>
                <w:color w:val="000000" w:themeColor="text1"/>
                <w:sz w:val="24"/>
                <w:szCs w:val="24"/>
              </w:rPr>
              <w:t>-</w:t>
            </w:r>
          </w:p>
        </w:tc>
      </w:tr>
    </w:tbl>
    <w:p w:rsidR="009F0B98" w:rsidRDefault="009F0B98" w:rsidP="009F0B98">
      <w:pPr>
        <w:snapToGrid w:val="0"/>
        <w:spacing w:line="360" w:lineRule="auto"/>
        <w:rPr>
          <w:rFonts w:ascii="仿宋_GB2312" w:eastAsia="仿宋_GB2312"/>
          <w:b/>
          <w:sz w:val="24"/>
          <w:szCs w:val="24"/>
          <w:highlight w:val="yellow"/>
        </w:rPr>
      </w:pPr>
    </w:p>
    <w:p w:rsidR="009F0B98" w:rsidRDefault="009F0B98" w:rsidP="009F0B98">
      <w:pPr>
        <w:snapToGrid w:val="0"/>
        <w:spacing w:line="360" w:lineRule="auto"/>
        <w:rPr>
          <w:rFonts w:ascii="仿宋_GB2312" w:eastAsia="仿宋_GB2312"/>
          <w:b/>
          <w:sz w:val="24"/>
          <w:szCs w:val="24"/>
        </w:rPr>
      </w:pPr>
      <w:r w:rsidRPr="006E00B8">
        <w:rPr>
          <w:rFonts w:ascii="仿宋_GB2312" w:eastAsia="仿宋_GB2312" w:hint="eastAsia"/>
          <w:b/>
          <w:sz w:val="24"/>
          <w:szCs w:val="24"/>
        </w:rPr>
        <w:t>6</w:t>
      </w:r>
      <w:r w:rsidRPr="006E00B8">
        <w:rPr>
          <w:rFonts w:ascii="仿宋_GB2312" w:eastAsia="仿宋_GB2312"/>
          <w:b/>
          <w:sz w:val="24"/>
          <w:szCs w:val="24"/>
        </w:rPr>
        <w:t> </w:t>
      </w:r>
      <w:r w:rsidRPr="006E00B8">
        <w:rPr>
          <w:rFonts w:ascii="仿宋_GB2312" w:eastAsia="仿宋_GB2312" w:hint="eastAsia"/>
          <w:b/>
          <w:sz w:val="24"/>
          <w:szCs w:val="24"/>
        </w:rPr>
        <w:t>.影响投资者决策的其他重要信息</w:t>
      </w:r>
    </w:p>
    <w:p w:rsidR="009F0B98" w:rsidRDefault="009F0B98" w:rsidP="009F0B98">
      <w:pPr>
        <w:rPr>
          <w:rFonts w:ascii="仿宋_GB2312" w:eastAsia="仿宋_GB2312"/>
          <w:sz w:val="24"/>
          <w:szCs w:val="24"/>
        </w:rPr>
      </w:pPr>
      <w:r>
        <w:rPr>
          <w:rFonts w:ascii="仿宋_GB2312" w:eastAsia="仿宋_GB2312" w:hint="eastAsia"/>
          <w:sz w:val="24"/>
          <w:szCs w:val="24"/>
        </w:rPr>
        <w:t>无。</w:t>
      </w: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7.托管机构报告</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上海浦东发展银行股份有限公司（以下简称“本托管人”）在对本产品托管过程中，严格遵守《关于规范金融机构资产管理业务的指导意见》（银发〔2018〕106号）、《商业银行理财业务监督管理办法》（银保监会令〔2018〕6号）及其他有关法律法规、产品合同、托管协议的规定，不存在损害产品份额持有人利益的行为，完全尽职尽责地履行了托管人应尽的义务。</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本托管人依照《关于规范金融机构资产管理业务的指导意见》（银发〔2018〕106号）、《商业银行理财业务监督管理办法》（银保监会令〔2018〕6号）及其他有关法律法规、产品合同、托管协议的规定，对本产品的投资运作进行了监督，对本报告中的财务指标、净值表现、投资组合报告等内容进行了认真的复核，未发现产品管理人存在损害产品份额持有人利益的行为。</w:t>
      </w:r>
    </w:p>
    <w:p w:rsidR="009F0B98" w:rsidRDefault="009F0B98" w:rsidP="009F0B98">
      <w:pPr>
        <w:snapToGrid w:val="0"/>
        <w:spacing w:line="360" w:lineRule="auto"/>
        <w:ind w:firstLine="360"/>
        <w:rPr>
          <w:rFonts w:ascii="仿宋_GB2312" w:eastAsia="仿宋_GB2312"/>
          <w:color w:val="000000"/>
          <w:sz w:val="24"/>
          <w:szCs w:val="24"/>
        </w:rPr>
      </w:pPr>
      <w:r>
        <w:rPr>
          <w:rFonts w:ascii="仿宋_GB2312" w:eastAsia="仿宋_GB2312" w:hint="eastAsia"/>
          <w:color w:val="000000"/>
          <w:sz w:val="24"/>
          <w:szCs w:val="24"/>
        </w:rPr>
        <w:t>本报告期内，由上海浦东发展银行编制的本托管人复核的本报告中的财务指标、净值表现、投资组合报告等内容真实、准确、完整。</w:t>
      </w:r>
    </w:p>
    <w:p w:rsidR="009F0B98" w:rsidRDefault="009F0B98" w:rsidP="009F0B98">
      <w:pPr>
        <w:rPr>
          <w:rFonts w:ascii="仿宋_GB2312" w:eastAsia="仿宋_GB2312"/>
          <w:sz w:val="24"/>
          <w:szCs w:val="24"/>
        </w:rPr>
      </w:pPr>
    </w:p>
    <w:p w:rsidR="009F0B98" w:rsidRDefault="009F0B98" w:rsidP="009F0B98">
      <w:pPr>
        <w:snapToGrid w:val="0"/>
        <w:spacing w:line="360" w:lineRule="auto"/>
        <w:rPr>
          <w:rFonts w:ascii="仿宋_GB2312" w:eastAsia="仿宋_GB2312"/>
          <w:b/>
          <w:sz w:val="24"/>
          <w:szCs w:val="24"/>
        </w:rPr>
      </w:pPr>
      <w:r>
        <w:rPr>
          <w:rFonts w:ascii="仿宋_GB2312" w:eastAsia="仿宋_GB2312" w:hint="eastAsia"/>
          <w:b/>
          <w:sz w:val="24"/>
          <w:szCs w:val="24"/>
        </w:rPr>
        <w:t>8.备查文件</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8.1 备查文件目录</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产品说明书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销售协议</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风险揭示书</w:t>
      </w:r>
    </w:p>
    <w:p w:rsidR="009F0B98" w:rsidRDefault="009F0B98" w:rsidP="009F0B98">
      <w:pPr>
        <w:snapToGrid w:val="0"/>
        <w:spacing w:line="360" w:lineRule="auto"/>
        <w:ind w:firstLine="600"/>
        <w:rPr>
          <w:rFonts w:ascii="仿宋_GB2312" w:eastAsia="仿宋_GB2312"/>
          <w:color w:val="000000"/>
          <w:sz w:val="24"/>
          <w:szCs w:val="24"/>
        </w:rPr>
      </w:pPr>
      <w:r>
        <w:rPr>
          <w:rFonts w:ascii="仿宋_GB2312" w:eastAsia="仿宋_GB2312" w:hint="eastAsia"/>
          <w:color w:val="000000"/>
          <w:sz w:val="24"/>
          <w:szCs w:val="24"/>
        </w:rPr>
        <w:t>投资者权益须知</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8.2 存放地点</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color w:val="000000"/>
          <w:sz w:val="24"/>
          <w:szCs w:val="24"/>
        </w:rPr>
        <w:t>上海市北京东路689号东银大厦</w:t>
      </w:r>
    </w:p>
    <w:p w:rsidR="009F0B98" w:rsidRDefault="009F0B98" w:rsidP="009F0B98">
      <w:pPr>
        <w:snapToGrid w:val="0"/>
        <w:spacing w:line="360" w:lineRule="auto"/>
        <w:ind w:firstLine="480"/>
        <w:rPr>
          <w:rFonts w:ascii="仿宋_GB2312" w:eastAsia="仿宋_GB2312"/>
          <w:b/>
          <w:bCs/>
          <w:color w:val="000000"/>
          <w:sz w:val="24"/>
          <w:szCs w:val="24"/>
        </w:rPr>
      </w:pPr>
      <w:r>
        <w:rPr>
          <w:rFonts w:ascii="仿宋_GB2312" w:eastAsia="仿宋_GB2312" w:hint="eastAsia"/>
          <w:b/>
          <w:bCs/>
          <w:color w:val="000000"/>
          <w:sz w:val="24"/>
          <w:szCs w:val="24"/>
        </w:rPr>
        <w:t>8.3 查阅方式</w:t>
      </w:r>
    </w:p>
    <w:p w:rsidR="0041011E" w:rsidRPr="0041011E" w:rsidRDefault="009F0B98" w:rsidP="009F0B98">
      <w:pPr>
        <w:snapToGrid w:val="0"/>
        <w:spacing w:line="360" w:lineRule="auto"/>
        <w:ind w:firstLine="480"/>
        <w:rPr>
          <w:rFonts w:ascii="仿宋_GB2312" w:eastAsia="仿宋_GB2312"/>
          <w:b/>
          <w:bCs/>
          <w:sz w:val="24"/>
          <w:szCs w:val="24"/>
        </w:rPr>
      </w:pPr>
      <w:r>
        <w:rPr>
          <w:rFonts w:ascii="仿宋_GB2312" w:eastAsia="仿宋_GB2312" w:hint="eastAsia"/>
          <w:color w:val="000000"/>
          <w:sz w:val="24"/>
          <w:szCs w:val="24"/>
        </w:rPr>
        <w:t>浦发银行官方网站：</w:t>
      </w:r>
      <w:hyperlink r:id="rId6" w:history="1">
        <w:r>
          <w:rPr>
            <w:rStyle w:val="ac"/>
            <w:rFonts w:ascii="仿宋_GB2312" w:eastAsia="仿宋_GB2312" w:hint="eastAsia"/>
            <w:sz w:val="24"/>
            <w:szCs w:val="24"/>
          </w:rPr>
          <w:t>http://www.spdb.com.cn/</w:t>
        </w:r>
      </w:hyperlink>
    </w:p>
    <w:sectPr w:rsidR="0041011E" w:rsidRPr="0041011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50DC" w:rsidRDefault="005B50DC" w:rsidP="00E61C1A">
      <w:r>
        <w:separator/>
      </w:r>
    </w:p>
  </w:endnote>
  <w:endnote w:type="continuationSeparator" w:id="0">
    <w:p w:rsidR="005B50DC" w:rsidRDefault="005B50DC" w:rsidP="00E61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简体">
    <w:altName w:val="等线"/>
    <w:charset w:val="86"/>
    <w:family w:val="auto"/>
    <w:pitch w:val="default"/>
    <w:sig w:usb0="00000000" w:usb1="00000000" w:usb2="00000000" w:usb3="00000000" w:csb0="00040000" w:csb1="00000000"/>
  </w:font>
  <w:font w:name="Arial Unicode MS">
    <w:panose1 w:val="020B0604020202020204"/>
    <w:charset w:val="86"/>
    <w:family w:val="swiss"/>
    <w:pitch w:val="variable"/>
    <w:sig w:usb0="F7FFAFFF" w:usb1="E9DFFFFF" w:usb2="0000003F" w:usb3="00000000" w:csb0="003F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50DC" w:rsidRDefault="005B50DC" w:rsidP="00E61C1A">
      <w:r>
        <w:separator/>
      </w:r>
    </w:p>
  </w:footnote>
  <w:footnote w:type="continuationSeparator" w:id="0">
    <w:p w:rsidR="005B50DC" w:rsidRDefault="005B50DC" w:rsidP="00E61C1A">
      <w:r>
        <w:continuationSeparator/>
      </w:r>
    </w:p>
  </w:footnote>
  <w:footnote w:id="1">
    <w:p w:rsidR="00E61C1A" w:rsidRDefault="00E61C1A" w:rsidP="00E61C1A">
      <w:pPr>
        <w:pStyle w:val="a7"/>
      </w:pPr>
      <w:r>
        <w:rPr>
          <w:rStyle w:val="a9"/>
        </w:rPr>
        <w:footnoteRef/>
      </w:r>
      <w:r>
        <w:rPr>
          <w:rFonts w:hint="eastAsia"/>
          <w:sz w:val="15"/>
          <w:szCs w:val="15"/>
        </w:rPr>
        <w:t>产品登记编码指本产品在全国银行理财信息登记系统获取的登记编码。</w:t>
      </w:r>
    </w:p>
  </w:footnote>
  <w:footnote w:id="2">
    <w:p w:rsidR="00DE496A" w:rsidRDefault="00DE496A" w:rsidP="00DE496A">
      <w:pPr>
        <w:pStyle w:val="a7"/>
        <w:rPr>
          <w:sz w:val="15"/>
          <w:szCs w:val="15"/>
        </w:rPr>
      </w:pPr>
      <w:r>
        <w:rPr>
          <w:rStyle w:val="a9"/>
        </w:rPr>
        <w:footnoteRef/>
      </w:r>
      <w:r>
        <w:rPr>
          <w:rFonts w:hint="eastAsia"/>
        </w:rPr>
        <w:t xml:space="preserve"> </w:t>
      </w:r>
      <w:r>
        <w:rPr>
          <w:rFonts w:hint="eastAsia"/>
          <w:sz w:val="15"/>
          <w:szCs w:val="15"/>
        </w:rPr>
        <w:t>本报告所称非标准化债权资产，指根据《关于规范金融机构资产管理业务的指导意见》（银发〔</w:t>
      </w:r>
      <w:r>
        <w:rPr>
          <w:rFonts w:hint="eastAsia"/>
          <w:sz w:val="15"/>
          <w:szCs w:val="15"/>
        </w:rPr>
        <w:t>2018</w:t>
      </w:r>
      <w:r>
        <w:rPr>
          <w:rFonts w:hint="eastAsia"/>
          <w:sz w:val="15"/>
          <w:szCs w:val="15"/>
        </w:rPr>
        <w:t>〕</w:t>
      </w:r>
      <w:r>
        <w:rPr>
          <w:rFonts w:hint="eastAsia"/>
          <w:sz w:val="15"/>
          <w:szCs w:val="15"/>
        </w:rPr>
        <w:t>106</w:t>
      </w:r>
      <w:r>
        <w:rPr>
          <w:rFonts w:hint="eastAsia"/>
          <w:sz w:val="15"/>
          <w:szCs w:val="15"/>
        </w:rPr>
        <w:t>号）规定，标准化债权类资产之外的债权类资产。</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262"/>
    <w:rsid w:val="00023644"/>
    <w:rsid w:val="00077F23"/>
    <w:rsid w:val="00130728"/>
    <w:rsid w:val="00142484"/>
    <w:rsid w:val="001814DB"/>
    <w:rsid w:val="00211495"/>
    <w:rsid w:val="00213ECF"/>
    <w:rsid w:val="00274D37"/>
    <w:rsid w:val="00367DBF"/>
    <w:rsid w:val="00380BE2"/>
    <w:rsid w:val="003F480F"/>
    <w:rsid w:val="00400A77"/>
    <w:rsid w:val="0041011E"/>
    <w:rsid w:val="0041666B"/>
    <w:rsid w:val="0042245C"/>
    <w:rsid w:val="00442040"/>
    <w:rsid w:val="0048092C"/>
    <w:rsid w:val="004B4A70"/>
    <w:rsid w:val="004E272F"/>
    <w:rsid w:val="00564E1C"/>
    <w:rsid w:val="0058623B"/>
    <w:rsid w:val="005B0E63"/>
    <w:rsid w:val="005B50DC"/>
    <w:rsid w:val="006304A5"/>
    <w:rsid w:val="006E00B8"/>
    <w:rsid w:val="007167B6"/>
    <w:rsid w:val="00781652"/>
    <w:rsid w:val="007D042E"/>
    <w:rsid w:val="007E2254"/>
    <w:rsid w:val="008579C9"/>
    <w:rsid w:val="008D4921"/>
    <w:rsid w:val="009027FB"/>
    <w:rsid w:val="0090720A"/>
    <w:rsid w:val="0093653B"/>
    <w:rsid w:val="00973891"/>
    <w:rsid w:val="009B6B6E"/>
    <w:rsid w:val="009F0B98"/>
    <w:rsid w:val="00A7331C"/>
    <w:rsid w:val="00A768E1"/>
    <w:rsid w:val="00B2798E"/>
    <w:rsid w:val="00B478CA"/>
    <w:rsid w:val="00B9403A"/>
    <w:rsid w:val="00BB17CD"/>
    <w:rsid w:val="00C2222B"/>
    <w:rsid w:val="00CA6A9F"/>
    <w:rsid w:val="00D170C5"/>
    <w:rsid w:val="00D37F3B"/>
    <w:rsid w:val="00D601E1"/>
    <w:rsid w:val="00DC25F6"/>
    <w:rsid w:val="00DD0D5E"/>
    <w:rsid w:val="00DE1F30"/>
    <w:rsid w:val="00DE496A"/>
    <w:rsid w:val="00E61C1A"/>
    <w:rsid w:val="00E63347"/>
    <w:rsid w:val="00F864D2"/>
    <w:rsid w:val="00FB1262"/>
    <w:rsid w:val="00FB4D10"/>
    <w:rsid w:val="00FC6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999F3E"/>
  <w15:docId w15:val="{FB6944C9-923C-46F6-84FA-E8DAEC874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1C1A"/>
    <w:pPr>
      <w:widowControl w:val="0"/>
      <w:jc w:val="both"/>
    </w:pPr>
    <w:rPr>
      <w:rFonts w:ascii="Times New Roman" w:eastAsia="方正仿宋简体" w:hAnsi="Times New Roman" w:cs="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C1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E61C1A"/>
    <w:rPr>
      <w:sz w:val="18"/>
      <w:szCs w:val="18"/>
    </w:rPr>
  </w:style>
  <w:style w:type="paragraph" w:styleId="a5">
    <w:name w:val="footer"/>
    <w:basedOn w:val="a"/>
    <w:link w:val="a6"/>
    <w:uiPriority w:val="99"/>
    <w:unhideWhenUsed/>
    <w:rsid w:val="00E61C1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E61C1A"/>
    <w:rPr>
      <w:sz w:val="18"/>
      <w:szCs w:val="18"/>
    </w:rPr>
  </w:style>
  <w:style w:type="paragraph" w:styleId="a7">
    <w:name w:val="footnote text"/>
    <w:basedOn w:val="a"/>
    <w:link w:val="a8"/>
    <w:uiPriority w:val="99"/>
    <w:semiHidden/>
    <w:qFormat/>
    <w:rsid w:val="00E61C1A"/>
    <w:pPr>
      <w:snapToGrid w:val="0"/>
      <w:jc w:val="left"/>
    </w:pPr>
    <w:rPr>
      <w:rFonts w:eastAsia="宋体"/>
      <w:sz w:val="18"/>
      <w:szCs w:val="18"/>
    </w:rPr>
  </w:style>
  <w:style w:type="character" w:customStyle="1" w:styleId="a8">
    <w:name w:val="脚注文本 字符"/>
    <w:basedOn w:val="a0"/>
    <w:link w:val="a7"/>
    <w:uiPriority w:val="99"/>
    <w:semiHidden/>
    <w:rsid w:val="00E61C1A"/>
    <w:rPr>
      <w:rFonts w:ascii="Times New Roman" w:eastAsia="宋体" w:hAnsi="Times New Roman" w:cs="Times New Roman"/>
      <w:sz w:val="18"/>
      <w:szCs w:val="18"/>
    </w:rPr>
  </w:style>
  <w:style w:type="character" w:styleId="a9">
    <w:name w:val="footnote reference"/>
    <w:uiPriority w:val="99"/>
    <w:semiHidden/>
    <w:qFormat/>
    <w:rsid w:val="00E61C1A"/>
    <w:rPr>
      <w:vertAlign w:val="superscript"/>
    </w:rPr>
  </w:style>
  <w:style w:type="paragraph" w:styleId="aa">
    <w:name w:val="Normal (Web)"/>
    <w:basedOn w:val="a"/>
    <w:uiPriority w:val="99"/>
    <w:qFormat/>
    <w:rsid w:val="004E272F"/>
    <w:pPr>
      <w:widowControl/>
      <w:spacing w:before="100" w:beforeAutospacing="1" w:after="100" w:afterAutospacing="1"/>
      <w:jc w:val="left"/>
    </w:pPr>
    <w:rPr>
      <w:rFonts w:ascii="宋体" w:eastAsia="宋体" w:hAnsi="宋体"/>
      <w:kern w:val="0"/>
      <w:sz w:val="24"/>
      <w:szCs w:val="24"/>
    </w:rPr>
  </w:style>
  <w:style w:type="table" w:styleId="ab">
    <w:name w:val="Table Grid"/>
    <w:basedOn w:val="a1"/>
    <w:uiPriority w:val="59"/>
    <w:rsid w:val="004E272F"/>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3">
    <w:name w:val="xl33"/>
    <w:basedOn w:val="a"/>
    <w:uiPriority w:val="99"/>
    <w:qFormat/>
    <w:rsid w:val="00DE496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character" w:styleId="ac">
    <w:name w:val="Hyperlink"/>
    <w:basedOn w:val="a0"/>
    <w:uiPriority w:val="99"/>
    <w:semiHidden/>
    <w:unhideWhenUsed/>
    <w:rsid w:val="004101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522124">
      <w:bodyDiv w:val="1"/>
      <w:marLeft w:val="0"/>
      <w:marRight w:val="0"/>
      <w:marTop w:val="0"/>
      <w:marBottom w:val="0"/>
      <w:divBdr>
        <w:top w:val="none" w:sz="0" w:space="0" w:color="auto"/>
        <w:left w:val="none" w:sz="0" w:space="0" w:color="auto"/>
        <w:bottom w:val="none" w:sz="0" w:space="0" w:color="auto"/>
        <w:right w:val="none" w:sz="0" w:space="0" w:color="auto"/>
      </w:divBdr>
    </w:div>
    <w:div w:id="1876430548">
      <w:bodyDiv w:val="1"/>
      <w:marLeft w:val="0"/>
      <w:marRight w:val="0"/>
      <w:marTop w:val="0"/>
      <w:marBottom w:val="0"/>
      <w:divBdr>
        <w:top w:val="none" w:sz="0" w:space="0" w:color="auto"/>
        <w:left w:val="none" w:sz="0" w:space="0" w:color="auto"/>
        <w:bottom w:val="none" w:sz="0" w:space="0" w:color="auto"/>
        <w:right w:val="none" w:sz="0" w:space="0" w:color="auto"/>
      </w:divBdr>
    </w:div>
    <w:div w:id="213493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pdb.com.cn/"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398</Words>
  <Characters>2275</Characters>
  <Application>Microsoft Office Word</Application>
  <DocSecurity>0</DocSecurity>
  <Lines>18</Lines>
  <Paragraphs>5</Paragraphs>
  <ScaleCrop>false</ScaleCrop>
  <Company/>
  <LinksUpToDate>false</LinksUpToDate>
  <CharactersWithSpaces>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DEVVDI02</dc:creator>
  <cp:lastModifiedBy>李易（总行资产管理）</cp:lastModifiedBy>
  <cp:revision>4</cp:revision>
  <dcterms:created xsi:type="dcterms:W3CDTF">2022-04-02T06:48:00Z</dcterms:created>
  <dcterms:modified xsi:type="dcterms:W3CDTF">2022-04-06T01:06:00Z</dcterms:modified>
</cp:coreProperties>
</file>