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C1A" w:rsidRDefault="00E61C1A" w:rsidP="00E61C1A">
      <w:pPr>
        <w:snapToGrid w:val="0"/>
        <w:spacing w:line="360" w:lineRule="auto"/>
        <w:jc w:val="center"/>
        <w:rPr>
          <w:rFonts w:ascii="仿宋_GB2312" w:eastAsia="仿宋_GB2312"/>
          <w:b/>
          <w:bCs/>
          <w:sz w:val="24"/>
          <w:szCs w:val="24"/>
          <w:vertAlign w:val="superscript"/>
        </w:rPr>
      </w:pPr>
      <w:r>
        <w:rPr>
          <w:rFonts w:ascii="仿宋_GB2312" w:eastAsia="仿宋_GB2312" w:hint="eastAsia"/>
          <w:b/>
          <w:bCs/>
          <w:color w:val="000000"/>
          <w:sz w:val="24"/>
          <w:szCs w:val="24"/>
        </w:rPr>
        <w:t>公募理财产品定期</w:t>
      </w:r>
      <w:r>
        <w:rPr>
          <w:rFonts w:ascii="仿宋_GB2312" w:eastAsia="仿宋_GB2312" w:hint="eastAsia"/>
          <w:b/>
          <w:bCs/>
          <w:sz w:val="24"/>
          <w:szCs w:val="24"/>
        </w:rPr>
        <w:t>报告</w:t>
      </w:r>
    </w:p>
    <w:p w:rsidR="00E61C1A" w:rsidRDefault="00E61C1A" w:rsidP="00E61C1A">
      <w:pPr>
        <w:snapToGrid w:val="0"/>
        <w:spacing w:line="360" w:lineRule="auto"/>
        <w:rPr>
          <w:rFonts w:ascii="仿宋_GB2312" w:eastAsia="仿宋_GB2312"/>
          <w:b/>
          <w:bCs/>
          <w:sz w:val="24"/>
          <w:szCs w:val="24"/>
          <w:vertAlign w:val="superscript"/>
        </w:rPr>
      </w:pPr>
      <w:r>
        <w:rPr>
          <w:rFonts w:ascii="仿宋_GB2312" w:eastAsia="仿宋_GB2312" w:hint="eastAsia"/>
          <w:b/>
          <w:sz w:val="24"/>
          <w:szCs w:val="24"/>
        </w:rPr>
        <w:t>1</w:t>
      </w:r>
      <w:r>
        <w:rPr>
          <w:rFonts w:hint="eastAsia"/>
          <w:b/>
          <w:sz w:val="24"/>
          <w:szCs w:val="24"/>
        </w:rPr>
        <w:t> </w:t>
      </w:r>
      <w:r>
        <w:rPr>
          <w:rFonts w:ascii="仿宋_GB2312" w:eastAsia="仿宋_GB2312" w:hint="eastAsia"/>
          <w:b/>
          <w:sz w:val="24"/>
          <w:szCs w:val="24"/>
        </w:rPr>
        <w:t>.重要提示</w:t>
      </w:r>
    </w:p>
    <w:tbl>
      <w:tblPr>
        <w:tblW w:w="9072" w:type="dxa"/>
        <w:tblBorders>
          <w:top w:val="single" w:sz="4"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9072"/>
      </w:tblGrid>
      <w:tr w:rsidR="00E61C1A" w:rsidTr="00B00579">
        <w:trPr>
          <w:trHeight w:val="2514"/>
        </w:trPr>
        <w:tc>
          <w:tcPr>
            <w:tcW w:w="9072" w:type="dxa"/>
            <w:tcMar>
              <w:top w:w="0" w:type="dxa"/>
              <w:left w:w="108" w:type="dxa"/>
              <w:bottom w:w="0" w:type="dxa"/>
              <w:right w:w="108" w:type="dxa"/>
            </w:tcMar>
          </w:tcPr>
          <w:p w:rsidR="00F864D2"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产品管理人保证本报告所载资料不存在虚假记载、误导性陈述或重大遗漏，并对其内容的真实性、准确性和完整性负责。</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产品托管人上海浦东发展银行根据本产品合同规定，复核了本报告中的财务指标、净值表现、投资组合报告等内容，保证复核内容不存在虚假记载、误导性陈述或者重大遗漏。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产品管理人承诺以诚实信用、勤勉尽责的原则管理和运用产品资产，但不保证产品一定盈利。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产品的过往业绩并不代表其未来表现。投资有风险，投资者在做出投资决策前应仔细阅读本产品的销售文件。</w:t>
            </w:r>
          </w:p>
          <w:p w:rsidR="00E61C1A"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本报告中财务资料未经审计。</w:t>
            </w:r>
          </w:p>
        </w:tc>
      </w:tr>
    </w:tbl>
    <w:p w:rsidR="00E61C1A" w:rsidRDefault="00E61C1A" w:rsidP="00E61C1A">
      <w:pPr>
        <w:snapToGrid w:val="0"/>
        <w:spacing w:line="360" w:lineRule="auto"/>
        <w:rPr>
          <w:rFonts w:ascii="仿宋_GB2312" w:eastAsia="仿宋_GB2312"/>
          <w:b/>
          <w:sz w:val="24"/>
          <w:szCs w:val="24"/>
        </w:rPr>
      </w:pPr>
      <w:r>
        <w:rPr>
          <w:rFonts w:ascii="仿宋_GB2312" w:eastAsia="仿宋_GB2312" w:hint="eastAsia"/>
          <w:b/>
          <w:sz w:val="24"/>
          <w:szCs w:val="24"/>
        </w:rPr>
        <w:t>2.</w:t>
      </w:r>
      <w:r>
        <w:rPr>
          <w:rFonts w:ascii="仿宋_GB2312" w:eastAsia="仿宋_GB2312" w:hint="eastAsia"/>
          <w:b/>
          <w:sz w:val="24"/>
          <w:szCs w:val="24"/>
        </w:rPr>
        <w:t> </w:t>
      </w:r>
      <w:r>
        <w:rPr>
          <w:rFonts w:ascii="仿宋_GB2312" w:eastAsia="仿宋_GB2312" w:hint="eastAsia"/>
          <w:b/>
          <w:sz w:val="24"/>
          <w:szCs w:val="24"/>
        </w:rPr>
        <w:t>产品概况</w:t>
      </w:r>
    </w:p>
    <w:tbl>
      <w:tblPr>
        <w:tblW w:w="907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9"/>
        <w:gridCol w:w="4853"/>
      </w:tblGrid>
      <w:tr w:rsidR="00E61C1A" w:rsidTr="00B00579">
        <w:tc>
          <w:tcPr>
            <w:tcW w:w="4219" w:type="dxa"/>
            <w:tcMar>
              <w:top w:w="0" w:type="dxa"/>
              <w:left w:w="108" w:type="dxa"/>
              <w:bottom w:w="0" w:type="dxa"/>
              <w:right w:w="108" w:type="dxa"/>
            </w:tcMar>
            <w:vAlign w:val="center"/>
          </w:tcPr>
          <w:p w:rsidR="00E61C1A" w:rsidRDefault="00E61C1A" w:rsidP="00B00579">
            <w:pPr>
              <w:snapToGrid w:val="0"/>
              <w:spacing w:line="360" w:lineRule="auto"/>
              <w:ind w:firstLine="480"/>
              <w:jc w:val="center"/>
              <w:rPr>
                <w:rFonts w:ascii="仿宋_GB2312" w:eastAsia="仿宋_GB2312" w:hAnsi="Calibri" w:cs="宋体"/>
                <w:color w:val="FF0000"/>
                <w:sz w:val="24"/>
                <w:szCs w:val="24"/>
              </w:rPr>
            </w:pPr>
            <w:r w:rsidRPr="009106D5">
              <w:rPr>
                <w:rFonts w:ascii="仿宋_GB2312" w:eastAsia="仿宋_GB2312" w:hAnsiTheme="minorEastAsia" w:hint="eastAsia"/>
                <w:kern w:val="0"/>
                <w:sz w:val="24"/>
                <w:szCs w:val="24"/>
              </w:rPr>
              <w:t>产品名称</w:t>
            </w:r>
          </w:p>
        </w:tc>
        <w:tc>
          <w:tcPr>
            <w:tcW w:w="4853" w:type="dxa"/>
            <w:tcMar>
              <w:top w:w="0" w:type="dxa"/>
              <w:left w:w="108" w:type="dxa"/>
              <w:bottom w:w="0" w:type="dxa"/>
              <w:right w:w="108" w:type="dxa"/>
            </w:tcMar>
            <w:vAlign w:val="center"/>
          </w:tcPr>
          <w:p w:rsidR="00E61C1A" w:rsidRDefault="001814DB" w:rsidP="00B00579">
            <w:pPr>
              <w:snapToGrid w:val="0"/>
              <w:spacing w:line="360" w:lineRule="auto"/>
              <w:jc w:val="center"/>
              <w:rPr>
                <w:rFonts w:ascii="仿宋_GB2312" w:eastAsia="仿宋_GB2312" w:hAnsi="Calibri" w:cs="宋体"/>
                <w:color w:val="000000"/>
                <w:sz w:val="24"/>
                <w:szCs w:val="24"/>
              </w:rPr>
            </w:pPr>
            <w:r>
              <w:rPr>
                <w:rFonts w:ascii="仿宋_GB2312" w:eastAsia="仿宋_GB2312" w:hAnsi="Calibri" w:cs="宋体"/>
                <w:color w:val="000000"/>
                <w:sz w:val="24"/>
                <w:szCs w:val="24"/>
              </w:rPr>
              <w:t>浦发银行鑫盈利系列1年定开6号理财产品</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产品代码</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olor w:val="000000"/>
                <w:kern w:val="0"/>
                <w:sz w:val="24"/>
                <w:szCs w:val="24"/>
              </w:rPr>
            </w:pPr>
            <w:r>
              <w:rPr>
                <w:rFonts w:ascii="仿宋_GB2312" w:eastAsia="仿宋_GB2312" w:hAnsi="Calibri" w:cs="宋体"/>
                <w:color w:val="000000"/>
                <w:sz w:val="24"/>
                <w:szCs w:val="24"/>
              </w:rPr>
              <w:t>2301202506(销售代码:2301202812/2301202813/2301202814/2301202815)</w:t>
            </w:r>
          </w:p>
        </w:tc>
      </w:tr>
      <w:tr w:rsidR="00E61C1A" w:rsidTr="00B00579">
        <w:tblPrEx>
          <w:tblBorders>
            <w:top w:val="none" w:sz="0"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产品登记编码</w:t>
            </w:r>
            <w:r w:rsidRPr="009106D5">
              <w:rPr>
                <w:rStyle w:val="a9"/>
                <w:rFonts w:ascii="仿宋_GB2312" w:eastAsia="仿宋_GB2312" w:hAnsiTheme="minorEastAsia"/>
                <w:kern w:val="0"/>
                <w:sz w:val="24"/>
                <w:szCs w:val="24"/>
              </w:rPr>
              <w:footnoteReference w:id="1"/>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C1031020000006</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产品类型</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固定收益类</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产品成立日</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2020-05-20</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报告期末产品份额总额</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608,902,320.13</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报告期末产品杠杆水平</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100.66%</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业绩比较基准</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2301202812 : 3.60%-4.10%</w:t>
            </w:r>
            <w:r>
              <w:rPr>
                <w:rFonts w:ascii="仿宋_GB2312" w:eastAsia="仿宋_GB2312" w:hAnsi="Calibri" w:cs="宋体"/>
                <w:color w:val="000000"/>
                <w:sz w:val="24"/>
                <w:szCs w:val="24"/>
              </w:rPr>
              <w:br/>
              <w:t>2301202813 : 3.63%-4.13%</w:t>
            </w:r>
            <w:r>
              <w:rPr>
                <w:rFonts w:ascii="仿宋_GB2312" w:eastAsia="仿宋_GB2312" w:hAnsi="Calibri" w:cs="宋体"/>
                <w:color w:val="000000"/>
                <w:sz w:val="24"/>
                <w:szCs w:val="24"/>
              </w:rPr>
              <w:br/>
              <w:t>2301202814 : 3.65%-4.15%</w:t>
            </w:r>
            <w:r>
              <w:rPr>
                <w:rFonts w:ascii="仿宋_GB2312" w:eastAsia="仿宋_GB2312" w:hAnsi="Calibri" w:cs="宋体"/>
                <w:color w:val="000000"/>
                <w:sz w:val="24"/>
                <w:szCs w:val="24"/>
              </w:rPr>
              <w:br/>
              <w:t>2301202815 : 3.70%-4.20%</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风险等级</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较低风险</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t>产品管理人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ind w:firstLineChars="100" w:firstLine="240"/>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上海浦东发展银行</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lastRenderedPageBreak/>
              <w:t>产品托管人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 xml:space="preserve">  上海浦东发展银行</w:t>
            </w:r>
          </w:p>
        </w:tc>
      </w:tr>
    </w:tbl>
    <w:p w:rsidR="00E61C1A" w:rsidRDefault="00E61C1A" w:rsidP="00E61C1A">
      <w:pPr>
        <w:rPr>
          <w:rFonts w:ascii="仿宋_GB2312" w:eastAsia="仿宋_GB2312" w:hAnsi="Calibri"/>
          <w:sz w:val="24"/>
          <w:szCs w:val="24"/>
        </w:rPr>
      </w:pPr>
    </w:p>
    <w:p w:rsidR="004E272F" w:rsidRDefault="004E272F" w:rsidP="004E272F">
      <w:pPr>
        <w:snapToGrid w:val="0"/>
        <w:spacing w:line="360" w:lineRule="auto"/>
        <w:rPr>
          <w:rFonts w:ascii="仿宋_GB2312" w:eastAsia="仿宋_GB2312"/>
          <w:b/>
          <w:sz w:val="24"/>
          <w:szCs w:val="24"/>
        </w:rPr>
      </w:pPr>
      <w:r>
        <w:rPr>
          <w:rFonts w:ascii="仿宋_GB2312" w:eastAsia="仿宋_GB2312" w:hint="eastAsia"/>
          <w:b/>
          <w:sz w:val="24"/>
          <w:szCs w:val="24"/>
        </w:rPr>
        <w:t>3</w:t>
      </w:r>
      <w:r w:rsidRPr="004E272F">
        <w:rPr>
          <w:rFonts w:ascii="仿宋_GB2312" w:eastAsia="仿宋_GB2312"/>
          <w:b/>
          <w:sz w:val="24"/>
          <w:szCs w:val="24"/>
        </w:rPr>
        <w:t>.</w:t>
      </w:r>
      <w:r>
        <w:rPr>
          <w:rFonts w:ascii="仿宋_GB2312" w:eastAsia="仿宋_GB2312" w:hint="eastAsia"/>
          <w:b/>
          <w:sz w:val="24"/>
          <w:szCs w:val="24"/>
        </w:rPr>
        <w:t>产品净值表现</w:t>
      </w:r>
    </w:p>
    <w:p w:rsidR="004E272F" w:rsidRDefault="004E272F" w:rsidP="004E272F">
      <w:pPr>
        <w:snapToGrid w:val="0"/>
        <w:spacing w:line="360" w:lineRule="auto"/>
        <w:ind w:firstLine="482"/>
        <w:rPr>
          <w:rFonts w:ascii="仿宋_GB2312" w:eastAsia="仿宋_GB2312"/>
          <w:b/>
          <w:bCs/>
          <w:sz w:val="24"/>
          <w:szCs w:val="24"/>
        </w:rPr>
      </w:pPr>
      <w:r>
        <w:rPr>
          <w:rFonts w:ascii="仿宋_GB2312" w:eastAsia="仿宋_GB2312" w:hint="eastAsia"/>
          <w:b/>
          <w:bCs/>
          <w:sz w:val="24"/>
          <w:szCs w:val="24"/>
        </w:rPr>
        <w:t>3.1 净值表现</w:t>
      </w:r>
    </w:p>
    <w:p w:rsidR="004E272F" w:rsidRPr="00B9403A" w:rsidRDefault="004E272F" w:rsidP="004E272F">
      <w:pPr>
        <w:snapToGrid w:val="0"/>
        <w:spacing w:line="360" w:lineRule="auto"/>
        <w:ind w:left="5143" w:hanging="5143"/>
        <w:rPr>
          <w:rFonts w:ascii="仿宋_GB2312" w:eastAsia="仿宋_GB2312"/>
          <w:sz w:val="24"/>
          <w:szCs w:val="24"/>
        </w:rPr>
      </w:pPr>
      <w:r>
        <w:rPr>
          <w:sz w:val="24"/>
          <w:szCs w:val="24"/>
        </w:rPr>
        <w:t xml:space="preserve">                                                                               </w:t>
      </w:r>
      <w:r>
        <w:rPr>
          <w:sz w:val="24"/>
          <w:szCs w:val="24"/>
        </w:rPr>
        <w:t>单位：人民币</w:t>
      </w:r>
      <w:r>
        <w:rPr>
          <w:sz w:val="24"/>
          <w:szCs w:val="24"/>
        </w:rPr>
        <w:t>(CNY)</w:t>
      </w:r>
    </w:p>
    <w:tbl>
      <w:tblPr>
        <w:tblStyle w:val="ab"/>
        <w:tblW w:w="9072" w:type="dxa"/>
        <w:tblLayout w:type="fixed"/>
        <w:tblLook w:val="04A0" w:firstRow="1" w:lastRow="0" w:firstColumn="1" w:lastColumn="0" w:noHBand="0" w:noVBand="1"/>
      </w:tblPr>
      <w:tblGrid>
        <w:gridCol w:w="4361"/>
        <w:gridCol w:w="4711"/>
      </w:tblGrid>
      <w:tr w:rsidR="004E272F" w:rsidTr="00B00579">
        <w:tc>
          <w:tcPr>
            <w:tcW w:w="4361" w:type="dxa"/>
          </w:tcPr>
          <w:p w:rsidR="004E272F" w:rsidRDefault="004E272F" w:rsidP="004E272F">
            <w:pPr>
              <w:pStyle w:val="aa"/>
              <w:snapToGrid w:val="0"/>
              <w:spacing w:before="0" w:beforeAutospacing="0" w:after="0" w:afterAutospacing="0" w:line="360" w:lineRule="auto"/>
              <w:ind w:firstLineChars="200" w:firstLine="480"/>
              <w:jc w:val="center"/>
              <w:rPr>
                <w:rFonts w:ascii="仿宋_GB2312" w:eastAsia="仿宋_GB2312"/>
                <w:kern w:val="2"/>
              </w:rPr>
            </w:pPr>
            <w:r>
              <w:rPr>
                <w:rFonts w:ascii="仿宋_GB2312" w:eastAsia="仿宋_GB2312" w:hint="eastAsia"/>
                <w:kern w:val="2"/>
              </w:rPr>
              <w:t>产品净值表现</w:t>
            </w:r>
          </w:p>
        </w:tc>
        <w:tc>
          <w:tcPr>
            <w:tcW w:w="4711" w:type="dxa"/>
          </w:tcPr>
          <w:p w:rsidR="004E272F" w:rsidRDefault="004E272F" w:rsidP="00B00579">
            <w:pPr>
              <w:snapToGrid w:val="0"/>
              <w:spacing w:line="360" w:lineRule="auto"/>
              <w:ind w:firstLineChars="200" w:firstLine="480"/>
              <w:jc w:val="center"/>
              <w:rPr>
                <w:rFonts w:ascii="仿宋_GB2312" w:eastAsia="仿宋_GB2312" w:hAnsi="Calibri" w:cs="宋体"/>
                <w:color w:val="000000"/>
                <w:sz w:val="24"/>
                <w:szCs w:val="24"/>
              </w:rPr>
            </w:pPr>
            <w:r>
              <w:rPr>
                <w:rFonts w:ascii="仿宋_GB2312" w:eastAsia="仿宋_GB2312" w:hint="eastAsia"/>
                <w:color w:val="000000"/>
                <w:sz w:val="24"/>
                <w:szCs w:val="24"/>
              </w:rPr>
              <w:t>报告期（2022-01-01至2022-03-31）</w:t>
            </w:r>
          </w:p>
        </w:tc>
      </w:tr>
      <w:tr w:rsidR="004E272F" w:rsidTr="00B00579">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1.期末产品资产净值</w:t>
            </w:r>
          </w:p>
        </w:tc>
        <w:tc>
          <w:tcPr>
            <w:tcW w:w="4711" w:type="dxa"/>
          </w:tcPr>
          <w:p w:rsidR="004E272F" w:rsidRDefault="00367DBF" w:rsidP="00781652">
            <w:pPr>
              <w:snapToGrid w:val="0"/>
              <w:spacing w:line="360" w:lineRule="auto"/>
              <w:jc w:val="left"/>
              <w:rPr>
                <w:rFonts w:ascii="仿宋_GB2312" w:eastAsia="仿宋_GB2312" w:hAnsi="Calibri" w:cs="宋体"/>
                <w:color w:val="000000"/>
                <w:sz w:val="24"/>
                <w:szCs w:val="24"/>
              </w:rPr>
            </w:pPr>
            <w:r>
              <w:rPr>
                <w:rFonts w:ascii="仿宋_GB2312" w:eastAsia="仿宋_GB2312" w:hAnsi="Calibri" w:cs="宋体"/>
                <w:color w:val="000000"/>
                <w:sz w:val="24"/>
                <w:szCs w:val="24"/>
              </w:rPr>
              <w:t>2301202812 : 516,142,221.05</w:t>
            </w:r>
            <w:r>
              <w:rPr>
                <w:rFonts w:ascii="仿宋_GB2312" w:eastAsia="仿宋_GB2312" w:hAnsi="Calibri" w:cs="宋体"/>
                <w:color w:val="000000"/>
                <w:sz w:val="24"/>
                <w:szCs w:val="24"/>
              </w:rPr>
              <w:br/>
              <w:t>2301202813 : 18,585,566.00</w:t>
            </w:r>
            <w:r>
              <w:rPr>
                <w:rFonts w:ascii="仿宋_GB2312" w:eastAsia="仿宋_GB2312" w:hAnsi="Calibri" w:cs="宋体"/>
                <w:color w:val="000000"/>
                <w:sz w:val="24"/>
                <w:szCs w:val="24"/>
              </w:rPr>
              <w:br/>
              <w:t>2301202814 : 23,359,989.96</w:t>
            </w:r>
            <w:r>
              <w:rPr>
                <w:rFonts w:ascii="仿宋_GB2312" w:eastAsia="仿宋_GB2312" w:hAnsi="Calibri" w:cs="宋体"/>
                <w:color w:val="000000"/>
                <w:sz w:val="24"/>
                <w:szCs w:val="24"/>
              </w:rPr>
              <w:br/>
              <w:t>2301202815 : 93,581,980.85</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2.期末产品份额净值</w:t>
            </w:r>
          </w:p>
        </w:tc>
        <w:tc>
          <w:tcPr>
            <w:tcW w:w="4711" w:type="dxa"/>
          </w:tcPr>
          <w:p w:rsidR="004E272F" w:rsidRDefault="00367DBF"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2301202812 : 1.0699</w:t>
            </w:r>
            <w:r>
              <w:rPr>
                <w:rFonts w:ascii="仿宋_GB2312" w:eastAsia="仿宋_GB2312" w:hAnsi="Calibri" w:cs="宋体"/>
                <w:color w:val="000000"/>
                <w:sz w:val="24"/>
                <w:szCs w:val="24"/>
              </w:rPr>
              <w:br/>
              <w:t>2301202813 : 1.0707</w:t>
            </w:r>
            <w:r>
              <w:rPr>
                <w:rFonts w:ascii="仿宋_GB2312" w:eastAsia="仿宋_GB2312" w:hAnsi="Calibri" w:cs="宋体"/>
                <w:color w:val="000000"/>
                <w:sz w:val="24"/>
                <w:szCs w:val="24"/>
              </w:rPr>
              <w:br/>
              <w:t>2301202814 : 1.0709</w:t>
            </w:r>
            <w:r>
              <w:rPr>
                <w:rFonts w:ascii="仿宋_GB2312" w:eastAsia="仿宋_GB2312" w:hAnsi="Calibri" w:cs="宋体"/>
                <w:color w:val="000000"/>
                <w:sz w:val="24"/>
                <w:szCs w:val="24"/>
              </w:rPr>
              <w:br/>
              <w:t>2301202815 : 1.0717</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3.期末产品份额累计净值</w:t>
            </w:r>
          </w:p>
        </w:tc>
        <w:tc>
          <w:tcPr>
            <w:tcW w:w="4711" w:type="dxa"/>
          </w:tcPr>
          <w:p w:rsidR="004E272F" w:rsidRDefault="00130728"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2301202812 : 1.0699</w:t>
            </w:r>
            <w:r>
              <w:rPr>
                <w:rFonts w:ascii="仿宋_GB2312" w:eastAsia="仿宋_GB2312" w:hAnsi="Calibri" w:cs="宋体"/>
                <w:color w:val="000000"/>
                <w:sz w:val="24"/>
                <w:szCs w:val="24"/>
              </w:rPr>
              <w:br/>
              <w:t>2301202813 : 1.0707</w:t>
            </w:r>
            <w:r>
              <w:rPr>
                <w:rFonts w:ascii="仿宋_GB2312" w:eastAsia="仿宋_GB2312" w:hAnsi="Calibri" w:cs="宋体"/>
                <w:color w:val="000000"/>
                <w:sz w:val="24"/>
                <w:szCs w:val="24"/>
              </w:rPr>
              <w:br/>
              <w:t>2301202814 : 1.0709</w:t>
            </w:r>
            <w:r>
              <w:rPr>
                <w:rFonts w:ascii="仿宋_GB2312" w:eastAsia="仿宋_GB2312" w:hAnsi="Calibri" w:cs="宋体"/>
                <w:color w:val="000000"/>
                <w:sz w:val="24"/>
                <w:szCs w:val="24"/>
              </w:rPr>
              <w:br/>
              <w:t>2301202815 : 1.0717</w:t>
            </w:r>
          </w:p>
        </w:tc>
      </w:tr>
      <w:tr w:rsidR="004E272F" w:rsidTr="00B00579">
        <w:trPr>
          <w:trHeight w:val="158"/>
        </w:trPr>
        <w:tc>
          <w:tcPr>
            <w:tcW w:w="4361" w:type="dxa"/>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4</w:t>
            </w:r>
            <w:r w:rsidRPr="00B2798E">
              <w:rPr>
                <w:rFonts w:ascii="仿宋_GB2312" w:eastAsia="仿宋_GB2312"/>
                <w:kern w:val="2"/>
              </w:rPr>
              <w:t>.</w:t>
            </w:r>
            <w:r w:rsidR="004E272F">
              <w:rPr>
                <w:rFonts w:ascii="仿宋_GB2312" w:eastAsia="仿宋_GB2312" w:hint="eastAsia"/>
                <w:kern w:val="2"/>
              </w:rPr>
              <w:t>每万份收益</w:t>
            </w:r>
          </w:p>
        </w:tc>
        <w:tc>
          <w:tcPr>
            <w:tcW w:w="4711" w:type="dxa"/>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tbl>
      <w:tblPr>
        <w:tblW w:w="90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61"/>
        <w:gridCol w:w="4711"/>
      </w:tblGrid>
      <w:tr w:rsidR="004E272F" w:rsidTr="00B00579">
        <w:trPr>
          <w:trHeight w:val="158"/>
        </w:trPr>
        <w:tc>
          <w:tcPr>
            <w:tcW w:w="4361" w:type="dxa"/>
            <w:tcMar>
              <w:top w:w="0" w:type="dxa"/>
              <w:left w:w="108" w:type="dxa"/>
              <w:bottom w:w="0" w:type="dxa"/>
              <w:right w:w="108" w:type="dxa"/>
            </w:tcMar>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5</w:t>
            </w:r>
            <w:r w:rsidRPr="00B2798E">
              <w:rPr>
                <w:rFonts w:ascii="仿宋_GB2312" w:eastAsia="仿宋_GB2312"/>
                <w:kern w:val="2"/>
              </w:rPr>
              <w:t>.</w:t>
            </w:r>
            <w:proofErr w:type="gramStart"/>
            <w:r w:rsidR="004E272F">
              <w:rPr>
                <w:rFonts w:ascii="仿宋_GB2312" w:eastAsia="仿宋_GB2312" w:hint="eastAsia"/>
                <w:kern w:val="2"/>
              </w:rPr>
              <w:t>七日年化收益率</w:t>
            </w:r>
            <w:proofErr w:type="gramEnd"/>
          </w:p>
        </w:tc>
        <w:tc>
          <w:tcPr>
            <w:tcW w:w="4711" w:type="dxa"/>
            <w:tcMar>
              <w:top w:w="0" w:type="dxa"/>
              <w:left w:w="108" w:type="dxa"/>
              <w:bottom w:w="0" w:type="dxa"/>
              <w:right w:w="108" w:type="dxa"/>
            </w:tcMar>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p w:rsidR="00564E1C" w:rsidRDefault="00564E1C" w:rsidP="00564E1C">
      <w:pPr>
        <w:snapToGrid w:val="0"/>
        <w:spacing w:line="360" w:lineRule="auto"/>
        <w:rPr>
          <w:rFonts w:ascii="仿宋_GB2312" w:eastAsia="仿宋_GB2312"/>
          <w:b/>
          <w:sz w:val="24"/>
          <w:szCs w:val="24"/>
        </w:rPr>
      </w:pPr>
      <w:r>
        <w:rPr>
          <w:rFonts w:ascii="仿宋_GB2312" w:eastAsia="仿宋_GB2312" w:hint="eastAsia"/>
          <w:b/>
          <w:sz w:val="24"/>
          <w:szCs w:val="24"/>
        </w:rPr>
        <w:t>4.投资组合报告</w:t>
      </w:r>
    </w:p>
    <w:p w:rsidR="00564E1C" w:rsidRDefault="00564E1C" w:rsidP="00564E1C">
      <w:pPr>
        <w:spacing w:line="360" w:lineRule="auto"/>
        <w:ind w:firstLine="482"/>
        <w:rPr>
          <w:rFonts w:ascii="仿宋_GB2312" w:eastAsia="仿宋_GB2312"/>
          <w:b/>
          <w:bCs/>
          <w:sz w:val="24"/>
          <w:szCs w:val="24"/>
        </w:rPr>
      </w:pPr>
      <w:r>
        <w:rPr>
          <w:rFonts w:ascii="仿宋_GB2312" w:eastAsia="仿宋_GB2312" w:hint="eastAsia"/>
          <w:b/>
          <w:bCs/>
          <w:sz w:val="24"/>
          <w:szCs w:val="24"/>
        </w:rPr>
        <w:t>4.1 报告期末产品资产组合情况</w:t>
      </w:r>
    </w:p>
    <w:p w:rsidR="00564E1C" w:rsidRPr="00FD1998" w:rsidRDefault="00564E1C" w:rsidP="00564E1C">
      <w:pPr>
        <w:rPr>
          <w:rFonts w:ascii="仿宋_GB2312" w:eastAsia="仿宋_GB2312" w:hAnsi="Calibri"/>
          <w:sz w:val="24"/>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1"/>
        <w:gridCol w:w="2620"/>
        <w:gridCol w:w="2694"/>
        <w:gridCol w:w="2477"/>
      </w:tblGrid>
      <w:tr w:rsidR="00564E1C" w:rsidTr="00B00579">
        <w:trPr>
          <w:trHeight w:val="415"/>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序号</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项目</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金额（元）</w:t>
            </w:r>
          </w:p>
        </w:tc>
        <w:tc>
          <w:tcPr>
            <w:tcW w:w="2477"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占产品资产净值比例</w:t>
            </w:r>
          </w:p>
        </w:tc>
      </w:tr>
      <w:tr w:rsidR="00564E1C" w:rsidRPr="00BE0BA1" w:rsidTr="00B00579">
        <w:trPr>
          <w:trHeight w:val="20"/>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1</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银行存款</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1,455,428.78</w:t>
            </w:r>
          </w:p>
        </w:tc>
        <w:tc>
          <w:tcPr>
            <w:tcW w:w="2477" w:type="dxa"/>
            <w:vAlign w:val="center"/>
          </w:tcPr>
          <w:p w:rsidR="00564E1C" w:rsidRPr="00BE0BA1"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0.22%</w:t>
            </w:r>
          </w:p>
        </w:tc>
      </w:tr>
      <w:tr w:rsidR="00AB21F8">
        <w:tc>
          <w:tcPr>
            <w:tcW w:w="1281" w:type="dxa"/>
            <w:vAlign w:val="center"/>
          </w:tcPr>
          <w:p w:rsidR="00AB21F8" w:rsidRDefault="0061019B">
            <w:pPr>
              <w:jc w:val="center"/>
            </w:pPr>
            <w:r>
              <w:rPr>
                <w:rFonts w:ascii="仿宋_GB2312" w:eastAsia="仿宋_GB2312" w:hAnsi="Calibri" w:cs="宋体"/>
                <w:color w:val="000000"/>
                <w:sz w:val="24"/>
              </w:rPr>
              <w:t>2</w:t>
            </w:r>
          </w:p>
        </w:tc>
        <w:tc>
          <w:tcPr>
            <w:tcW w:w="2620" w:type="dxa"/>
            <w:vAlign w:val="center"/>
          </w:tcPr>
          <w:p w:rsidR="00AB21F8" w:rsidRDefault="0061019B">
            <w:pPr>
              <w:jc w:val="center"/>
            </w:pPr>
            <w:r>
              <w:rPr>
                <w:rFonts w:ascii="仿宋_GB2312" w:eastAsia="仿宋_GB2312" w:hAnsi="Calibri" w:cs="宋体"/>
                <w:color w:val="000000"/>
                <w:sz w:val="24"/>
              </w:rPr>
              <w:t>债券投资</w:t>
            </w:r>
          </w:p>
        </w:tc>
        <w:tc>
          <w:tcPr>
            <w:tcW w:w="2694" w:type="dxa"/>
            <w:vAlign w:val="center"/>
          </w:tcPr>
          <w:p w:rsidR="00AB21F8" w:rsidRDefault="0061019B">
            <w:pPr>
              <w:jc w:val="center"/>
            </w:pPr>
            <w:r>
              <w:rPr>
                <w:rFonts w:ascii="仿宋_GB2312" w:eastAsia="仿宋_GB2312" w:hAnsi="Calibri" w:cs="宋体"/>
                <w:color w:val="000000"/>
                <w:sz w:val="24"/>
              </w:rPr>
              <w:t>640,163,200.00</w:t>
            </w:r>
          </w:p>
        </w:tc>
        <w:tc>
          <w:tcPr>
            <w:tcW w:w="2477" w:type="dxa"/>
            <w:vAlign w:val="center"/>
          </w:tcPr>
          <w:p w:rsidR="00AB21F8" w:rsidRDefault="0061019B">
            <w:pPr>
              <w:jc w:val="center"/>
            </w:pPr>
            <w:r>
              <w:rPr>
                <w:rFonts w:ascii="仿宋_GB2312" w:eastAsia="仿宋_GB2312" w:hAnsi="Calibri" w:cs="宋体"/>
                <w:color w:val="000000"/>
                <w:sz w:val="24"/>
              </w:rPr>
              <w:t>98.23%</w:t>
            </w:r>
          </w:p>
        </w:tc>
      </w:tr>
      <w:tr w:rsidR="00AB21F8">
        <w:tc>
          <w:tcPr>
            <w:tcW w:w="1281" w:type="dxa"/>
            <w:vAlign w:val="center"/>
          </w:tcPr>
          <w:p w:rsidR="00AB21F8" w:rsidRDefault="0061019B">
            <w:pPr>
              <w:jc w:val="center"/>
            </w:pPr>
            <w:r>
              <w:rPr>
                <w:rFonts w:ascii="仿宋_GB2312" w:eastAsia="仿宋_GB2312" w:hAnsi="Calibri" w:cs="宋体"/>
                <w:color w:val="000000"/>
                <w:sz w:val="24"/>
              </w:rPr>
              <w:t>3</w:t>
            </w:r>
          </w:p>
        </w:tc>
        <w:tc>
          <w:tcPr>
            <w:tcW w:w="2620" w:type="dxa"/>
            <w:vAlign w:val="center"/>
          </w:tcPr>
          <w:p w:rsidR="00AB21F8" w:rsidRDefault="0061019B">
            <w:pPr>
              <w:jc w:val="center"/>
            </w:pPr>
            <w:r>
              <w:rPr>
                <w:rFonts w:ascii="仿宋_GB2312" w:eastAsia="仿宋_GB2312" w:hAnsi="Calibri" w:cs="宋体"/>
                <w:color w:val="000000"/>
                <w:sz w:val="24"/>
              </w:rPr>
              <w:t>资产支持证券投资</w:t>
            </w:r>
          </w:p>
        </w:tc>
        <w:tc>
          <w:tcPr>
            <w:tcW w:w="2694" w:type="dxa"/>
            <w:vAlign w:val="center"/>
          </w:tcPr>
          <w:p w:rsidR="00AB21F8" w:rsidRDefault="0061019B">
            <w:pPr>
              <w:jc w:val="center"/>
            </w:pPr>
            <w:r>
              <w:rPr>
                <w:rFonts w:ascii="仿宋_GB2312" w:eastAsia="仿宋_GB2312" w:hAnsi="Calibri" w:cs="宋体"/>
                <w:color w:val="000000"/>
                <w:sz w:val="24"/>
              </w:rPr>
              <w:t>-</w:t>
            </w:r>
          </w:p>
        </w:tc>
        <w:tc>
          <w:tcPr>
            <w:tcW w:w="2477" w:type="dxa"/>
            <w:vAlign w:val="center"/>
          </w:tcPr>
          <w:p w:rsidR="00AB21F8" w:rsidRDefault="0061019B">
            <w:pPr>
              <w:jc w:val="center"/>
            </w:pPr>
            <w:r>
              <w:rPr>
                <w:rFonts w:ascii="仿宋_GB2312" w:eastAsia="仿宋_GB2312" w:hAnsi="Calibri" w:cs="宋体"/>
                <w:color w:val="000000"/>
                <w:sz w:val="24"/>
              </w:rPr>
              <w:t>-</w:t>
            </w:r>
          </w:p>
        </w:tc>
      </w:tr>
      <w:tr w:rsidR="00AB21F8">
        <w:tc>
          <w:tcPr>
            <w:tcW w:w="1281" w:type="dxa"/>
            <w:vAlign w:val="center"/>
          </w:tcPr>
          <w:p w:rsidR="00AB21F8" w:rsidRDefault="0061019B">
            <w:pPr>
              <w:jc w:val="center"/>
            </w:pPr>
            <w:r>
              <w:rPr>
                <w:rFonts w:ascii="仿宋_GB2312" w:eastAsia="仿宋_GB2312" w:hAnsi="Calibri" w:cs="宋体"/>
                <w:color w:val="000000"/>
                <w:sz w:val="24"/>
              </w:rPr>
              <w:t>4</w:t>
            </w:r>
          </w:p>
        </w:tc>
        <w:tc>
          <w:tcPr>
            <w:tcW w:w="2620" w:type="dxa"/>
            <w:vAlign w:val="center"/>
          </w:tcPr>
          <w:p w:rsidR="00AB21F8" w:rsidRDefault="0061019B">
            <w:pPr>
              <w:jc w:val="center"/>
            </w:pPr>
            <w:r>
              <w:rPr>
                <w:rFonts w:ascii="仿宋_GB2312" w:eastAsia="仿宋_GB2312" w:hAnsi="Calibri" w:cs="宋体"/>
                <w:color w:val="000000"/>
                <w:sz w:val="24"/>
              </w:rPr>
              <w:t>信托计划</w:t>
            </w:r>
          </w:p>
        </w:tc>
        <w:tc>
          <w:tcPr>
            <w:tcW w:w="2694" w:type="dxa"/>
            <w:vAlign w:val="center"/>
          </w:tcPr>
          <w:p w:rsidR="00AB21F8" w:rsidRDefault="0061019B">
            <w:pPr>
              <w:jc w:val="center"/>
            </w:pPr>
            <w:r>
              <w:rPr>
                <w:rFonts w:ascii="仿宋_GB2312" w:eastAsia="仿宋_GB2312" w:hAnsi="Calibri" w:cs="宋体"/>
                <w:color w:val="000000"/>
                <w:sz w:val="24"/>
              </w:rPr>
              <w:t>-</w:t>
            </w:r>
          </w:p>
        </w:tc>
        <w:tc>
          <w:tcPr>
            <w:tcW w:w="2477" w:type="dxa"/>
            <w:vAlign w:val="center"/>
          </w:tcPr>
          <w:p w:rsidR="00AB21F8" w:rsidRDefault="0061019B">
            <w:pPr>
              <w:jc w:val="center"/>
            </w:pPr>
            <w:r>
              <w:rPr>
                <w:rFonts w:ascii="仿宋_GB2312" w:eastAsia="仿宋_GB2312" w:hAnsi="Calibri" w:cs="宋体"/>
                <w:color w:val="000000"/>
                <w:sz w:val="24"/>
              </w:rPr>
              <w:t>-</w:t>
            </w:r>
          </w:p>
        </w:tc>
      </w:tr>
      <w:tr w:rsidR="00AB21F8">
        <w:tc>
          <w:tcPr>
            <w:tcW w:w="1281" w:type="dxa"/>
            <w:vAlign w:val="center"/>
          </w:tcPr>
          <w:p w:rsidR="00AB21F8" w:rsidRDefault="0061019B">
            <w:pPr>
              <w:jc w:val="center"/>
            </w:pPr>
            <w:r>
              <w:rPr>
                <w:rFonts w:ascii="仿宋_GB2312" w:eastAsia="仿宋_GB2312" w:hAnsi="Calibri" w:cs="宋体"/>
                <w:color w:val="000000"/>
                <w:sz w:val="24"/>
              </w:rPr>
              <w:t>5</w:t>
            </w:r>
          </w:p>
        </w:tc>
        <w:tc>
          <w:tcPr>
            <w:tcW w:w="2620" w:type="dxa"/>
            <w:vAlign w:val="center"/>
          </w:tcPr>
          <w:p w:rsidR="00AB21F8" w:rsidRDefault="0061019B">
            <w:pPr>
              <w:jc w:val="center"/>
            </w:pPr>
            <w:r>
              <w:rPr>
                <w:rFonts w:ascii="仿宋_GB2312" w:eastAsia="仿宋_GB2312" w:hAnsi="Calibri" w:cs="宋体"/>
                <w:color w:val="000000"/>
                <w:sz w:val="24"/>
              </w:rPr>
              <w:t>资产管理计划</w:t>
            </w:r>
          </w:p>
        </w:tc>
        <w:tc>
          <w:tcPr>
            <w:tcW w:w="2694" w:type="dxa"/>
            <w:vAlign w:val="center"/>
          </w:tcPr>
          <w:p w:rsidR="00AB21F8" w:rsidRDefault="0061019B">
            <w:pPr>
              <w:jc w:val="center"/>
            </w:pPr>
            <w:r>
              <w:rPr>
                <w:rFonts w:ascii="仿宋_GB2312" w:eastAsia="仿宋_GB2312" w:hAnsi="Calibri" w:cs="宋体"/>
                <w:color w:val="000000"/>
                <w:sz w:val="24"/>
              </w:rPr>
              <w:t>-</w:t>
            </w:r>
          </w:p>
        </w:tc>
        <w:tc>
          <w:tcPr>
            <w:tcW w:w="2477" w:type="dxa"/>
            <w:vAlign w:val="center"/>
          </w:tcPr>
          <w:p w:rsidR="00AB21F8" w:rsidRDefault="0061019B">
            <w:pPr>
              <w:jc w:val="center"/>
            </w:pPr>
            <w:r>
              <w:rPr>
                <w:rFonts w:ascii="仿宋_GB2312" w:eastAsia="仿宋_GB2312" w:hAnsi="Calibri" w:cs="宋体"/>
                <w:color w:val="000000"/>
                <w:sz w:val="24"/>
              </w:rPr>
              <w:t>-</w:t>
            </w:r>
          </w:p>
        </w:tc>
      </w:tr>
      <w:tr w:rsidR="00AB21F8">
        <w:tc>
          <w:tcPr>
            <w:tcW w:w="1281" w:type="dxa"/>
            <w:vAlign w:val="center"/>
          </w:tcPr>
          <w:p w:rsidR="00AB21F8" w:rsidRDefault="0061019B">
            <w:pPr>
              <w:jc w:val="center"/>
            </w:pPr>
            <w:r>
              <w:rPr>
                <w:rFonts w:ascii="仿宋_GB2312" w:eastAsia="仿宋_GB2312" w:hAnsi="Calibri" w:cs="宋体"/>
                <w:color w:val="000000"/>
                <w:sz w:val="24"/>
              </w:rPr>
              <w:t>6</w:t>
            </w:r>
          </w:p>
        </w:tc>
        <w:tc>
          <w:tcPr>
            <w:tcW w:w="2620" w:type="dxa"/>
            <w:vAlign w:val="center"/>
          </w:tcPr>
          <w:p w:rsidR="00AB21F8" w:rsidRDefault="0061019B">
            <w:pPr>
              <w:jc w:val="center"/>
            </w:pPr>
            <w:r>
              <w:rPr>
                <w:rFonts w:ascii="仿宋_GB2312" w:eastAsia="仿宋_GB2312" w:hAnsi="Calibri" w:cs="宋体"/>
                <w:color w:val="000000"/>
                <w:sz w:val="24"/>
              </w:rPr>
              <w:t>净值类资产管理计划</w:t>
            </w:r>
          </w:p>
        </w:tc>
        <w:tc>
          <w:tcPr>
            <w:tcW w:w="2694" w:type="dxa"/>
            <w:vAlign w:val="center"/>
          </w:tcPr>
          <w:p w:rsidR="00AB21F8" w:rsidRDefault="0061019B">
            <w:pPr>
              <w:jc w:val="center"/>
            </w:pPr>
            <w:r>
              <w:rPr>
                <w:rFonts w:ascii="仿宋_GB2312" w:eastAsia="仿宋_GB2312" w:hAnsi="Calibri" w:cs="宋体"/>
                <w:color w:val="000000"/>
                <w:sz w:val="24"/>
              </w:rPr>
              <w:t>-</w:t>
            </w:r>
          </w:p>
        </w:tc>
        <w:tc>
          <w:tcPr>
            <w:tcW w:w="2477" w:type="dxa"/>
            <w:vAlign w:val="center"/>
          </w:tcPr>
          <w:p w:rsidR="00AB21F8" w:rsidRDefault="0061019B">
            <w:pPr>
              <w:jc w:val="center"/>
            </w:pPr>
            <w:r>
              <w:rPr>
                <w:rFonts w:ascii="仿宋_GB2312" w:eastAsia="仿宋_GB2312" w:hAnsi="Calibri" w:cs="宋体"/>
                <w:color w:val="000000"/>
                <w:sz w:val="24"/>
              </w:rPr>
              <w:t>-</w:t>
            </w:r>
          </w:p>
        </w:tc>
      </w:tr>
      <w:tr w:rsidR="00AB21F8">
        <w:tc>
          <w:tcPr>
            <w:tcW w:w="1281" w:type="dxa"/>
            <w:vAlign w:val="center"/>
          </w:tcPr>
          <w:p w:rsidR="00AB21F8" w:rsidRDefault="0061019B">
            <w:pPr>
              <w:jc w:val="center"/>
            </w:pPr>
            <w:r>
              <w:rPr>
                <w:rFonts w:ascii="仿宋_GB2312" w:eastAsia="仿宋_GB2312" w:hAnsi="Calibri" w:cs="宋体"/>
                <w:color w:val="000000"/>
                <w:sz w:val="24"/>
              </w:rPr>
              <w:t>7</w:t>
            </w:r>
          </w:p>
        </w:tc>
        <w:tc>
          <w:tcPr>
            <w:tcW w:w="2620" w:type="dxa"/>
            <w:vAlign w:val="center"/>
          </w:tcPr>
          <w:p w:rsidR="00AB21F8" w:rsidRDefault="0061019B">
            <w:pPr>
              <w:jc w:val="center"/>
            </w:pPr>
            <w:r>
              <w:rPr>
                <w:rFonts w:ascii="仿宋_GB2312" w:eastAsia="仿宋_GB2312" w:hAnsi="Calibri" w:cs="宋体"/>
                <w:color w:val="000000"/>
                <w:sz w:val="24"/>
              </w:rPr>
              <w:t>资金拆出</w:t>
            </w:r>
          </w:p>
        </w:tc>
        <w:tc>
          <w:tcPr>
            <w:tcW w:w="2694" w:type="dxa"/>
            <w:vAlign w:val="center"/>
          </w:tcPr>
          <w:p w:rsidR="00AB21F8" w:rsidRDefault="0061019B">
            <w:pPr>
              <w:jc w:val="center"/>
            </w:pPr>
            <w:r>
              <w:rPr>
                <w:rFonts w:ascii="仿宋_GB2312" w:eastAsia="仿宋_GB2312" w:hAnsi="Calibri" w:cs="宋体"/>
                <w:color w:val="000000"/>
                <w:sz w:val="24"/>
              </w:rPr>
              <w:t>-</w:t>
            </w:r>
          </w:p>
        </w:tc>
        <w:tc>
          <w:tcPr>
            <w:tcW w:w="2477" w:type="dxa"/>
            <w:vAlign w:val="center"/>
          </w:tcPr>
          <w:p w:rsidR="00AB21F8" w:rsidRDefault="0061019B">
            <w:pPr>
              <w:jc w:val="center"/>
            </w:pPr>
            <w:r>
              <w:rPr>
                <w:rFonts w:ascii="仿宋_GB2312" w:eastAsia="仿宋_GB2312" w:hAnsi="Calibri" w:cs="宋体"/>
                <w:color w:val="000000"/>
                <w:sz w:val="24"/>
              </w:rPr>
              <w:t>-</w:t>
            </w:r>
          </w:p>
        </w:tc>
      </w:tr>
      <w:tr w:rsidR="00AB21F8">
        <w:tc>
          <w:tcPr>
            <w:tcW w:w="1281" w:type="dxa"/>
            <w:vAlign w:val="center"/>
          </w:tcPr>
          <w:p w:rsidR="00AB21F8" w:rsidRDefault="0061019B">
            <w:pPr>
              <w:jc w:val="center"/>
            </w:pPr>
            <w:r>
              <w:rPr>
                <w:rFonts w:ascii="仿宋_GB2312" w:eastAsia="仿宋_GB2312" w:hAnsi="Calibri" w:cs="宋体"/>
                <w:color w:val="000000"/>
                <w:sz w:val="24"/>
              </w:rPr>
              <w:t>8</w:t>
            </w:r>
          </w:p>
        </w:tc>
        <w:tc>
          <w:tcPr>
            <w:tcW w:w="2620" w:type="dxa"/>
            <w:vAlign w:val="center"/>
          </w:tcPr>
          <w:p w:rsidR="00AB21F8" w:rsidRDefault="0061019B">
            <w:pPr>
              <w:jc w:val="center"/>
            </w:pPr>
            <w:r>
              <w:rPr>
                <w:rFonts w:ascii="仿宋_GB2312" w:eastAsia="仿宋_GB2312" w:hAnsi="Calibri" w:cs="宋体"/>
                <w:color w:val="000000"/>
                <w:sz w:val="24"/>
              </w:rPr>
              <w:t>结算备付金</w:t>
            </w:r>
          </w:p>
        </w:tc>
        <w:tc>
          <w:tcPr>
            <w:tcW w:w="2694" w:type="dxa"/>
            <w:vAlign w:val="center"/>
          </w:tcPr>
          <w:p w:rsidR="00AB21F8" w:rsidRDefault="0061019B">
            <w:pPr>
              <w:jc w:val="center"/>
            </w:pPr>
            <w:r>
              <w:rPr>
                <w:rFonts w:ascii="仿宋_GB2312" w:eastAsia="仿宋_GB2312" w:hAnsi="Calibri" w:cs="宋体"/>
                <w:color w:val="000000"/>
                <w:sz w:val="24"/>
              </w:rPr>
              <w:t>-</w:t>
            </w:r>
          </w:p>
        </w:tc>
        <w:tc>
          <w:tcPr>
            <w:tcW w:w="2477" w:type="dxa"/>
            <w:vAlign w:val="center"/>
          </w:tcPr>
          <w:p w:rsidR="00AB21F8" w:rsidRDefault="0061019B">
            <w:pPr>
              <w:jc w:val="center"/>
            </w:pPr>
            <w:r>
              <w:rPr>
                <w:rFonts w:ascii="仿宋_GB2312" w:eastAsia="仿宋_GB2312" w:hAnsi="Calibri" w:cs="宋体"/>
                <w:color w:val="000000"/>
                <w:sz w:val="24"/>
              </w:rPr>
              <w:t>-</w:t>
            </w:r>
          </w:p>
        </w:tc>
      </w:tr>
      <w:tr w:rsidR="00AB21F8">
        <w:tc>
          <w:tcPr>
            <w:tcW w:w="1281" w:type="dxa"/>
            <w:vAlign w:val="center"/>
          </w:tcPr>
          <w:p w:rsidR="00AB21F8" w:rsidRDefault="0061019B">
            <w:pPr>
              <w:jc w:val="center"/>
            </w:pPr>
            <w:r>
              <w:rPr>
                <w:rFonts w:ascii="仿宋_GB2312" w:eastAsia="仿宋_GB2312" w:hAnsi="Calibri" w:cs="宋体"/>
                <w:color w:val="000000"/>
                <w:sz w:val="24"/>
              </w:rPr>
              <w:lastRenderedPageBreak/>
              <w:t>9</w:t>
            </w:r>
          </w:p>
        </w:tc>
        <w:tc>
          <w:tcPr>
            <w:tcW w:w="2620" w:type="dxa"/>
            <w:vAlign w:val="center"/>
          </w:tcPr>
          <w:p w:rsidR="00AB21F8" w:rsidRDefault="0061019B">
            <w:pPr>
              <w:jc w:val="center"/>
            </w:pPr>
            <w:r>
              <w:rPr>
                <w:rFonts w:ascii="仿宋_GB2312" w:eastAsia="仿宋_GB2312" w:hAnsi="Calibri" w:cs="宋体"/>
                <w:color w:val="000000"/>
                <w:sz w:val="24"/>
              </w:rPr>
              <w:t>买入返售金融资产</w:t>
            </w:r>
          </w:p>
        </w:tc>
        <w:tc>
          <w:tcPr>
            <w:tcW w:w="2694" w:type="dxa"/>
            <w:vAlign w:val="center"/>
          </w:tcPr>
          <w:p w:rsidR="00AB21F8" w:rsidRDefault="0061019B">
            <w:pPr>
              <w:jc w:val="center"/>
            </w:pPr>
            <w:r>
              <w:rPr>
                <w:rFonts w:ascii="仿宋_GB2312" w:eastAsia="仿宋_GB2312" w:hAnsi="Calibri" w:cs="宋体"/>
                <w:color w:val="000000"/>
                <w:sz w:val="24"/>
              </w:rPr>
              <w:t>-</w:t>
            </w:r>
          </w:p>
        </w:tc>
        <w:tc>
          <w:tcPr>
            <w:tcW w:w="2477" w:type="dxa"/>
            <w:vAlign w:val="center"/>
          </w:tcPr>
          <w:p w:rsidR="00AB21F8" w:rsidRDefault="0061019B">
            <w:pPr>
              <w:jc w:val="center"/>
            </w:pPr>
            <w:r>
              <w:rPr>
                <w:rFonts w:ascii="仿宋_GB2312" w:eastAsia="仿宋_GB2312" w:hAnsi="Calibri" w:cs="宋体"/>
                <w:color w:val="000000"/>
                <w:sz w:val="24"/>
              </w:rPr>
              <w:t>-</w:t>
            </w:r>
          </w:p>
        </w:tc>
      </w:tr>
      <w:tr w:rsidR="00AB21F8">
        <w:tc>
          <w:tcPr>
            <w:tcW w:w="1281" w:type="dxa"/>
            <w:vAlign w:val="center"/>
          </w:tcPr>
          <w:p w:rsidR="00AB21F8" w:rsidRDefault="0061019B">
            <w:pPr>
              <w:jc w:val="center"/>
            </w:pPr>
            <w:r>
              <w:rPr>
                <w:rFonts w:ascii="仿宋_GB2312" w:eastAsia="仿宋_GB2312" w:hAnsi="Calibri" w:cs="宋体"/>
                <w:color w:val="000000"/>
                <w:sz w:val="24"/>
              </w:rPr>
              <w:t>1</w:t>
            </w:r>
            <w:r w:rsidR="008F3C17">
              <w:rPr>
                <w:rFonts w:ascii="仿宋_GB2312" w:eastAsia="仿宋_GB2312" w:hAnsi="Calibri" w:cs="宋体" w:hint="eastAsia"/>
                <w:color w:val="000000"/>
                <w:sz w:val="24"/>
              </w:rPr>
              <w:t>0</w:t>
            </w:r>
            <w:bookmarkStart w:id="0" w:name="_GoBack"/>
            <w:bookmarkEnd w:id="0"/>
          </w:p>
        </w:tc>
        <w:tc>
          <w:tcPr>
            <w:tcW w:w="2620" w:type="dxa"/>
            <w:vAlign w:val="center"/>
          </w:tcPr>
          <w:p w:rsidR="00AB21F8" w:rsidRDefault="0061019B">
            <w:pPr>
              <w:jc w:val="center"/>
            </w:pPr>
            <w:r>
              <w:rPr>
                <w:rFonts w:ascii="仿宋_GB2312" w:eastAsia="仿宋_GB2312" w:hAnsi="Calibri" w:cs="宋体"/>
                <w:color w:val="000000"/>
                <w:sz w:val="24"/>
              </w:rPr>
              <w:t>应收利息</w:t>
            </w:r>
          </w:p>
        </w:tc>
        <w:tc>
          <w:tcPr>
            <w:tcW w:w="2694" w:type="dxa"/>
            <w:vAlign w:val="center"/>
          </w:tcPr>
          <w:p w:rsidR="00AB21F8" w:rsidRPr="008F3C17" w:rsidRDefault="008F3C17" w:rsidP="008F3C17">
            <w:pPr>
              <w:jc w:val="center"/>
              <w:rPr>
                <w:rFonts w:eastAsia="宋体" w:cs="Arial" w:hint="eastAsia"/>
                <w:sz w:val="24"/>
              </w:rPr>
            </w:pPr>
            <w:r w:rsidRPr="008F3C17">
              <w:rPr>
                <w:rFonts w:ascii="仿宋_GB2312" w:eastAsia="仿宋_GB2312" w:hAnsi="Calibri" w:cs="宋体" w:hint="eastAsia"/>
                <w:color w:val="000000"/>
                <w:sz w:val="24"/>
              </w:rPr>
              <w:t>14,347,444.71</w:t>
            </w:r>
          </w:p>
        </w:tc>
        <w:tc>
          <w:tcPr>
            <w:tcW w:w="2477" w:type="dxa"/>
            <w:vAlign w:val="center"/>
          </w:tcPr>
          <w:p w:rsidR="00AB21F8" w:rsidRDefault="008F3C17">
            <w:pPr>
              <w:jc w:val="center"/>
            </w:pPr>
            <w:r>
              <w:rPr>
                <w:rFonts w:ascii="仿宋_GB2312" w:eastAsia="仿宋_GB2312" w:hAnsi="Calibri" w:cs="宋体" w:hint="eastAsia"/>
                <w:color w:val="000000"/>
                <w:sz w:val="24"/>
              </w:rPr>
              <w:t>2</w:t>
            </w:r>
            <w:r w:rsidR="0061019B">
              <w:rPr>
                <w:rFonts w:ascii="仿宋_GB2312" w:eastAsia="仿宋_GB2312" w:hAnsi="Calibri" w:cs="宋体"/>
                <w:color w:val="000000"/>
                <w:sz w:val="24"/>
              </w:rPr>
              <w:t>.</w:t>
            </w:r>
            <w:r>
              <w:rPr>
                <w:rFonts w:ascii="仿宋_GB2312" w:eastAsia="仿宋_GB2312" w:hAnsi="Calibri" w:cs="宋体" w:hint="eastAsia"/>
                <w:color w:val="000000"/>
                <w:sz w:val="24"/>
              </w:rPr>
              <w:t>20</w:t>
            </w:r>
            <w:r w:rsidR="0061019B">
              <w:rPr>
                <w:rFonts w:ascii="仿宋_GB2312" w:eastAsia="仿宋_GB2312" w:hAnsi="Calibri" w:cs="宋体"/>
                <w:color w:val="000000"/>
                <w:sz w:val="24"/>
              </w:rPr>
              <w:t>%</w:t>
            </w:r>
          </w:p>
        </w:tc>
      </w:tr>
      <w:tr w:rsidR="00AB21F8">
        <w:tc>
          <w:tcPr>
            <w:tcW w:w="1281" w:type="dxa"/>
            <w:vAlign w:val="center"/>
          </w:tcPr>
          <w:p w:rsidR="00AB21F8" w:rsidRDefault="00AB21F8">
            <w:pPr>
              <w:jc w:val="center"/>
            </w:pPr>
          </w:p>
        </w:tc>
        <w:tc>
          <w:tcPr>
            <w:tcW w:w="2620" w:type="dxa"/>
            <w:vAlign w:val="center"/>
          </w:tcPr>
          <w:p w:rsidR="00AB21F8" w:rsidRDefault="0061019B">
            <w:pPr>
              <w:jc w:val="center"/>
            </w:pPr>
            <w:r>
              <w:rPr>
                <w:rFonts w:ascii="仿宋_GB2312" w:eastAsia="仿宋_GB2312" w:hAnsi="Calibri" w:cs="宋体"/>
                <w:color w:val="000000"/>
                <w:sz w:val="24"/>
              </w:rPr>
              <w:t>合计</w:t>
            </w:r>
          </w:p>
        </w:tc>
        <w:tc>
          <w:tcPr>
            <w:tcW w:w="2694" w:type="dxa"/>
            <w:vAlign w:val="center"/>
          </w:tcPr>
          <w:p w:rsidR="00AB21F8" w:rsidRDefault="0061019B">
            <w:pPr>
              <w:jc w:val="center"/>
            </w:pPr>
            <w:r>
              <w:rPr>
                <w:rFonts w:ascii="仿宋_GB2312" w:eastAsia="仿宋_GB2312" w:hAnsi="Calibri" w:cs="宋体"/>
                <w:color w:val="000000"/>
                <w:sz w:val="24"/>
              </w:rPr>
              <w:t>655,966,073.49</w:t>
            </w:r>
          </w:p>
        </w:tc>
        <w:tc>
          <w:tcPr>
            <w:tcW w:w="2477" w:type="dxa"/>
            <w:vAlign w:val="center"/>
          </w:tcPr>
          <w:p w:rsidR="00AB21F8" w:rsidRDefault="0061019B">
            <w:pPr>
              <w:jc w:val="center"/>
            </w:pPr>
            <w:r>
              <w:rPr>
                <w:rFonts w:ascii="仿宋_GB2312" w:eastAsia="仿宋_GB2312" w:hAnsi="Calibri" w:cs="宋体"/>
                <w:color w:val="000000"/>
                <w:sz w:val="24"/>
              </w:rPr>
              <w:t>100.66%</w:t>
            </w:r>
          </w:p>
        </w:tc>
      </w:tr>
    </w:tbl>
    <w:p w:rsidR="00DE496A" w:rsidRDefault="00DE496A" w:rsidP="00DE496A">
      <w:pPr>
        <w:spacing w:line="360" w:lineRule="auto"/>
        <w:ind w:firstLine="482"/>
        <w:rPr>
          <w:rFonts w:ascii="仿宋_GB2312" w:eastAsia="仿宋_GB2312" w:hAnsi="Calibri"/>
          <w:sz w:val="24"/>
          <w:szCs w:val="24"/>
        </w:rPr>
      </w:pPr>
      <w:r w:rsidRPr="00756460">
        <w:rPr>
          <w:rFonts w:ascii="仿宋_GB2312" w:eastAsia="仿宋_GB2312" w:hint="eastAsia"/>
          <w:b/>
          <w:bCs/>
          <w:sz w:val="24"/>
          <w:szCs w:val="24"/>
        </w:rPr>
        <w:t>4.2 报告期内产品投资策略和组合流动性风险分析</w:t>
      </w:r>
    </w:p>
    <w:p w:rsidR="00DE496A" w:rsidRPr="00172304" w:rsidRDefault="00172304" w:rsidP="00172304">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报告期内，十年期国债收益率季末收在2.773%，债券收益率整体呈震荡趋势。本产品采用市值法估值，以配置中</w:t>
      </w:r>
      <w:proofErr w:type="gramStart"/>
      <w:r>
        <w:rPr>
          <w:rFonts w:ascii="仿宋_GB2312" w:eastAsia="仿宋_GB2312" w:hint="eastAsia"/>
          <w:color w:val="404040"/>
          <w:sz w:val="24"/>
          <w:szCs w:val="24"/>
        </w:rPr>
        <w:t>短久期</w:t>
      </w:r>
      <w:proofErr w:type="gramEnd"/>
      <w:r>
        <w:rPr>
          <w:rFonts w:ascii="仿宋_GB2312" w:eastAsia="仿宋_GB2312" w:hint="eastAsia"/>
          <w:color w:val="404040"/>
          <w:sz w:val="24"/>
          <w:szCs w:val="24"/>
        </w:rPr>
        <w:t>的高等级信用</w:t>
      </w:r>
      <w:proofErr w:type="gramStart"/>
      <w:r>
        <w:rPr>
          <w:rFonts w:ascii="仿宋_GB2312" w:eastAsia="仿宋_GB2312" w:hint="eastAsia"/>
          <w:color w:val="404040"/>
          <w:sz w:val="24"/>
          <w:szCs w:val="24"/>
        </w:rPr>
        <w:t>债为主</w:t>
      </w:r>
      <w:proofErr w:type="gramEnd"/>
      <w:r>
        <w:rPr>
          <w:rFonts w:ascii="仿宋_GB2312" w:eastAsia="仿宋_GB2312" w:hint="eastAsia"/>
          <w:color w:val="404040"/>
          <w:sz w:val="24"/>
          <w:szCs w:val="24"/>
        </w:rPr>
        <w:t>,通过分散化投资以及行内评审会流程精选个</w:t>
      </w:r>
      <w:proofErr w:type="gramStart"/>
      <w:r>
        <w:rPr>
          <w:rFonts w:ascii="仿宋_GB2312" w:eastAsia="仿宋_GB2312" w:hint="eastAsia"/>
          <w:color w:val="404040"/>
          <w:sz w:val="24"/>
          <w:szCs w:val="24"/>
        </w:rPr>
        <w:t>券</w:t>
      </w:r>
      <w:proofErr w:type="gramEnd"/>
      <w:r>
        <w:rPr>
          <w:rFonts w:ascii="仿宋_GB2312" w:eastAsia="仿宋_GB2312" w:hint="eastAsia"/>
          <w:color w:val="404040"/>
          <w:sz w:val="24"/>
          <w:szCs w:val="24"/>
        </w:rPr>
        <w:t>，构建具有较好流动性、</w:t>
      </w:r>
      <w:proofErr w:type="gramStart"/>
      <w:r>
        <w:rPr>
          <w:rFonts w:ascii="仿宋_GB2312" w:eastAsia="仿宋_GB2312" w:hint="eastAsia"/>
          <w:color w:val="404040"/>
          <w:sz w:val="24"/>
          <w:szCs w:val="24"/>
        </w:rPr>
        <w:t>久期适中</w:t>
      </w:r>
      <w:proofErr w:type="gramEnd"/>
      <w:r>
        <w:rPr>
          <w:rFonts w:ascii="仿宋_GB2312" w:eastAsia="仿宋_GB2312" w:hint="eastAsia"/>
          <w:color w:val="404040"/>
          <w:sz w:val="24"/>
          <w:szCs w:val="24"/>
        </w:rPr>
        <w:t>、信用风险可控的优质债券组合。本产品持仓以高评级信用债为主，杠杆率控制在合理水平，组合的流动性风险处于合理可控水平。</w:t>
      </w:r>
    </w:p>
    <w:p w:rsidR="00DE496A" w:rsidRDefault="00DE496A" w:rsidP="00DE496A">
      <w:pPr>
        <w:spacing w:line="360" w:lineRule="auto"/>
        <w:ind w:firstLineChars="200" w:firstLine="482"/>
        <w:rPr>
          <w:rFonts w:ascii="仿宋_GB2312" w:eastAsia="仿宋_GB2312" w:hAnsiTheme="minorEastAsia"/>
          <w:b/>
          <w:bCs/>
          <w:sz w:val="24"/>
          <w:szCs w:val="24"/>
        </w:rPr>
      </w:pPr>
      <w:r>
        <w:rPr>
          <w:rFonts w:ascii="仿宋_GB2312" w:eastAsia="仿宋_GB2312" w:hAnsiTheme="minorEastAsia"/>
          <w:b/>
          <w:bCs/>
          <w:sz w:val="24"/>
          <w:szCs w:val="24"/>
        </w:rPr>
        <w:t>4.3报告期末占比前十项资产明细</w:t>
      </w:r>
    </w:p>
    <w:tbl>
      <w:tblPr>
        <w:tblW w:w="907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139"/>
        <w:gridCol w:w="2268"/>
        <w:gridCol w:w="2835"/>
        <w:gridCol w:w="2835"/>
      </w:tblGrid>
      <w:tr w:rsidR="00DE496A" w:rsidTr="00B00579">
        <w:trPr>
          <w:trHeight w:val="296"/>
        </w:trPr>
        <w:tc>
          <w:tcPr>
            <w:tcW w:w="1139" w:type="dxa"/>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序号</w:t>
            </w:r>
          </w:p>
        </w:tc>
        <w:tc>
          <w:tcPr>
            <w:tcW w:w="2268" w:type="dxa"/>
            <w:tcMar>
              <w:top w:w="15" w:type="dxa"/>
              <w:left w:w="15" w:type="dxa"/>
              <w:bottom w:w="0" w:type="dxa"/>
              <w:right w:w="15" w:type="dxa"/>
            </w:tcMar>
            <w:vAlign w:val="center"/>
          </w:tcPr>
          <w:p w:rsidR="00DE496A" w:rsidRDefault="00DE496A" w:rsidP="00B00579">
            <w:pPr>
              <w:pStyle w:val="xl33"/>
              <w:widowControl w:val="0"/>
              <w:pBdr>
                <w:left w:val="none" w:sz="0" w:space="0" w:color="auto"/>
                <w:bottom w:val="none" w:sz="0" w:space="0" w:color="auto"/>
                <w:right w:val="none" w:sz="0" w:space="0" w:color="auto"/>
              </w:pBdr>
              <w:adjustRightInd w:val="0"/>
              <w:snapToGrid w:val="0"/>
              <w:spacing w:before="0" w:beforeAutospacing="0" w:after="0" w:afterAutospacing="0" w:line="360" w:lineRule="auto"/>
              <w:rPr>
                <w:rFonts w:ascii="仿宋_GB2312" w:eastAsia="仿宋_GB2312" w:hAnsiTheme="minorEastAsia" w:cs="Times New Roman"/>
                <w:color w:val="000000"/>
                <w:kern w:val="2"/>
              </w:rPr>
            </w:pPr>
            <w:r>
              <w:rPr>
                <w:rFonts w:ascii="仿宋_GB2312" w:eastAsia="仿宋_GB2312" w:hAnsiTheme="minorEastAsia" w:cs="Times New Roman" w:hint="eastAsia"/>
                <w:color w:val="000000"/>
                <w:kern w:val="2"/>
              </w:rPr>
              <w:t>资产名称</w:t>
            </w:r>
          </w:p>
        </w:tc>
        <w:tc>
          <w:tcPr>
            <w:tcW w:w="2835"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资产规模</w:t>
            </w:r>
          </w:p>
        </w:tc>
        <w:tc>
          <w:tcPr>
            <w:tcW w:w="2835" w:type="dxa"/>
            <w:tcMar>
              <w:top w:w="15" w:type="dxa"/>
              <w:left w:w="15" w:type="dxa"/>
              <w:bottom w:w="0" w:type="dxa"/>
              <w:right w:w="15" w:type="dxa"/>
            </w:tcMar>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占产品资产净值比例</w:t>
            </w:r>
          </w:p>
        </w:tc>
      </w:tr>
      <w:tr w:rsidR="00DE496A" w:rsidTr="00B00579">
        <w:trPr>
          <w:trHeight w:val="296"/>
        </w:trPr>
        <w:tc>
          <w:tcPr>
            <w:tcW w:w="1139"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w:t>
            </w:r>
          </w:p>
        </w:tc>
        <w:tc>
          <w:tcPr>
            <w:tcW w:w="2268" w:type="dxa"/>
            <w:tcMar>
              <w:top w:w="15" w:type="dxa"/>
              <w:left w:w="15" w:type="dxa"/>
              <w:bottom w:w="0" w:type="dxa"/>
              <w:right w:w="15" w:type="dxa"/>
            </w:tcMa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17华夏银行二级01</w:t>
            </w:r>
          </w:p>
        </w:tc>
        <w:tc>
          <w:tcPr>
            <w:tcW w:w="2835" w:type="dxa"/>
          </w:tcPr>
          <w:p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60,222,000.00</w:t>
            </w:r>
          </w:p>
        </w:tc>
        <w:tc>
          <w:tcPr>
            <w:tcW w:w="2835" w:type="dxa"/>
            <w:tcMar>
              <w:top w:w="15" w:type="dxa"/>
              <w:left w:w="15" w:type="dxa"/>
              <w:bottom w:w="0" w:type="dxa"/>
              <w:right w:w="15" w:type="dxa"/>
            </w:tcMar>
          </w:tcPr>
          <w:p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9.24%</w:t>
            </w:r>
          </w:p>
        </w:tc>
      </w:tr>
      <w:tr w:rsidR="00AB21F8">
        <w:tc>
          <w:tcPr>
            <w:tcW w:w="1139" w:type="dxa"/>
          </w:tcPr>
          <w:p w:rsidR="00AB21F8" w:rsidRDefault="0061019B">
            <w:pPr>
              <w:jc w:val="center"/>
            </w:pPr>
            <w:r>
              <w:rPr>
                <w:rFonts w:ascii="仿宋_GB2312" w:eastAsia="仿宋_GB2312" w:hAnsi="Calibri" w:cs="宋体"/>
                <w:color w:val="000000"/>
                <w:sz w:val="24"/>
              </w:rPr>
              <w:t>2</w:t>
            </w:r>
          </w:p>
        </w:tc>
        <w:tc>
          <w:tcPr>
            <w:tcW w:w="2268"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22华电MTN001A</w:t>
            </w:r>
          </w:p>
        </w:tc>
        <w:tc>
          <w:tcPr>
            <w:tcW w:w="2835" w:type="dxa"/>
          </w:tcPr>
          <w:p w:rsidR="00AB21F8" w:rsidRDefault="0061019B">
            <w:pPr>
              <w:jc w:val="center"/>
            </w:pPr>
            <w:r>
              <w:rPr>
                <w:rFonts w:ascii="仿宋_GB2312" w:eastAsia="仿宋_GB2312" w:hAnsi="Calibri" w:cs="宋体"/>
                <w:color w:val="000000"/>
                <w:sz w:val="24"/>
              </w:rPr>
              <w:t>59,814,000.00</w:t>
            </w:r>
          </w:p>
        </w:tc>
        <w:tc>
          <w:tcPr>
            <w:tcW w:w="2835"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9.18%</w:t>
            </w:r>
          </w:p>
        </w:tc>
      </w:tr>
      <w:tr w:rsidR="00AB21F8">
        <w:tc>
          <w:tcPr>
            <w:tcW w:w="1139" w:type="dxa"/>
          </w:tcPr>
          <w:p w:rsidR="00AB21F8" w:rsidRDefault="0061019B">
            <w:pPr>
              <w:jc w:val="center"/>
            </w:pPr>
            <w:r>
              <w:rPr>
                <w:rFonts w:ascii="仿宋_GB2312" w:eastAsia="仿宋_GB2312" w:hAnsi="Calibri" w:cs="宋体"/>
                <w:color w:val="000000"/>
                <w:sz w:val="24"/>
              </w:rPr>
              <w:t>3</w:t>
            </w:r>
          </w:p>
        </w:tc>
        <w:tc>
          <w:tcPr>
            <w:tcW w:w="2268"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19华润MTN007</w:t>
            </w:r>
          </w:p>
        </w:tc>
        <w:tc>
          <w:tcPr>
            <w:tcW w:w="2835" w:type="dxa"/>
          </w:tcPr>
          <w:p w:rsidR="00AB21F8" w:rsidRDefault="0061019B">
            <w:pPr>
              <w:jc w:val="center"/>
            </w:pPr>
            <w:r>
              <w:rPr>
                <w:rFonts w:ascii="仿宋_GB2312" w:eastAsia="仿宋_GB2312" w:hAnsi="Calibri" w:cs="宋体"/>
                <w:color w:val="000000"/>
                <w:sz w:val="24"/>
              </w:rPr>
              <w:t>50,300,000.00</w:t>
            </w:r>
          </w:p>
        </w:tc>
        <w:tc>
          <w:tcPr>
            <w:tcW w:w="2835"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7.72%</w:t>
            </w:r>
          </w:p>
        </w:tc>
      </w:tr>
      <w:tr w:rsidR="00AB21F8">
        <w:tc>
          <w:tcPr>
            <w:tcW w:w="1139" w:type="dxa"/>
          </w:tcPr>
          <w:p w:rsidR="00AB21F8" w:rsidRDefault="0061019B">
            <w:pPr>
              <w:jc w:val="center"/>
            </w:pPr>
            <w:r>
              <w:rPr>
                <w:rFonts w:ascii="仿宋_GB2312" w:eastAsia="仿宋_GB2312" w:hAnsi="Calibri" w:cs="宋体"/>
                <w:color w:val="000000"/>
                <w:sz w:val="24"/>
              </w:rPr>
              <w:t>4</w:t>
            </w:r>
          </w:p>
        </w:tc>
        <w:tc>
          <w:tcPr>
            <w:tcW w:w="2268"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21兴业银行CD428</w:t>
            </w:r>
          </w:p>
        </w:tc>
        <w:tc>
          <w:tcPr>
            <w:tcW w:w="2835" w:type="dxa"/>
          </w:tcPr>
          <w:p w:rsidR="00AB21F8" w:rsidRDefault="0061019B">
            <w:pPr>
              <w:jc w:val="center"/>
            </w:pPr>
            <w:r>
              <w:rPr>
                <w:rFonts w:ascii="仿宋_GB2312" w:eastAsia="仿宋_GB2312" w:hAnsi="Calibri" w:cs="宋体"/>
                <w:color w:val="000000"/>
                <w:sz w:val="24"/>
              </w:rPr>
              <w:t>47,740,700.00</w:t>
            </w:r>
          </w:p>
        </w:tc>
        <w:tc>
          <w:tcPr>
            <w:tcW w:w="2835"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7.33%</w:t>
            </w:r>
          </w:p>
        </w:tc>
      </w:tr>
      <w:tr w:rsidR="00AB21F8">
        <w:tc>
          <w:tcPr>
            <w:tcW w:w="1139" w:type="dxa"/>
          </w:tcPr>
          <w:p w:rsidR="00AB21F8" w:rsidRDefault="0061019B">
            <w:pPr>
              <w:jc w:val="center"/>
            </w:pPr>
            <w:r>
              <w:rPr>
                <w:rFonts w:ascii="仿宋_GB2312" w:eastAsia="仿宋_GB2312" w:hAnsi="Calibri" w:cs="宋体"/>
                <w:color w:val="000000"/>
                <w:sz w:val="24"/>
              </w:rPr>
              <w:t>5</w:t>
            </w:r>
          </w:p>
        </w:tc>
        <w:tc>
          <w:tcPr>
            <w:tcW w:w="2268"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17工商银行二级02</w:t>
            </w:r>
          </w:p>
        </w:tc>
        <w:tc>
          <w:tcPr>
            <w:tcW w:w="2835" w:type="dxa"/>
          </w:tcPr>
          <w:p w:rsidR="00AB21F8" w:rsidRDefault="0061019B">
            <w:pPr>
              <w:jc w:val="center"/>
            </w:pPr>
            <w:r>
              <w:rPr>
                <w:rFonts w:ascii="仿宋_GB2312" w:eastAsia="仿宋_GB2312" w:hAnsi="Calibri" w:cs="宋体"/>
                <w:color w:val="000000"/>
                <w:sz w:val="24"/>
              </w:rPr>
              <w:t>40,448,000.00</w:t>
            </w:r>
          </w:p>
        </w:tc>
        <w:tc>
          <w:tcPr>
            <w:tcW w:w="2835"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6.21%</w:t>
            </w:r>
          </w:p>
        </w:tc>
      </w:tr>
      <w:tr w:rsidR="00AB21F8">
        <w:tc>
          <w:tcPr>
            <w:tcW w:w="1139" w:type="dxa"/>
          </w:tcPr>
          <w:p w:rsidR="00AB21F8" w:rsidRDefault="0061019B">
            <w:pPr>
              <w:jc w:val="center"/>
            </w:pPr>
            <w:r>
              <w:rPr>
                <w:rFonts w:ascii="仿宋_GB2312" w:eastAsia="仿宋_GB2312" w:hAnsi="Calibri" w:cs="宋体"/>
                <w:color w:val="000000"/>
                <w:sz w:val="24"/>
              </w:rPr>
              <w:t>6</w:t>
            </w:r>
          </w:p>
        </w:tc>
        <w:tc>
          <w:tcPr>
            <w:tcW w:w="2268"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19葛洲坝MTN001</w:t>
            </w:r>
          </w:p>
        </w:tc>
        <w:tc>
          <w:tcPr>
            <w:tcW w:w="2835" w:type="dxa"/>
          </w:tcPr>
          <w:p w:rsidR="00AB21F8" w:rsidRDefault="0061019B">
            <w:pPr>
              <w:jc w:val="center"/>
            </w:pPr>
            <w:r>
              <w:rPr>
                <w:rFonts w:ascii="仿宋_GB2312" w:eastAsia="仿宋_GB2312" w:hAnsi="Calibri" w:cs="宋体"/>
                <w:color w:val="000000"/>
                <w:sz w:val="24"/>
              </w:rPr>
              <w:t>40,356,000.00</w:t>
            </w:r>
          </w:p>
        </w:tc>
        <w:tc>
          <w:tcPr>
            <w:tcW w:w="2835"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6.19%</w:t>
            </w:r>
          </w:p>
        </w:tc>
      </w:tr>
      <w:tr w:rsidR="00AB21F8">
        <w:tc>
          <w:tcPr>
            <w:tcW w:w="1139" w:type="dxa"/>
          </w:tcPr>
          <w:p w:rsidR="00AB21F8" w:rsidRDefault="0061019B">
            <w:pPr>
              <w:jc w:val="center"/>
            </w:pPr>
            <w:r>
              <w:rPr>
                <w:rFonts w:ascii="仿宋_GB2312" w:eastAsia="仿宋_GB2312" w:hAnsi="Calibri" w:cs="宋体"/>
                <w:color w:val="000000"/>
                <w:sz w:val="24"/>
              </w:rPr>
              <w:t>7</w:t>
            </w:r>
          </w:p>
        </w:tc>
        <w:tc>
          <w:tcPr>
            <w:tcW w:w="2268"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19余杭创新PPN003</w:t>
            </w:r>
          </w:p>
        </w:tc>
        <w:tc>
          <w:tcPr>
            <w:tcW w:w="2835" w:type="dxa"/>
          </w:tcPr>
          <w:p w:rsidR="00AB21F8" w:rsidRDefault="0061019B">
            <w:pPr>
              <w:jc w:val="center"/>
            </w:pPr>
            <w:r>
              <w:rPr>
                <w:rFonts w:ascii="仿宋_GB2312" w:eastAsia="仿宋_GB2312" w:hAnsi="Calibri" w:cs="宋体"/>
                <w:color w:val="000000"/>
                <w:sz w:val="24"/>
              </w:rPr>
              <w:t>40,272,000.00</w:t>
            </w:r>
          </w:p>
        </w:tc>
        <w:tc>
          <w:tcPr>
            <w:tcW w:w="2835"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6.18%</w:t>
            </w:r>
          </w:p>
        </w:tc>
      </w:tr>
      <w:tr w:rsidR="00AB21F8">
        <w:tc>
          <w:tcPr>
            <w:tcW w:w="1139" w:type="dxa"/>
          </w:tcPr>
          <w:p w:rsidR="00AB21F8" w:rsidRDefault="0061019B">
            <w:pPr>
              <w:jc w:val="center"/>
            </w:pPr>
            <w:r>
              <w:rPr>
                <w:rFonts w:ascii="仿宋_GB2312" w:eastAsia="仿宋_GB2312" w:hAnsi="Calibri" w:cs="宋体"/>
                <w:color w:val="000000"/>
                <w:sz w:val="24"/>
              </w:rPr>
              <w:t>8</w:t>
            </w:r>
          </w:p>
        </w:tc>
        <w:tc>
          <w:tcPr>
            <w:tcW w:w="2268"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19阳煤PPN008</w:t>
            </w:r>
          </w:p>
        </w:tc>
        <w:tc>
          <w:tcPr>
            <w:tcW w:w="2835" w:type="dxa"/>
          </w:tcPr>
          <w:p w:rsidR="00AB21F8" w:rsidRDefault="0061019B">
            <w:pPr>
              <w:jc w:val="center"/>
            </w:pPr>
            <w:r>
              <w:rPr>
                <w:rFonts w:ascii="仿宋_GB2312" w:eastAsia="仿宋_GB2312" w:hAnsi="Calibri" w:cs="宋体"/>
                <w:color w:val="000000"/>
                <w:sz w:val="24"/>
              </w:rPr>
              <w:t>40,240,000.00</w:t>
            </w:r>
          </w:p>
        </w:tc>
        <w:tc>
          <w:tcPr>
            <w:tcW w:w="2835"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6.17%</w:t>
            </w:r>
          </w:p>
        </w:tc>
      </w:tr>
      <w:tr w:rsidR="00AB21F8">
        <w:tc>
          <w:tcPr>
            <w:tcW w:w="1139" w:type="dxa"/>
          </w:tcPr>
          <w:p w:rsidR="00AB21F8" w:rsidRDefault="0061019B">
            <w:pPr>
              <w:jc w:val="center"/>
            </w:pPr>
            <w:r>
              <w:rPr>
                <w:rFonts w:ascii="仿宋_GB2312" w:eastAsia="仿宋_GB2312" w:hAnsi="Calibri" w:cs="宋体"/>
                <w:color w:val="000000"/>
                <w:sz w:val="24"/>
              </w:rPr>
              <w:t>9</w:t>
            </w:r>
          </w:p>
        </w:tc>
        <w:tc>
          <w:tcPr>
            <w:tcW w:w="2268"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20华能MTN001</w:t>
            </w:r>
          </w:p>
        </w:tc>
        <w:tc>
          <w:tcPr>
            <w:tcW w:w="2835" w:type="dxa"/>
          </w:tcPr>
          <w:p w:rsidR="00AB21F8" w:rsidRDefault="0061019B">
            <w:pPr>
              <w:jc w:val="center"/>
            </w:pPr>
            <w:r>
              <w:rPr>
                <w:rFonts w:ascii="仿宋_GB2312" w:eastAsia="仿宋_GB2312" w:hAnsi="Calibri" w:cs="宋体"/>
                <w:color w:val="000000"/>
                <w:sz w:val="24"/>
              </w:rPr>
              <w:t>40,120,000.00</w:t>
            </w:r>
          </w:p>
        </w:tc>
        <w:tc>
          <w:tcPr>
            <w:tcW w:w="2835"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6.16%</w:t>
            </w:r>
          </w:p>
        </w:tc>
      </w:tr>
      <w:tr w:rsidR="00AB21F8">
        <w:tc>
          <w:tcPr>
            <w:tcW w:w="1139" w:type="dxa"/>
          </w:tcPr>
          <w:p w:rsidR="00AB21F8" w:rsidRDefault="0061019B">
            <w:pPr>
              <w:jc w:val="center"/>
            </w:pPr>
            <w:r>
              <w:rPr>
                <w:rFonts w:ascii="仿宋_GB2312" w:eastAsia="仿宋_GB2312" w:hAnsi="Calibri" w:cs="宋体"/>
                <w:color w:val="000000"/>
                <w:sz w:val="24"/>
              </w:rPr>
              <w:t>10</w:t>
            </w:r>
          </w:p>
        </w:tc>
        <w:tc>
          <w:tcPr>
            <w:tcW w:w="2268"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21进出04</w:t>
            </w:r>
          </w:p>
        </w:tc>
        <w:tc>
          <w:tcPr>
            <w:tcW w:w="2835" w:type="dxa"/>
          </w:tcPr>
          <w:p w:rsidR="00AB21F8" w:rsidRDefault="0061019B">
            <w:pPr>
              <w:jc w:val="center"/>
            </w:pPr>
            <w:r>
              <w:rPr>
                <w:rFonts w:ascii="仿宋_GB2312" w:eastAsia="仿宋_GB2312" w:hAnsi="Calibri" w:cs="宋体"/>
                <w:color w:val="000000"/>
                <w:sz w:val="24"/>
              </w:rPr>
              <w:t>40,024,000.00</w:t>
            </w:r>
          </w:p>
        </w:tc>
        <w:tc>
          <w:tcPr>
            <w:tcW w:w="2835" w:type="dxa"/>
            <w:tcMar>
              <w:top w:w="15" w:type="dxa"/>
              <w:left w:w="15" w:type="dxa"/>
              <w:bottom w:w="0" w:type="dxa"/>
              <w:right w:w="15" w:type="dxa"/>
            </w:tcMar>
          </w:tcPr>
          <w:p w:rsidR="00AB21F8" w:rsidRDefault="0061019B">
            <w:pPr>
              <w:jc w:val="center"/>
            </w:pPr>
            <w:r>
              <w:rPr>
                <w:rFonts w:ascii="仿宋_GB2312" w:eastAsia="仿宋_GB2312" w:hAnsi="Calibri" w:cs="宋体"/>
                <w:color w:val="000000"/>
                <w:sz w:val="24"/>
              </w:rPr>
              <w:t>6.14%</w:t>
            </w:r>
          </w:p>
        </w:tc>
      </w:tr>
    </w:tbl>
    <w:p w:rsidR="00DE496A" w:rsidRPr="00DD633B" w:rsidRDefault="00DE496A" w:rsidP="00DE496A">
      <w:pPr>
        <w:rPr>
          <w:rFonts w:ascii="仿宋_GB2312" w:eastAsia="仿宋_GB2312" w:hAnsi="Calibri"/>
          <w:sz w:val="24"/>
          <w:szCs w:val="24"/>
        </w:rPr>
      </w:pPr>
    </w:p>
    <w:p w:rsidR="00DE496A" w:rsidRDefault="00DE496A" w:rsidP="00DE496A">
      <w:pPr>
        <w:adjustRightInd w:val="0"/>
        <w:snapToGrid w:val="0"/>
        <w:spacing w:line="360" w:lineRule="auto"/>
        <w:ind w:firstLineChars="200" w:firstLine="482"/>
        <w:rPr>
          <w:rFonts w:ascii="仿宋_GB2312" w:eastAsia="仿宋_GB2312" w:hAnsiTheme="minorEastAsia"/>
          <w:b/>
          <w:bCs/>
          <w:sz w:val="24"/>
          <w:szCs w:val="24"/>
        </w:rPr>
      </w:pPr>
      <w:r>
        <w:rPr>
          <w:rFonts w:ascii="仿宋_GB2312" w:eastAsia="仿宋_GB2312"/>
          <w:b/>
          <w:bCs/>
          <w:sz w:val="24"/>
          <w:szCs w:val="24"/>
        </w:rPr>
        <w:t xml:space="preserve"> </w:t>
      </w:r>
      <w:r>
        <w:rPr>
          <w:rFonts w:ascii="仿宋_GB2312" w:eastAsia="仿宋_GB2312" w:hAnsiTheme="minorEastAsia"/>
          <w:b/>
          <w:bCs/>
          <w:sz w:val="24"/>
          <w:szCs w:val="24"/>
        </w:rPr>
        <w:t>4.4报告期末非标准化债权</w:t>
      </w:r>
      <w:r>
        <w:rPr>
          <w:rStyle w:val="a9"/>
          <w:rFonts w:ascii="仿宋_GB2312" w:eastAsia="仿宋_GB2312" w:hAnsiTheme="minorEastAsia"/>
          <w:b/>
          <w:bCs/>
          <w:sz w:val="24"/>
          <w:szCs w:val="24"/>
        </w:rPr>
        <w:footnoteReference w:id="2"/>
      </w:r>
      <w:r>
        <w:rPr>
          <w:rFonts w:ascii="仿宋_GB2312" w:eastAsia="仿宋_GB2312" w:hAnsiTheme="minorEastAsia" w:hint="eastAsia"/>
          <w:b/>
          <w:bCs/>
          <w:sz w:val="24"/>
          <w:szCs w:val="24"/>
        </w:rPr>
        <w:t>投资明细（选填）</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134"/>
        <w:gridCol w:w="1312"/>
        <w:gridCol w:w="1382"/>
        <w:gridCol w:w="1419"/>
        <w:gridCol w:w="2972"/>
      </w:tblGrid>
      <w:tr w:rsidR="00DE496A" w:rsidTr="00B00579">
        <w:tc>
          <w:tcPr>
            <w:tcW w:w="85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序号</w:t>
            </w:r>
          </w:p>
        </w:tc>
        <w:tc>
          <w:tcPr>
            <w:tcW w:w="1134"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融资客户</w:t>
            </w:r>
          </w:p>
        </w:tc>
        <w:tc>
          <w:tcPr>
            <w:tcW w:w="131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资产名称</w:t>
            </w:r>
          </w:p>
        </w:tc>
        <w:tc>
          <w:tcPr>
            <w:tcW w:w="138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剩余融资期限</w:t>
            </w:r>
          </w:p>
        </w:tc>
        <w:tc>
          <w:tcPr>
            <w:tcW w:w="1419"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交易结构</w:t>
            </w:r>
          </w:p>
        </w:tc>
        <w:tc>
          <w:tcPr>
            <w:tcW w:w="297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占产品资产净值比例</w:t>
            </w:r>
          </w:p>
        </w:tc>
      </w:tr>
      <w:tr w:rsidR="00D601E1" w:rsidTr="00B00579">
        <w:tc>
          <w:tcPr>
            <w:tcW w:w="852" w:type="dxa"/>
            <w:vAlign w:val="center"/>
          </w:tcPr>
          <w:p w:rsidR="00D601E1" w:rsidRDefault="00D601E1" w:rsidP="00023644">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134"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12"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82" w:type="dxa"/>
            <w:vAlign w:val="center"/>
          </w:tcPr>
          <w:p w:rsidR="00D601E1" w:rsidRPr="00E1579D"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419"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c>
          <w:tcPr>
            <w:tcW w:w="2972"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r>
    </w:tbl>
    <w:p w:rsidR="00DE496A" w:rsidRDefault="00DE496A" w:rsidP="00DE496A">
      <w:pPr>
        <w:adjustRightInd w:val="0"/>
        <w:snapToGrid w:val="0"/>
        <w:spacing w:line="360" w:lineRule="auto"/>
        <w:rPr>
          <w:rFonts w:ascii="仿宋_GB2312" w:eastAsia="仿宋_GB2312" w:hAnsiTheme="minorEastAsia"/>
          <w:bCs/>
          <w:sz w:val="24"/>
          <w:szCs w:val="24"/>
        </w:rPr>
      </w:pPr>
      <w:r>
        <w:rPr>
          <w:rFonts w:ascii="仿宋_GB2312" w:eastAsia="仿宋_GB2312" w:hAnsiTheme="minorEastAsia" w:hint="eastAsia"/>
          <w:bCs/>
          <w:sz w:val="24"/>
          <w:szCs w:val="24"/>
        </w:rPr>
        <w:t>注：</w:t>
      </w:r>
      <w:r>
        <w:rPr>
          <w:rFonts w:ascii="仿宋_GB2312" w:eastAsia="仿宋_GB2312" w:hAnsiTheme="minorEastAsia"/>
          <w:bCs/>
          <w:sz w:val="24"/>
          <w:szCs w:val="24"/>
        </w:rPr>
        <w:t>1.截至期末，上述非标准化债权均按照合同约定按时分配收益；</w:t>
      </w:r>
    </w:p>
    <w:p w:rsidR="00FC64B6" w:rsidRDefault="00DE496A" w:rsidP="0041011E">
      <w:pPr>
        <w:snapToGrid w:val="0"/>
        <w:spacing w:line="360" w:lineRule="auto"/>
        <w:ind w:firstLine="480"/>
        <w:rPr>
          <w:rFonts w:ascii="仿宋_GB2312" w:eastAsia="仿宋_GB2312" w:hAnsiTheme="minorEastAsia"/>
          <w:bCs/>
          <w:sz w:val="24"/>
          <w:szCs w:val="24"/>
        </w:rPr>
      </w:pPr>
      <w:r>
        <w:rPr>
          <w:rFonts w:ascii="仿宋_GB2312" w:eastAsia="仿宋_GB2312" w:hAnsiTheme="minorEastAsia"/>
          <w:bCs/>
          <w:sz w:val="24"/>
          <w:szCs w:val="24"/>
        </w:rPr>
        <w:t>2.截至期末，上述非标准化债权未出现无法履行本金及收益兑付的实际情况。</w:t>
      </w: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5</w:t>
      </w:r>
      <w:r w:rsidRPr="006E00B8">
        <w:rPr>
          <w:rFonts w:ascii="仿宋_GB2312" w:eastAsia="仿宋_GB2312"/>
          <w:b/>
          <w:sz w:val="24"/>
          <w:szCs w:val="24"/>
        </w:rPr>
        <w:t> </w:t>
      </w:r>
      <w:r w:rsidRPr="006E00B8">
        <w:rPr>
          <w:rFonts w:ascii="仿宋_GB2312" w:eastAsia="仿宋_GB2312" w:hint="eastAsia"/>
          <w:b/>
          <w:sz w:val="24"/>
          <w:szCs w:val="24"/>
        </w:rPr>
        <w:t>.关联交易（如有）</w:t>
      </w:r>
    </w:p>
    <w:tbl>
      <w:tblPr>
        <w:tblStyle w:val="ab"/>
        <w:tblW w:w="9180" w:type="dxa"/>
        <w:tblLook w:val="04A0" w:firstRow="1" w:lastRow="0" w:firstColumn="1" w:lastColumn="0" w:noHBand="0" w:noVBand="1"/>
      </w:tblPr>
      <w:tblGrid>
        <w:gridCol w:w="1101"/>
        <w:gridCol w:w="1694"/>
        <w:gridCol w:w="857"/>
        <w:gridCol w:w="1134"/>
        <w:gridCol w:w="1276"/>
        <w:gridCol w:w="3118"/>
      </w:tblGrid>
      <w:tr w:rsidR="009F0B98" w:rsidTr="009F0B98">
        <w:tc>
          <w:tcPr>
            <w:tcW w:w="1101"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left"/>
              <w:rPr>
                <w:rFonts w:ascii="仿宋_GB2312" w:eastAsia="仿宋_GB2312" w:hAnsiTheme="minorEastAsia"/>
                <w:kern w:val="2"/>
                <w:sz w:val="24"/>
                <w:szCs w:val="24"/>
              </w:rPr>
            </w:pPr>
            <w:r>
              <w:rPr>
                <w:rFonts w:ascii="仿宋_GB2312" w:eastAsia="仿宋_GB2312" w:hAnsiTheme="minorEastAsia" w:hint="eastAsia"/>
                <w:sz w:val="24"/>
                <w:szCs w:val="24"/>
              </w:rPr>
              <w:t>序号</w:t>
            </w:r>
          </w:p>
        </w:tc>
        <w:tc>
          <w:tcPr>
            <w:tcW w:w="1694"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关联证券名称</w:t>
            </w:r>
          </w:p>
        </w:tc>
        <w:tc>
          <w:tcPr>
            <w:tcW w:w="857"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规模</w:t>
            </w:r>
          </w:p>
        </w:tc>
        <w:tc>
          <w:tcPr>
            <w:tcW w:w="1134"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占比</w:t>
            </w:r>
          </w:p>
        </w:tc>
        <w:tc>
          <w:tcPr>
            <w:tcW w:w="1276"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关联方名称</w:t>
            </w:r>
          </w:p>
        </w:tc>
        <w:tc>
          <w:tcPr>
            <w:tcW w:w="3118"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关联方与本理财产品关联关系</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lastRenderedPageBreak/>
              <w:t>1</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2</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bl>
    <w:p w:rsidR="009F0B98" w:rsidRDefault="009F0B98" w:rsidP="009F0B98">
      <w:pPr>
        <w:snapToGrid w:val="0"/>
        <w:spacing w:line="360" w:lineRule="auto"/>
        <w:rPr>
          <w:rFonts w:ascii="仿宋_GB2312" w:eastAsia="仿宋_GB2312"/>
          <w:b/>
          <w:sz w:val="24"/>
          <w:szCs w:val="24"/>
          <w:highlight w:val="yellow"/>
        </w:rPr>
      </w:pP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6</w:t>
      </w:r>
      <w:r w:rsidRPr="006E00B8">
        <w:rPr>
          <w:rFonts w:ascii="仿宋_GB2312" w:eastAsia="仿宋_GB2312"/>
          <w:b/>
          <w:sz w:val="24"/>
          <w:szCs w:val="24"/>
        </w:rPr>
        <w:t> </w:t>
      </w:r>
      <w:r w:rsidRPr="006E00B8">
        <w:rPr>
          <w:rFonts w:ascii="仿宋_GB2312" w:eastAsia="仿宋_GB2312" w:hint="eastAsia"/>
          <w:b/>
          <w:sz w:val="24"/>
          <w:szCs w:val="24"/>
        </w:rPr>
        <w:t>.影响投资者决策的其他重要信息</w:t>
      </w:r>
    </w:p>
    <w:p w:rsidR="009F0B98" w:rsidRDefault="009F0B98" w:rsidP="009F0B98">
      <w:pPr>
        <w:rPr>
          <w:rFonts w:ascii="仿宋_GB2312" w:eastAsia="仿宋_GB2312"/>
          <w:sz w:val="24"/>
          <w:szCs w:val="24"/>
        </w:rPr>
      </w:pPr>
      <w:r>
        <w:rPr>
          <w:rFonts w:ascii="仿宋_GB2312" w:eastAsia="仿宋_GB2312" w:hint="eastAsia"/>
          <w:sz w:val="24"/>
          <w:szCs w:val="24"/>
        </w:rPr>
        <w:t>无。</w:t>
      </w: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7.托管机构报告</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上海浦东发展银行股份有限公司（以下简称“本托管人”）在对本产品托管过程中，严格遵守《关于规范金融机构资产管理业务的指导意见》（银发〔2018〕106号）、《商业银行理财业务监督管理办法》（银保监会令〔2018〕6号）及其他有关法律法规、产品合同、托管协议的规定，不存在损害产品份额持有人利益的行为，完全尽职尽责地履行了托管人应尽的义务。</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本托管人依照《关于规范金融机构资产管理业务的指导意见》（银发〔2018〕106号）、《商业银行理财业务监督管理办法》（银保监会令〔2018〕6号）及其他有关法律法规、产品合同、托管协议的规定，对本产品的投资运作进行了监督，对本报告中的财务指标、净值表现、投资组合报告等内容进行了认真的复核，未发现产品管理人存在损害产品份额持有人利益的行为。</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本报告期内，由上海浦东发展银行编制的本托管人复核的本报告中的财务指标、净值表现、投资组合报告等内容真实、准确、完整。</w:t>
      </w:r>
    </w:p>
    <w:p w:rsidR="009F0B98" w:rsidRDefault="009F0B98" w:rsidP="009F0B98">
      <w:pPr>
        <w:rPr>
          <w:rFonts w:ascii="仿宋_GB2312" w:eastAsia="仿宋_GB2312"/>
          <w:sz w:val="24"/>
          <w:szCs w:val="24"/>
        </w:rPr>
      </w:pP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8.备查文件</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8.1 备查文件目录</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产品说明书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销售协议</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风险揭示书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投资者权益须知</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8.2 存放地点</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color w:val="000000"/>
          <w:sz w:val="24"/>
          <w:szCs w:val="24"/>
        </w:rPr>
        <w:t>上海市北京东路689号东银大厦</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8.3 查阅方式</w:t>
      </w:r>
    </w:p>
    <w:p w:rsidR="0041011E" w:rsidRPr="0041011E" w:rsidRDefault="009F0B98" w:rsidP="009F0B98">
      <w:pPr>
        <w:snapToGrid w:val="0"/>
        <w:spacing w:line="360" w:lineRule="auto"/>
        <w:ind w:firstLine="480"/>
        <w:rPr>
          <w:rFonts w:ascii="仿宋_GB2312" w:eastAsia="仿宋_GB2312"/>
          <w:b/>
          <w:bCs/>
          <w:sz w:val="24"/>
          <w:szCs w:val="24"/>
        </w:rPr>
      </w:pPr>
      <w:r>
        <w:rPr>
          <w:rFonts w:ascii="仿宋_GB2312" w:eastAsia="仿宋_GB2312" w:hint="eastAsia"/>
          <w:color w:val="000000"/>
          <w:sz w:val="24"/>
          <w:szCs w:val="24"/>
        </w:rPr>
        <w:t>浦发银行官方网站：</w:t>
      </w:r>
      <w:hyperlink r:id="rId6" w:history="1">
        <w:r>
          <w:rPr>
            <w:rStyle w:val="ac"/>
            <w:rFonts w:ascii="仿宋_GB2312" w:eastAsia="仿宋_GB2312" w:hint="eastAsia"/>
            <w:sz w:val="24"/>
            <w:szCs w:val="24"/>
          </w:rPr>
          <w:t>http://www.spdb.com.cn/</w:t>
        </w:r>
      </w:hyperlink>
    </w:p>
    <w:sectPr w:rsidR="0041011E" w:rsidRPr="004101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65C" w:rsidRDefault="0015465C" w:rsidP="00E61C1A">
      <w:r>
        <w:separator/>
      </w:r>
    </w:p>
  </w:endnote>
  <w:endnote w:type="continuationSeparator" w:id="0">
    <w:p w:rsidR="0015465C" w:rsidRDefault="0015465C" w:rsidP="00E61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简体">
    <w:altName w:val="等线"/>
    <w:charset w:val="86"/>
    <w:family w:val="auto"/>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65C" w:rsidRDefault="0015465C" w:rsidP="00E61C1A">
      <w:r>
        <w:separator/>
      </w:r>
    </w:p>
  </w:footnote>
  <w:footnote w:type="continuationSeparator" w:id="0">
    <w:p w:rsidR="0015465C" w:rsidRDefault="0015465C" w:rsidP="00E61C1A">
      <w:r>
        <w:continuationSeparator/>
      </w:r>
    </w:p>
  </w:footnote>
  <w:footnote w:id="1">
    <w:p w:rsidR="00E61C1A" w:rsidRDefault="00E61C1A" w:rsidP="00E61C1A">
      <w:pPr>
        <w:pStyle w:val="a7"/>
      </w:pPr>
      <w:r>
        <w:rPr>
          <w:rStyle w:val="a9"/>
        </w:rPr>
        <w:footnoteRef/>
      </w:r>
      <w:r>
        <w:rPr>
          <w:rFonts w:hint="eastAsia"/>
          <w:sz w:val="15"/>
          <w:szCs w:val="15"/>
        </w:rPr>
        <w:t>产品登记编码指本产品在全国银行理财信息登记系统获取的登记编码。</w:t>
      </w:r>
    </w:p>
  </w:footnote>
  <w:footnote w:id="2">
    <w:p w:rsidR="00DE496A" w:rsidRDefault="00DE496A" w:rsidP="00DE496A">
      <w:pPr>
        <w:pStyle w:val="a7"/>
        <w:rPr>
          <w:sz w:val="15"/>
          <w:szCs w:val="15"/>
        </w:rPr>
      </w:pPr>
      <w:r>
        <w:rPr>
          <w:rStyle w:val="a9"/>
        </w:rPr>
        <w:footnoteRef/>
      </w:r>
      <w:r>
        <w:rPr>
          <w:rFonts w:hint="eastAsia"/>
        </w:rPr>
        <w:t xml:space="preserve"> </w:t>
      </w:r>
      <w:r>
        <w:rPr>
          <w:rFonts w:hint="eastAsia"/>
          <w:sz w:val="15"/>
          <w:szCs w:val="15"/>
        </w:rPr>
        <w:t>本报告所称非标准化债权资产，指根据《关于规范金融机构资产管理业务的指导意见》（银发〔</w:t>
      </w:r>
      <w:r>
        <w:rPr>
          <w:rFonts w:hint="eastAsia"/>
          <w:sz w:val="15"/>
          <w:szCs w:val="15"/>
        </w:rPr>
        <w:t>2018</w:t>
      </w:r>
      <w:r>
        <w:rPr>
          <w:rFonts w:hint="eastAsia"/>
          <w:sz w:val="15"/>
          <w:szCs w:val="15"/>
        </w:rPr>
        <w:t>〕</w:t>
      </w:r>
      <w:r>
        <w:rPr>
          <w:rFonts w:hint="eastAsia"/>
          <w:sz w:val="15"/>
          <w:szCs w:val="15"/>
        </w:rPr>
        <w:t>106</w:t>
      </w:r>
      <w:r>
        <w:rPr>
          <w:rFonts w:hint="eastAsia"/>
          <w:sz w:val="15"/>
          <w:szCs w:val="15"/>
        </w:rPr>
        <w:t>号）规定，标准化债权类资产之外的债权类资产。</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262"/>
    <w:rsid w:val="00023644"/>
    <w:rsid w:val="00077F23"/>
    <w:rsid w:val="00130728"/>
    <w:rsid w:val="0015465C"/>
    <w:rsid w:val="00172304"/>
    <w:rsid w:val="001814DB"/>
    <w:rsid w:val="00211495"/>
    <w:rsid w:val="00213ECF"/>
    <w:rsid w:val="00274D37"/>
    <w:rsid w:val="00367DBF"/>
    <w:rsid w:val="00380BE2"/>
    <w:rsid w:val="003F480F"/>
    <w:rsid w:val="00400A77"/>
    <w:rsid w:val="0041011E"/>
    <w:rsid w:val="0041666B"/>
    <w:rsid w:val="0042245C"/>
    <w:rsid w:val="00442040"/>
    <w:rsid w:val="0048092C"/>
    <w:rsid w:val="004E272F"/>
    <w:rsid w:val="00564E1C"/>
    <w:rsid w:val="0058623B"/>
    <w:rsid w:val="005B0E63"/>
    <w:rsid w:val="0061019B"/>
    <w:rsid w:val="006304A5"/>
    <w:rsid w:val="006E00B8"/>
    <w:rsid w:val="007167B6"/>
    <w:rsid w:val="00781652"/>
    <w:rsid w:val="007D042E"/>
    <w:rsid w:val="007E2254"/>
    <w:rsid w:val="008579C9"/>
    <w:rsid w:val="008D4921"/>
    <w:rsid w:val="008F3C17"/>
    <w:rsid w:val="009027FB"/>
    <w:rsid w:val="0093653B"/>
    <w:rsid w:val="00973891"/>
    <w:rsid w:val="009B6B6E"/>
    <w:rsid w:val="009F0B98"/>
    <w:rsid w:val="00A7331C"/>
    <w:rsid w:val="00A768E1"/>
    <w:rsid w:val="00AB21F8"/>
    <w:rsid w:val="00B2798E"/>
    <w:rsid w:val="00B9403A"/>
    <w:rsid w:val="00BB17CD"/>
    <w:rsid w:val="00C2222B"/>
    <w:rsid w:val="00CA6A9F"/>
    <w:rsid w:val="00D170C5"/>
    <w:rsid w:val="00D37F3B"/>
    <w:rsid w:val="00D601E1"/>
    <w:rsid w:val="00DC25F6"/>
    <w:rsid w:val="00DD0D5E"/>
    <w:rsid w:val="00DE1F30"/>
    <w:rsid w:val="00DE496A"/>
    <w:rsid w:val="00E61C1A"/>
    <w:rsid w:val="00E63347"/>
    <w:rsid w:val="00F864D2"/>
    <w:rsid w:val="00FB1262"/>
    <w:rsid w:val="00FB4D10"/>
    <w:rsid w:val="00FC6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A59B9"/>
  <w15:docId w15:val="{B094D2D1-F466-4952-A7F1-ABB05DAE1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1C1A"/>
    <w:pPr>
      <w:widowControl w:val="0"/>
      <w:jc w:val="both"/>
    </w:pPr>
    <w:rPr>
      <w:rFonts w:ascii="Times New Roman" w:eastAsia="方正仿宋简体"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C1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61C1A"/>
    <w:rPr>
      <w:sz w:val="18"/>
      <w:szCs w:val="18"/>
    </w:rPr>
  </w:style>
  <w:style w:type="paragraph" w:styleId="a5">
    <w:name w:val="footer"/>
    <w:basedOn w:val="a"/>
    <w:link w:val="a6"/>
    <w:uiPriority w:val="99"/>
    <w:unhideWhenUsed/>
    <w:rsid w:val="00E61C1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61C1A"/>
    <w:rPr>
      <w:sz w:val="18"/>
      <w:szCs w:val="18"/>
    </w:rPr>
  </w:style>
  <w:style w:type="paragraph" w:styleId="a7">
    <w:name w:val="footnote text"/>
    <w:basedOn w:val="a"/>
    <w:link w:val="a8"/>
    <w:uiPriority w:val="99"/>
    <w:semiHidden/>
    <w:qFormat/>
    <w:rsid w:val="00E61C1A"/>
    <w:pPr>
      <w:snapToGrid w:val="0"/>
      <w:jc w:val="left"/>
    </w:pPr>
    <w:rPr>
      <w:rFonts w:eastAsia="宋体"/>
      <w:sz w:val="18"/>
      <w:szCs w:val="18"/>
    </w:rPr>
  </w:style>
  <w:style w:type="character" w:customStyle="1" w:styleId="a8">
    <w:name w:val="脚注文本 字符"/>
    <w:basedOn w:val="a0"/>
    <w:link w:val="a7"/>
    <w:uiPriority w:val="99"/>
    <w:semiHidden/>
    <w:rsid w:val="00E61C1A"/>
    <w:rPr>
      <w:rFonts w:ascii="Times New Roman" w:eastAsia="宋体" w:hAnsi="Times New Roman" w:cs="Times New Roman"/>
      <w:sz w:val="18"/>
      <w:szCs w:val="18"/>
    </w:rPr>
  </w:style>
  <w:style w:type="character" w:styleId="a9">
    <w:name w:val="footnote reference"/>
    <w:uiPriority w:val="99"/>
    <w:semiHidden/>
    <w:qFormat/>
    <w:rsid w:val="00E61C1A"/>
    <w:rPr>
      <w:vertAlign w:val="superscript"/>
    </w:rPr>
  </w:style>
  <w:style w:type="paragraph" w:styleId="aa">
    <w:name w:val="Normal (Web)"/>
    <w:basedOn w:val="a"/>
    <w:uiPriority w:val="99"/>
    <w:qFormat/>
    <w:rsid w:val="004E272F"/>
    <w:pPr>
      <w:widowControl/>
      <w:spacing w:before="100" w:beforeAutospacing="1" w:after="100" w:afterAutospacing="1"/>
      <w:jc w:val="left"/>
    </w:pPr>
    <w:rPr>
      <w:rFonts w:ascii="宋体" w:eastAsia="宋体" w:hAnsi="宋体"/>
      <w:kern w:val="0"/>
      <w:sz w:val="24"/>
      <w:szCs w:val="24"/>
    </w:rPr>
  </w:style>
  <w:style w:type="table" w:styleId="ab">
    <w:name w:val="Table Grid"/>
    <w:basedOn w:val="a1"/>
    <w:uiPriority w:val="59"/>
    <w:rsid w:val="004E272F"/>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3">
    <w:name w:val="xl33"/>
    <w:basedOn w:val="a"/>
    <w:uiPriority w:val="99"/>
    <w:qFormat/>
    <w:rsid w:val="00DE496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character" w:styleId="ac">
    <w:name w:val="Hyperlink"/>
    <w:basedOn w:val="a0"/>
    <w:uiPriority w:val="99"/>
    <w:semiHidden/>
    <w:unhideWhenUsed/>
    <w:rsid w:val="004101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522124">
      <w:bodyDiv w:val="1"/>
      <w:marLeft w:val="0"/>
      <w:marRight w:val="0"/>
      <w:marTop w:val="0"/>
      <w:marBottom w:val="0"/>
      <w:divBdr>
        <w:top w:val="none" w:sz="0" w:space="0" w:color="auto"/>
        <w:left w:val="none" w:sz="0" w:space="0" w:color="auto"/>
        <w:bottom w:val="none" w:sz="0" w:space="0" w:color="auto"/>
        <w:right w:val="none" w:sz="0" w:space="0" w:color="auto"/>
      </w:divBdr>
    </w:div>
    <w:div w:id="1259411024">
      <w:bodyDiv w:val="1"/>
      <w:marLeft w:val="0"/>
      <w:marRight w:val="0"/>
      <w:marTop w:val="0"/>
      <w:marBottom w:val="0"/>
      <w:divBdr>
        <w:top w:val="none" w:sz="0" w:space="0" w:color="auto"/>
        <w:left w:val="none" w:sz="0" w:space="0" w:color="auto"/>
        <w:bottom w:val="none" w:sz="0" w:space="0" w:color="auto"/>
        <w:right w:val="none" w:sz="0" w:space="0" w:color="auto"/>
      </w:divBdr>
    </w:div>
    <w:div w:id="213493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pdb.com.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1309</TotalTime>
  <Pages>4</Pages>
  <Words>409</Words>
  <Characters>2337</Characters>
  <Application>Microsoft Office Word</Application>
  <DocSecurity>0</DocSecurity>
  <Lines>19</Lines>
  <Paragraphs>5</Paragraphs>
  <ScaleCrop>false</ScaleCrop>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DEVVDI02</dc:creator>
  <cp:lastModifiedBy>花健瑞</cp:lastModifiedBy>
  <cp:revision>50</cp:revision>
  <dcterms:created xsi:type="dcterms:W3CDTF">2019-08-06T07:15:00Z</dcterms:created>
  <dcterms:modified xsi:type="dcterms:W3CDTF">2022-04-04T08:36:00Z</dcterms:modified>
</cp:coreProperties>
</file>